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5.png" ContentType="image/png"/>
  <Override PartName="/word/media/rId48.png" ContentType="image/png"/>
  <Override PartName="/word/media/rId40.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1">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2">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3">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4">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5">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6">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7">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8">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9">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30">
        <w:r>
          <w:rPr>
            <w:rStyle w:val="Hyperlink"/>
          </w:rPr>
          <w:t xml:space="preserve">erics@sccwrp.org</w:t>
        </w:r>
      </w:hyperlink>
      <w:r>
        <w:t xml:space="preserve">)</w:t>
      </w:r>
    </w:p>
    <w:p>
      <w:pPr>
        <w:pStyle w:val="Heading1"/>
      </w:pPr>
      <w:bookmarkStart w:id="31" w:name="abstract"/>
      <w:bookmarkEnd w:id="31"/>
      <w:r>
        <w:t xml:space="preserve">Abstract</w:t>
      </w:r>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2" w:name="introduction"/>
      <w:bookmarkEnd w:id="32"/>
      <w:r>
        <w:t xml:space="preserve">Introduction</w:t>
      </w:r>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3" w:name="methods"/>
      <w:bookmarkEnd w:id="33"/>
      <w:r>
        <w:t xml:space="preserve">Methods</w:t>
      </w:r>
    </w:p>
    <w:p>
      <w:pPr>
        <w:pStyle w:val="Heading2"/>
      </w:pPr>
      <w:bookmarkStart w:id="34" w:name="study-area-and-data-sources"/>
      <w:bookmarkEnd w:id="34"/>
      <w:r>
        <w:t xml:space="preserve">Study area and data sources</w:t>
      </w:r>
    </w:p>
    <w:p>
      <w:pPr>
        <w:pStyle w:val="FigureWithCaption"/>
      </w:pPr>
      <w:r>
        <w:drawing>
          <wp:inline>
            <wp:extent cx="5943600" cy="3820885"/>
            <wp:effectExtent b="0" l="0" r="0" t="0"/>
            <wp:docPr descr="Figure 1 Land use (left) and distribution of stream CSCI scores (right) in California.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Land use (left) and distribution of stream CSCI scores (right) in California.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(J. Howard and Revenga</w:t>
      </w:r>
      <w:r>
        <w:t xml:space="preserve"> </w:t>
      </w:r>
      <w:hyperlink w:anchor="ref-Howard09">
        <w:r>
          <w:rPr>
            <w:rStyle w:val="Hyperlink"/>
          </w:rPr>
          <w:t xml:space="preserve">2000</w:t>
        </w:r>
      </w:hyperlink>
      <w:r>
        <w:t xml:space="preserve">; J. K.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6" w:name="building-and-validating-landscape-models"/>
      <w:bookmarkEnd w:id="36"/>
      <w:r>
        <w:t xml:space="preserve">Building and validating landscape models</w:t>
      </w:r>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(N. Meinshausen</w:t>
      </w:r>
      <w:r>
        <w:t xml:space="preserve"> </w:t>
      </w:r>
      <w:hyperlink w:anchor="ref-Meinshausen06">
        <w:r>
          <w:rPr>
            <w:rStyle w:val="Hyperlink"/>
          </w:rPr>
          <w:t xml:space="preserve">2006</w:t>
        </w:r>
      </w:hyperlink>
      <w:r>
        <w:t xml:space="preserve">; Nicolai Meinshausen</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Landscape estimates for the catchments of all NHD stream reaches in California were separated into calibration and validation data.</w:t>
      </w:r>
    </w:p>
    <w:p>
      <w:pPr>
        <w:pStyle w:val="Heading2"/>
      </w:pPr>
      <w:bookmarkStart w:id="37" w:name="san-gabriel-river-watershed-case-study"/>
      <w:bookmarkEnd w:id="37"/>
      <w:r>
        <w:t xml:space="preserve">San Gabriel River watershed case study</w:t>
      </w:r>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FigureWithCaption"/>
      </w:pPr>
      <w:r>
        <w:drawing>
          <wp:inline>
            <wp:extent cx="5943600" cy="4245428"/>
            <wp:effectExtent b="0" l="0" r="0" t="0"/>
            <wp:docPr descr="Figure 2 San Gabriel River watershed in southern California with predicted median CSCI scores at each stream reach and differences of observed CSCI scores with the predictions. The watershed is undeveloped in the north and heavily urbanized in the south. Gray stream reaches do not have model predictions because of insufficient data." title="" id="1" name="Picture"/>
            <a:graphic>
              <a:graphicData uri="http://schemas.openxmlformats.org/drawingml/2006/picture">
                <pic:pic>
                  <pic:nvPicPr>
                    <pic:cNvPr descr="figs/sgrshd.png" id="0" name="Picture"/>
                    <pic:cNvPicPr>
                      <a:picLocks noChangeArrowheads="1" noChangeAspect="1"/>
                    </pic:cNvPicPr>
                  </pic:nvPicPr>
                  <pic:blipFill>
                    <a:blip r:embed="rId3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2 San Gabriel River watershed in southern California with predicted median CSCI scores at each stream reach and differences of observed CSCI scores with the predictions. The watershed is undeveloped in the north and heavily urbanized in the south. Gray stream reaches do not have model predictions because of insufficient data.</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9" w:name="reach-classification-site-performance-and-prioritization"/>
      <w:bookmarkEnd w:id="39"/>
      <w:r>
        <w:t xml:space="preserve">Reach classification, site performance, and prioritization</w:t>
      </w:r>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FigureWithCaption"/>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Normal"/>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FigureWithCaption"/>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1"/>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2">
        <w:r>
          <w:rPr>
            <w:rStyle w:val="Hyperlink"/>
          </w:rPr>
          <w:t xml:space="preserve">https://beckmw.shinyapps.io/sgrrmp_classify/</w:t>
        </w:r>
      </w:hyperlink>
    </w:p>
    <w:p>
      <w:pPr>
        <w:pStyle w:val="Heading2"/>
      </w:pPr>
      <w:bookmarkStart w:id="43" w:name="sensitivity-analyses"/>
      <w:bookmarkEnd w:id="43"/>
      <w:r>
        <w:t xml:space="preserve">Sensitivity analyses</w:t>
      </w:r>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4" w:name="unclassified-reaches"/>
      <w:bookmarkEnd w:id="44"/>
      <w:r>
        <w:t xml:space="preserve">Unclassified reaches</w:t>
      </w:r>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5" w:name="results"/>
      <w:bookmarkEnd w:id="45"/>
      <w:r>
        <w:t xml:space="preserve">Results</w:t>
      </w:r>
    </w:p>
    <w:p>
      <w:pPr>
        <w:pStyle w:val="Heading3"/>
      </w:pPr>
      <w:bookmarkStart w:id="46" w:name="state-wide-patterns"/>
      <w:bookmarkEnd w:id="46"/>
      <w:r>
        <w:t xml:space="preserve">State-wide patterns</w:t>
      </w:r>
    </w:p>
    <w:p>
      <w:pPr>
        <w:numPr>
          <w:numId w:val="1004"/>
          <w:ilvl w:val="0"/>
        </w:numPr>
      </w:pPr>
      <w:r>
        <w:t xml:space="preserve">Where does the model perform well, how does performance vary with validation and calibration datasets.</w:t>
      </w:r>
    </w:p>
    <w:p>
      <w:pPr>
        <w:numPr>
          <w:numId w:val="1004"/>
          <w:ilvl w:val="0"/>
        </w:numPr>
      </w:pPr>
      <w:r>
        <w:t xml:space="preserve">What is the consistency of patterns? For example, percent stream miles as xyz by PSA.</w:t>
      </w:r>
    </w:p>
    <w:p>
      <w:pPr>
        <w:pStyle w:val="FirstParagraph"/>
      </w:pPr>
      <w:r>
        <w:rPr>
          <w:i/>
        </w:rPr>
        <w:t xml:space="preserve">Figure</w:t>
      </w:r>
      <w:r>
        <w:t xml:space="preserve"> </w:t>
      </w:r>
      <w:r>
        <w:t xml:space="preserve">Statewide map.</w:t>
      </w:r>
    </w:p>
    <w:p>
      <w:pPr>
        <w:pStyle w:val="Heading3"/>
      </w:pPr>
      <w:bookmarkStart w:id="47" w:name="case-study"/>
      <w:bookmarkEnd w:id="47"/>
      <w:r>
        <w:t xml:space="preserve">Case study</w:t>
      </w:r>
    </w:p>
    <w:p>
      <w:pPr>
        <w:numPr>
          <w:numId w:val="1005"/>
          <w:ilvl w:val="0"/>
        </w:numPr>
      </w:pPr>
      <w:r>
        <w:t xml:space="preserve">Extent, classification, prioritization</w:t>
      </w:r>
    </w:p>
    <w:p>
      <w:pPr>
        <w:numPr>
          <w:numId w:val="1005"/>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FigureWithCaption"/>
      </w:pPr>
      <w:r>
        <w:drawing>
          <wp:inline>
            <wp:extent cx="5943600" cy="3820885"/>
            <wp:effectExtent b="0" l="0" r="0" t="0"/>
            <wp:docPr descr="Figure 5 Template provided to stakeholders for priorization of recommended actions for each stream type. The stream types (Table 1) relate to the stream class for the biological expectation (lu: likely unconstrained, pu: possibly unconstrained, pc: possibly constrained, lc: likely constrained), site performance from observed CSCI score (os: over scoring, e: expected, us: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48"/>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5 Template provided to stakeholders for priorization of recommended actions for each stream type. The stream types (Table</w:t>
      </w:r>
      <w:r>
        <w:t xml:space="preserve"> </w:t>
      </w:r>
      <w:r>
        <w:t xml:space="preserve">1</w:t>
      </w:r>
      <w:r>
        <w:t xml:space="preserve">) relate to the stream class for the biological expectation (lu: likely unconstrained, pu: possibly unconstrained, pc: possibly constrained, lc: likely constrained), site performance from observed CSCI score (os: over scoring, e: expected, us: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49" w:name="sensitivity-analysis"/>
      <w:bookmarkEnd w:id="49"/>
      <w:r>
        <w:t xml:space="preserve">Sensitivity analysis</w:t>
      </w:r>
    </w:p>
    <w:p>
      <w:pPr>
        <w:numPr>
          <w:numId w:val="1006"/>
          <w:ilvl w:val="0"/>
        </w:numPr>
      </w:pPr>
      <w:r>
        <w:t xml:space="preserve">Statewide results - reach classification, site performance</w:t>
      </w:r>
    </w:p>
    <w:p>
      <w:pPr>
        <w:numPr>
          <w:numId w:val="1006"/>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0" w:name="unclassified-reaches-1"/>
      <w:bookmarkEnd w:id="50"/>
      <w:r>
        <w:t xml:space="preserve">Unclassified reaches</w:t>
      </w:r>
    </w:p>
    <w:p>
      <w:pPr>
        <w:numPr>
          <w:numId w:val="1007"/>
          <w:ilvl w:val="0"/>
        </w:numPr>
      </w:pPr>
      <w:r>
        <w:t xml:space="preserve">Extent of typical ag, typical urban statewide</w:t>
      </w:r>
    </w:p>
    <w:p>
      <w:pPr>
        <w:numPr>
          <w:numId w:val="1007"/>
          <w:ilvl w:val="0"/>
        </w:numPr>
      </w:pPr>
      <w:r>
        <w:t xml:space="preserve">Framework for assigning unclassified reach to a class</w:t>
      </w:r>
    </w:p>
    <w:p>
      <w:pPr>
        <w:numPr>
          <w:numId w:val="1007"/>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1" w:name="discussion"/>
      <w:bookmarkEnd w:id="51"/>
      <w:r>
        <w:t xml:space="preserve">Discussion</w:t>
      </w:r>
    </w:p>
    <w:p>
      <w:pPr>
        <w:pStyle w:val="Compact"/>
        <w:numPr>
          <w:numId w:val="1008"/>
          <w:ilvl w:val="0"/>
        </w:numPr>
      </w:pPr>
      <w:r>
        <w:t xml:space="preserve">What is the value of identifying constrained channels?</w:t>
      </w:r>
    </w:p>
    <w:p>
      <w:pPr>
        <w:pStyle w:val="Compact"/>
        <w:numPr>
          <w:numId w:val="1009"/>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09"/>
          <w:ilvl w:val="1"/>
        </w:numPr>
      </w:pPr>
      <w:r>
        <w:t xml:space="preserve">Use of more data to develop context of assessment</w:t>
      </w:r>
    </w:p>
    <w:p>
      <w:pPr>
        <w:pStyle w:val="Compact"/>
        <w:numPr>
          <w:numId w:val="1009"/>
          <w:ilvl w:val="1"/>
        </w:numPr>
      </w:pPr>
      <w:r>
        <w:t xml:space="preserve">Targeted management for desired outcomes</w:t>
      </w:r>
    </w:p>
    <w:p>
      <w:pPr>
        <w:pStyle w:val="Compact"/>
        <w:numPr>
          <w:numId w:val="1009"/>
          <w:ilvl w:val="1"/>
        </w:numPr>
      </w:pPr>
      <w:r>
        <w:t xml:space="preserve">Informing decisions about future monitoring (i.e., prioritize future monitoring locations)</w:t>
      </w:r>
    </w:p>
    <w:p>
      <w:pPr>
        <w:pStyle w:val="Compact"/>
        <w:numPr>
          <w:numId w:val="1009"/>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08"/>
          <w:ilvl w:val="0"/>
        </w:numPr>
      </w:pPr>
      <w:r>
        <w:t xml:space="preserve">What is useful about our approach compared to alternatives?</w:t>
      </w:r>
    </w:p>
    <w:p>
      <w:pPr>
        <w:pStyle w:val="Compact"/>
        <w:numPr>
          <w:numId w:val="1010"/>
          <w:ilvl w:val="1"/>
        </w:numPr>
      </w:pPr>
      <w:r>
        <w:t xml:space="preserve">Field-based methods to identify constrained channels vs. landscape modelling</w:t>
      </w:r>
    </w:p>
    <w:p>
      <w:pPr>
        <w:pStyle w:val="Compact"/>
        <w:numPr>
          <w:numId w:val="1010"/>
          <w:ilvl w:val="1"/>
        </w:numPr>
      </w:pPr>
      <w:r>
        <w:t xml:space="preserve">Related directly to biological condition and regulatory standards</w:t>
      </w:r>
    </w:p>
    <w:p>
      <w:pPr>
        <w:pStyle w:val="Compact"/>
        <w:numPr>
          <w:numId w:val="1010"/>
          <w:ilvl w:val="1"/>
        </w:numPr>
      </w:pPr>
      <w:r>
        <w:t xml:space="preserve">Results are widely corraborated by other landscape studies - land use is big determinant of macroinvert assemblage</w:t>
      </w:r>
    </w:p>
    <w:p>
      <w:pPr>
        <w:pStyle w:val="Compact"/>
        <w:numPr>
          <w:numId w:val="1008"/>
          <w:ilvl w:val="0"/>
        </w:numPr>
      </w:pPr>
      <w:r>
        <w:t xml:space="preserve">What contributed to our success in defining priorities?</w:t>
      </w:r>
    </w:p>
    <w:p>
      <w:pPr>
        <w:pStyle w:val="Compact"/>
        <w:numPr>
          <w:numId w:val="1011"/>
          <w:ilvl w:val="1"/>
        </w:numPr>
      </w:pPr>
      <w:r>
        <w:t xml:space="preserve">Stakeholder involvement guided process, contributed to achieving goals</w:t>
      </w:r>
    </w:p>
    <w:p>
      <w:pPr>
        <w:pStyle w:val="Compact"/>
        <w:numPr>
          <w:numId w:val="1011"/>
          <w:ilvl w:val="1"/>
        </w:numPr>
      </w:pPr>
      <w:r>
        <w:t xml:space="preserve">An interactive/iterative approach was used - we provided tools to facilitate (web apps) and we did not assume priorities</w:t>
      </w:r>
    </w:p>
    <w:p>
      <w:pPr>
        <w:pStyle w:val="Compact"/>
        <w:numPr>
          <w:numId w:val="1008"/>
          <w:ilvl w:val="0"/>
        </w:numPr>
      </w:pPr>
      <w:r>
        <w:t xml:space="preserve">Caveats of our aproach</w:t>
      </w:r>
    </w:p>
    <w:p>
      <w:pPr>
        <w:pStyle w:val="Compact"/>
        <w:numPr>
          <w:numId w:val="1012"/>
          <w:ilvl w:val="1"/>
        </w:numPr>
      </w:pPr>
      <w:r>
        <w:t xml:space="preserve">This analysis doesn’t truly tell us if a site can be fixed or if the conditions are truly constrained (key message, need to mention in intro)</w:t>
      </w:r>
    </w:p>
    <w:p>
      <w:pPr>
        <w:pStyle w:val="Compact"/>
        <w:numPr>
          <w:numId w:val="1012"/>
          <w:ilvl w:val="1"/>
        </w:numPr>
      </w:pPr>
      <w:r>
        <w:t xml:space="preserve">What do priorities really mean? Depends on your interests, needs, values, etc.</w:t>
      </w:r>
    </w:p>
    <w:p>
      <w:pPr>
        <w:pStyle w:val="Compact"/>
        <w:numPr>
          <w:numId w:val="1012"/>
          <w:ilvl w:val="1"/>
        </w:numPr>
      </w:pPr>
      <w:r>
        <w:t xml:space="preserve">Constrained may not always mean constrained - CSCI vs other biological indicators</w:t>
      </w:r>
    </w:p>
    <w:p>
      <w:pPr>
        <w:pStyle w:val="Compact"/>
        <w:numPr>
          <w:numId w:val="1012"/>
          <w:ilvl w:val="1"/>
        </w:numPr>
      </w:pPr>
      <w:r>
        <w:t xml:space="preserve">Site-specific approaches are warranted in certain cases</w:t>
      </w:r>
    </w:p>
    <w:p>
      <w:pPr>
        <w:pStyle w:val="Compact"/>
        <w:numPr>
          <w:numId w:val="1012"/>
          <w:ilvl w:val="1"/>
        </w:numPr>
      </w:pPr>
      <w:r>
        <w:t xml:space="preserve">Changing certainty or CSCI treshold - mechanistic effects and implications. Don’t cook the books.</w:t>
      </w:r>
    </w:p>
    <w:p>
      <w:pPr>
        <w:pStyle w:val="Compact"/>
        <w:numPr>
          <w:numId w:val="1008"/>
          <w:ilvl w:val="0"/>
        </w:numPr>
      </w:pPr>
      <w:r>
        <w:t xml:space="preserve">Future work</w:t>
      </w:r>
    </w:p>
    <w:p>
      <w:pPr>
        <w:pStyle w:val="Compact"/>
        <w:numPr>
          <w:numId w:val="1013"/>
          <w:ilvl w:val="1"/>
        </w:numPr>
      </w:pPr>
      <w:r>
        <w:t xml:space="preserve">Ability to link with other assessment tools besides CSCI</w:t>
      </w:r>
    </w:p>
    <w:p>
      <w:pPr>
        <w:pStyle w:val="Compact"/>
        <w:numPr>
          <w:numId w:val="1013"/>
          <w:ilvl w:val="1"/>
        </w:numPr>
      </w:pPr>
      <w:r>
        <w:t xml:space="preserve">Link with engineered channels study</w:t>
      </w:r>
    </w:p>
    <w:p>
      <w:pPr>
        <w:pStyle w:val="Compact"/>
        <w:numPr>
          <w:numId w:val="1013"/>
          <w:ilvl w:val="1"/>
        </w:numPr>
      </w:pPr>
      <w:r>
        <w:t xml:space="preserve">Priorities statewide</w:t>
      </w:r>
    </w:p>
    <w:p>
      <w:pPr>
        <w:pStyle w:val="Compact"/>
        <w:numPr>
          <w:numId w:val="1013"/>
          <w:ilvl w:val="1"/>
        </w:numPr>
      </w:pPr>
      <w:r>
        <w:t xml:space="preserve">Application to larger regions possible (national-scale), or how it can be applied in other areas</w:t>
      </w:r>
    </w:p>
    <w:p>
      <w:pPr>
        <w:pStyle w:val="Heading1"/>
      </w:pPr>
      <w:bookmarkStart w:id="52" w:name="supplement"/>
      <w:bookmarkEnd w:id="52"/>
      <w:r>
        <w:t xml:space="preserve">Supplement</w:t>
      </w:r>
    </w:p>
    <w:p>
      <w:pPr>
        <w:pStyle w:val="FirstParagraph"/>
      </w:pPr>
      <w:r>
        <w:t xml:space="preserve">Online application.</w:t>
      </w:r>
    </w:p>
    <w:p>
      <w:pPr>
        <w:pStyle w:val="Heading1"/>
      </w:pPr>
      <w:bookmarkStart w:id="53" w:name="references"/>
      <w:bookmarkEnd w:id="53"/>
      <w:r>
        <w:t xml:space="preserve">References</w:t>
      </w:r>
    </w:p>
    <w:p>
      <w:pPr>
        <w:pStyle w:val="Bibliography"/>
      </w:pPr>
      <w:r>
        <w:t xml:space="preserve">Breiman, L. 2001. “Random Forests.”</w:t>
      </w:r>
      <w:r>
        <w:t xml:space="preserve"> </w:t>
      </w:r>
      <w:r>
        <w:rPr>
          <w:i/>
        </w:rPr>
        <w:t xml:space="preserve">Machine Learning</w:t>
      </w:r>
      <w:r>
        <w:t xml:space="preserve"> </w:t>
      </w:r>
      <w:r>
        <w:t xml:space="preserve">45: 5–32.</w:t>
      </w:r>
    </w:p>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 doi:</w:t>
      </w:r>
      <w:hyperlink r:id="rId54">
        <w:r>
          <w:rPr>
            <w:rStyle w:val="Hyperlink"/>
          </w:rPr>
          <w:t xml:space="preserve">10.1007/s10661-008-0256-z</w:t>
        </w:r>
      </w:hyperlink>
      <w:r>
        <w:t xml:space="preserve">.</w:t>
      </w:r>
    </w:p>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 doi:</w:t>
      </w:r>
      <w:hyperlink r:id="rId55">
        <w:r>
          <w:rPr>
            <w:rStyle w:val="Hyperlink"/>
          </w:rPr>
          <w:t xml:space="preserve">10.1016/j.ecolind.2013.07.006</w:t>
        </w:r>
      </w:hyperlink>
      <w:r>
        <w:t xml:space="preserve">.</w:t>
      </w:r>
    </w:p>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 120–28. doi:</w:t>
      </w:r>
      <w:hyperlink r:id="rId56">
        <w:r>
          <w:rPr>
            <w:rStyle w:val="Hyperlink"/>
          </w:rPr>
          <w:t xml:space="preserve">10.1111/1752-1688.12372</w:t>
        </w:r>
      </w:hyperlink>
      <w:r>
        <w:t xml:space="preserve">.</w:t>
      </w:r>
    </w:p>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 e0130710. doi:</w:t>
      </w:r>
      <w:hyperlink r:id="rId57">
        <w:r>
          <w:rPr>
            <w:rStyle w:val="Hyperlink"/>
          </w:rPr>
          <w:t xml:space="preserve">10.1371/journal.pone.0130710</w:t>
        </w:r>
      </w:hyperlink>
      <w:r>
        <w:t xml:space="preserve">.</w:t>
      </w:r>
    </w:p>
    <w:p>
      <w:pPr>
        <w:pStyle w:val="Bibliography"/>
      </w:pPr>
      <w:r>
        <w:t xml:space="preserve">Howard, J., and C. Revenga. 2000. “California’s Freshwater Biodiveristy in a Continental Context. Science for Conservation Technical Brief Series.” San Francisco, CA: The Nature Conservancy of California.</w:t>
      </w:r>
    </w:p>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 doi:</w:t>
      </w:r>
      <w:hyperlink r:id="rId58">
        <w:r>
          <w:rPr>
            <w:rStyle w:val="Hyperlink"/>
          </w:rPr>
          <w:t xml:space="preserve">10.1111/j.1752-1688.2011.00635.x</w:t>
        </w:r>
      </w:hyperlink>
      <w:r>
        <w:t xml:space="preserve">.</w:t>
      </w:r>
    </w:p>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 546–56. doi:</w:t>
      </w:r>
      <w:hyperlink r:id="rId59">
        <w:r>
          <w:rPr>
            <w:rStyle w:val="Hyperlink"/>
          </w:rPr>
          <w:t xml:space="preserve">10.1016/j.scitotenv.2015.07.083</w:t>
        </w:r>
      </w:hyperlink>
      <w:r>
        <w:t xml:space="preserve">.</w:t>
      </w:r>
    </w:p>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p>
      <w:pPr>
        <w:pStyle w:val="Bibliography"/>
      </w:pPr>
      <w:r>
        <w:t xml:space="preserve">Meinshausen, Nicolai. 2017.</w:t>
      </w:r>
      <w:r>
        <w:t xml:space="preserve"> </w:t>
      </w:r>
      <w:r>
        <w:rPr>
          <w:i/>
        </w:rPr>
        <w:t xml:space="preserve">QuantregForest: Quantile Regression Forests</w:t>
      </w:r>
      <w:r>
        <w:t xml:space="preserve">.</w:t>
      </w:r>
      <w:r>
        <w:t xml:space="preserve"> </w:t>
      </w:r>
      <w:hyperlink r:id="rId60">
        <w:r>
          <w:rPr>
            <w:rStyle w:val="Hyperlink"/>
          </w:rPr>
          <w:t xml:space="preserve">https://CRAN.R-project.org/package=quantregForest</w:t>
        </w:r>
      </w:hyperlink>
      <w:r>
        <w:t xml:space="preserve">.</w:t>
      </w:r>
    </w:p>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 184–98. doi:</w:t>
      </w:r>
      <w:hyperlink r:id="rId61">
        <w:r>
          <w:rPr>
            <w:rStyle w:val="Hyperlink"/>
          </w:rPr>
          <w:t xml:space="preserve">10.1016/j.watres.2004.09.002</w:t>
        </w:r>
      </w:hyperlink>
      <w:r>
        <w:t xml:space="preserve">.</w:t>
      </w:r>
    </w:p>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 391–409.</w:t>
      </w:r>
    </w:p>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p>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 doi:</w:t>
      </w:r>
      <w:hyperlink r:id="rId62">
        <w:r>
          <w:rPr>
            <w:rStyle w:val="Hyperlink"/>
          </w:rPr>
          <w:t xml:space="preserve">10.1111/gec3.12039</w:t>
        </w:r>
      </w:hyperlink>
      <w:r>
        <w:t xml:space="preserve">.</w:t>
      </w:r>
    </w:p>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 doi:</w:t>
      </w:r>
      <w:hyperlink r:id="rId63">
        <w:r>
          <w:rPr>
            <w:rStyle w:val="Hyperlink"/>
          </w:rPr>
          <w:t xml:space="preserve">10.1007/s10661-010-1385-8</w:t>
        </w:r>
      </w:hyperlink>
      <w:r>
        <w:t xml:space="preserve">.</w:t>
      </w:r>
    </w:p>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 1409–24. doi:</w:t>
      </w:r>
      <w:hyperlink r:id="rId64">
        <w:r>
          <w:rPr>
            <w:rStyle w:val="Hyperlink"/>
          </w:rPr>
          <w:t xml:space="preserve">10.1046/j.1365-2427.2001.00758.x</w:t>
        </w:r>
      </w:hyperlink>
      <w:r>
        <w:t xml:space="preserve">.</w:t>
      </w:r>
    </w:p>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 1810–9. doi:</w:t>
      </w:r>
      <w:hyperlink r:id="rId65">
        <w:r>
          <w:rPr>
            <w:rStyle w:val="Hyperlink"/>
          </w:rPr>
          <w:t xml:space="preserve">10.1111/j.1365-2664.2008.01548.x</w:t>
        </w:r>
      </w:hyperlink>
      <w:r>
        <w:t xml:space="preserve">.</w:t>
      </w:r>
    </w:p>
    <w:p>
      <w:pPr>
        <w:pStyle w:val="Bibliography"/>
      </w:pPr>
      <w:r>
        <w:t xml:space="preserve">USGS (US Geological Survey). 2014. “National Hydrography Dataset available on the World Wide Web.”</w:t>
      </w:r>
    </w:p>
    <w:sectPr w:rsidR="00537D25" w:rsidRPr="00D40009" w:rsidSect="003C73CD">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9926144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d16d9a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hyperlink" Id="rId60"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4" Target="https://doi.org/10.1007/s10661-008-0256-z" TargetMode="External" /><Relationship Type="http://schemas.openxmlformats.org/officeDocument/2006/relationships/hyperlink" Id="rId63" Target="https://doi.org/10.1007/s10661-010-1385-8" TargetMode="External" /><Relationship Type="http://schemas.openxmlformats.org/officeDocument/2006/relationships/hyperlink" Id="rId55" Target="https://doi.org/10.1016/j.ecolind.2013.07.006" TargetMode="External" /><Relationship Type="http://schemas.openxmlformats.org/officeDocument/2006/relationships/hyperlink" Id="rId59" Target="https://doi.org/10.1016/j.scitotenv.2015.07.083" TargetMode="External" /><Relationship Type="http://schemas.openxmlformats.org/officeDocument/2006/relationships/hyperlink" Id="rId61" Target="https://doi.org/10.1016/j.watres.2004.09.002" TargetMode="External" /><Relationship Type="http://schemas.openxmlformats.org/officeDocument/2006/relationships/hyperlink" Id="rId64" Target="https://doi.org/10.1046/j.1365-2427.2001.00758.x" TargetMode="External" /><Relationship Type="http://schemas.openxmlformats.org/officeDocument/2006/relationships/hyperlink" Id="rId56" Target="https://doi.org/10.1111/1752-1688.12372" TargetMode="External" /><Relationship Type="http://schemas.openxmlformats.org/officeDocument/2006/relationships/hyperlink" Id="rId62" Target="https://doi.org/10.1111/gec3.12039" TargetMode="External" /><Relationship Type="http://schemas.openxmlformats.org/officeDocument/2006/relationships/hyperlink" Id="rId65" Target="https://doi.org/10.1111/j.1365-2664.2008.01548.x" TargetMode="External" /><Relationship Type="http://schemas.openxmlformats.org/officeDocument/2006/relationships/hyperlink" Id="rId58" Target="https://doi.org/10.1111/j.1752-1688.2011.00635.x" TargetMode="External" /><Relationship Type="http://schemas.openxmlformats.org/officeDocument/2006/relationships/hyperlink" Id="rId57"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0"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4" Target="https://doi.org/10.1007/s10661-008-0256-z" TargetMode="External" /><Relationship Type="http://schemas.openxmlformats.org/officeDocument/2006/relationships/hyperlink" Id="rId63" Target="https://doi.org/10.1007/s10661-010-1385-8" TargetMode="External" /><Relationship Type="http://schemas.openxmlformats.org/officeDocument/2006/relationships/hyperlink" Id="rId55" Target="https://doi.org/10.1016/j.ecolind.2013.07.006" TargetMode="External" /><Relationship Type="http://schemas.openxmlformats.org/officeDocument/2006/relationships/hyperlink" Id="rId59" Target="https://doi.org/10.1016/j.scitotenv.2015.07.083" TargetMode="External" /><Relationship Type="http://schemas.openxmlformats.org/officeDocument/2006/relationships/hyperlink" Id="rId61" Target="https://doi.org/10.1016/j.watres.2004.09.002" TargetMode="External" /><Relationship Type="http://schemas.openxmlformats.org/officeDocument/2006/relationships/hyperlink" Id="rId64" Target="https://doi.org/10.1046/j.1365-2427.2001.00758.x" TargetMode="External" /><Relationship Type="http://schemas.openxmlformats.org/officeDocument/2006/relationships/hyperlink" Id="rId56" Target="https://doi.org/10.1111/1752-1688.12372" TargetMode="External" /><Relationship Type="http://schemas.openxmlformats.org/officeDocument/2006/relationships/hyperlink" Id="rId62" Target="https://doi.org/10.1111/gec3.12039" TargetMode="External" /><Relationship Type="http://schemas.openxmlformats.org/officeDocument/2006/relationships/hyperlink" Id="rId65" Target="https://doi.org/10.1111/j.1365-2664.2008.01548.x" TargetMode="External" /><Relationship Type="http://schemas.openxmlformats.org/officeDocument/2006/relationships/hyperlink" Id="rId58" Target="https://doi.org/10.1111/j.1752-1688.2011.00635.x" TargetMode="External" /><Relationship Type="http://schemas.openxmlformats.org/officeDocument/2006/relationships/hyperlink" Id="rId57"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dcterms:created xsi:type="dcterms:W3CDTF">2018-03-27T21:49:41Z</dcterms:created>
  <dcterms:modified xsi:type="dcterms:W3CDTF">2018-03-27T21:49:41Z</dcterms:modified>
</cp:coreProperties>
</file>