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5.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 Model performance was assessed for the statewide dataset and within each major region. Differences between observed CSCI scores and median predictions were evaluated using correlation analysis and root mean squared errors (RMSE). Regression analysis between predicted and observed scores was used to assess potential bias based on intercept and slope values differing from 0 and 1, respectively.</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betwen stream classes. Mean reduction in accuracy was estimated for variables in each model and separately for each stream class in each model.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2"/>
      </w:pPr>
      <w:bookmarkStart w:id="45" w:name="state-wide-patterns"/>
      <w:r>
        <w:t xml:space="preserve">State-wide patterns</w:t>
      </w:r>
      <w:bookmarkEnd w:id="45"/>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By region, the most bioassessment samples were observed in the South Coast (n = 839), followed by the the Chapparal (n = 684) and Sierra Nevada regions (n = 548). Model performance statewide and by region indicated generally good agreement between observed CSCI scores and the median prediction for the associated stream reach (Table</w:t>
      </w:r>
      <w:r>
        <w:t xml:space="preserve"> </w:t>
      </w:r>
      <w:r>
        <w:t xml:space="preserve">2</w:t>
      </w:r>
      <w:r>
        <w:t xml:space="preserve">). Correlation between observed and predicted values for the entire calibration dataset was</w:t>
      </w:r>
      <w:r>
        <w:t xml:space="preserve"> </w:t>
      </w:r>
      <m:oMath>
        <m:r>
          <m:t>ρ</m:t>
        </m:r>
        <m:r>
          <m:t>=</m:t>
        </m:r>
      </m:oMath>
      <w:r>
        <w:t xml:space="preserve"> </w:t>
      </w:r>
      <w:r>
        <w:t xml:space="preserve">0.84 and RMSE = 0.14. The intercept and slope for a regression between observed and predicted values were 0.24 and 0.72, suggesting a slight negative bias of predcitions at lower scores and slight positive bias at higher scores. The statewide calibration data showed similar results, with slightly smaller correlation (</w:t>
      </w:r>
      <m:oMath>
        <m:r>
          <m:t>ρ</m:t>
        </m:r>
        <m:r>
          <m:t>=</m:t>
        </m:r>
      </m:oMath>
      <w:r>
        <w:t xml:space="preserve"> </w:t>
      </w:r>
      <w:r>
        <w:t xml:space="preserve">0.72) and larger RMSE (0.18) estimates.</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(0.22)</w:t>
            </w:r>
          </w:p>
        </w:tc>
        <w:tc>
          <w:p>
            <w:pPr>
              <w:pStyle w:val="Compact"/>
              <w:jc w:val="right"/>
            </w:pPr>
            <w:r>
              <w:t xml:space="preserve">0.84</w:t>
            </w:r>
          </w:p>
        </w:tc>
        <w:tc>
          <w:p>
            <w:pPr>
              <w:pStyle w:val="Compact"/>
              <w:jc w:val="right"/>
            </w:pPr>
            <w:r>
              <w:t xml:space="preserve">0.14</w:t>
            </w:r>
          </w:p>
        </w:tc>
        <w:tc>
          <w:p>
            <w:pPr>
              <w:pStyle w:val="Compact"/>
              <w:jc w:val="right"/>
            </w:pPr>
            <w:r>
              <w:t xml:space="preserve">0.24</w:t>
            </w:r>
          </w:p>
        </w:tc>
        <w:tc>
          <w:p>
            <w:pPr>
              <w:pStyle w:val="Compact"/>
              <w:jc w:val="right"/>
            </w:pPr>
            <w:r>
              <w:t xml:space="preserve">0.72</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0.77 (0.23)</w:t>
            </w:r>
          </w:p>
        </w:tc>
        <w:tc>
          <w:p>
            <w:pPr>
              <w:pStyle w:val="Compact"/>
              <w:jc w:val="right"/>
            </w:pPr>
            <w:r>
              <w:t xml:space="preserve">0.85</w:t>
            </w:r>
          </w:p>
        </w:tc>
        <w:tc>
          <w:p>
            <w:pPr>
              <w:pStyle w:val="Compact"/>
              <w:jc w:val="right"/>
            </w:pPr>
            <w:r>
              <w:t xml:space="preserve">0.14</w:t>
            </w:r>
          </w:p>
        </w:tc>
        <w:tc>
          <w:p>
            <w:pPr>
              <w:pStyle w:val="Compact"/>
              <w:jc w:val="right"/>
            </w:pPr>
            <w:r>
              <w:t xml:space="preserve">0.22</w:t>
            </w:r>
          </w:p>
        </w:tc>
        <w:tc>
          <w:p>
            <w:pPr>
              <w:pStyle w:val="Compact"/>
              <w:jc w:val="right"/>
            </w:pPr>
            <w:r>
              <w:t xml:space="preserve">0.73</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0.54 (0.15)</w:t>
            </w:r>
          </w:p>
        </w:tc>
        <w:tc>
          <w:p>
            <w:pPr>
              <w:pStyle w:val="Compact"/>
              <w:jc w:val="right"/>
            </w:pPr>
            <w:r>
              <w:t xml:space="preserve">0.76</w:t>
            </w:r>
          </w:p>
        </w:tc>
        <w:tc>
          <w:p>
            <w:pPr>
              <w:pStyle w:val="Compact"/>
              <w:jc w:val="right"/>
            </w:pPr>
            <w:r>
              <w:t xml:space="preserve">0.12</w:t>
            </w:r>
          </w:p>
        </w:tc>
        <w:tc>
          <w:p>
            <w:pPr>
              <w:pStyle w:val="Compact"/>
              <w:jc w:val="right"/>
            </w:pPr>
            <w:r>
              <w:t xml:space="preserve">0.21</w:t>
            </w:r>
          </w:p>
        </w:tc>
        <w:tc>
          <w:p>
            <w:pPr>
              <w:pStyle w:val="Compact"/>
              <w:jc w:val="right"/>
            </w:pPr>
            <w:r>
              <w:t xml:space="preserve">0.64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0.88 (0.17)</w:t>
            </w:r>
          </w:p>
        </w:tc>
        <w:tc>
          <w:p>
            <w:pPr>
              <w:pStyle w:val="Compact"/>
              <w:jc w:val="right"/>
            </w:pPr>
            <w:r>
              <w:t xml:space="preserve">0.77</w:t>
            </w:r>
          </w:p>
        </w:tc>
        <w:tc>
          <w:p>
            <w:pPr>
              <w:pStyle w:val="Compact"/>
              <w:jc w:val="right"/>
            </w:pPr>
            <w:r>
              <w:t xml:space="preserve">0.14</w:t>
            </w:r>
          </w:p>
        </w:tc>
        <w:tc>
          <w:p>
            <w:pPr>
              <w:pStyle w:val="Compact"/>
              <w:jc w:val="right"/>
            </w:pPr>
            <w:r>
              <w:t xml:space="preserve">0.38</w:t>
            </w:r>
          </w:p>
        </w:tc>
        <w:tc>
          <w:p>
            <w:pPr>
              <w:pStyle w:val="Compact"/>
              <w:jc w:val="right"/>
            </w:pPr>
            <w:r>
              <w:t xml:space="preserve">0.58</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0.93 (0.14)</w:t>
            </w:r>
          </w:p>
        </w:tc>
        <w:tc>
          <w:p>
            <w:pPr>
              <w:pStyle w:val="Compact"/>
              <w:jc w:val="right"/>
            </w:pPr>
            <w:r>
              <w:t xml:space="preserve">0.74</w:t>
            </w:r>
          </w:p>
        </w:tc>
        <w:tc>
          <w:p>
            <w:pPr>
              <w:pStyle w:val="Compact"/>
              <w:jc w:val="right"/>
            </w:pPr>
            <w:r>
              <w:t xml:space="preserve">0.13</w:t>
            </w:r>
          </w:p>
        </w:tc>
        <w:tc>
          <w:p>
            <w:pPr>
              <w:pStyle w:val="Compact"/>
              <w:jc w:val="right"/>
            </w:pPr>
            <w:r>
              <w:t xml:space="preserve">0.45</w:t>
            </w:r>
          </w:p>
        </w:tc>
        <w:tc>
          <w:p>
            <w:pPr>
              <w:pStyle w:val="Compact"/>
              <w:jc w:val="right"/>
            </w:pPr>
            <w:r>
              <w:t xml:space="preserve">0.52</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0.79 (0.21)</w:t>
            </w:r>
          </w:p>
        </w:tc>
        <w:tc>
          <w:p>
            <w:pPr>
              <w:pStyle w:val="Compact"/>
              <w:jc w:val="right"/>
            </w:pPr>
            <w:r>
              <w:t xml:space="preserve">0.83</w:t>
            </w:r>
          </w:p>
        </w:tc>
        <w:tc>
          <w:p>
            <w:pPr>
              <w:pStyle w:val="Compact"/>
              <w:jc w:val="right"/>
            </w:pPr>
            <w:r>
              <w:t xml:space="preserve">0.14</w:t>
            </w:r>
          </w:p>
        </w:tc>
        <w:tc>
          <w:p>
            <w:pPr>
              <w:pStyle w:val="Compact"/>
              <w:jc w:val="right"/>
            </w:pPr>
            <w:r>
              <w:t xml:space="preserve">0.23</w:t>
            </w:r>
          </w:p>
        </w:tc>
        <w:tc>
          <w:p>
            <w:pPr>
              <w:pStyle w:val="Compact"/>
              <w:jc w:val="right"/>
            </w:pPr>
            <w:r>
              <w:t xml:space="preserve">0.71</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0.99 (0.1)</w:t>
            </w:r>
          </w:p>
        </w:tc>
        <w:tc>
          <w:p>
            <w:pPr>
              <w:pStyle w:val="Compact"/>
              <w:jc w:val="right"/>
            </w:pPr>
            <w:r>
              <w:t xml:space="preserve">0.59</w:t>
            </w:r>
          </w:p>
        </w:tc>
        <w:tc>
          <w:p>
            <w:pPr>
              <w:pStyle w:val="Compact"/>
              <w:jc w:val="right"/>
            </w:pPr>
            <w:r>
              <w:t xml:space="preserve">0.14</w:t>
            </w:r>
          </w:p>
        </w:tc>
        <w:tc>
          <w:p>
            <w:pPr>
              <w:pStyle w:val="Compact"/>
              <w:jc w:val="right"/>
            </w:pPr>
            <w:r>
              <w:t xml:space="preserve">0.66</w:t>
            </w:r>
          </w:p>
        </w:tc>
        <w:tc>
          <w:p>
            <w:pPr>
              <w:pStyle w:val="Compact"/>
              <w:jc w:val="right"/>
            </w:pPr>
            <w:r>
              <w:t xml:space="preserve">0.34</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(0.21)</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0.59</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 (0.21)</w:t>
            </w:r>
          </w:p>
        </w:tc>
        <w:tc>
          <w:p>
            <w:pPr>
              <w:pStyle w:val="Compact"/>
              <w:jc w:val="right"/>
            </w:pPr>
            <w:r>
              <w:t xml:space="preserve">0.73</w:t>
            </w:r>
          </w:p>
        </w:tc>
        <w:tc>
          <w:p>
            <w:pPr>
              <w:pStyle w:val="Compact"/>
              <w:jc w:val="right"/>
            </w:pPr>
            <w:r>
              <w:t xml:space="preserve">0.19</w:t>
            </w:r>
          </w:p>
        </w:tc>
        <w:tc>
          <w:p>
            <w:pPr>
              <w:pStyle w:val="Compact"/>
              <w:jc w:val="right"/>
            </w:pPr>
            <w:r>
              <w:t xml:space="preserve">0.38</w:t>
            </w:r>
          </w:p>
        </w:tc>
        <w:tc>
          <w:p>
            <w:pPr>
              <w:pStyle w:val="Compact"/>
              <w:jc w:val="right"/>
            </w:pPr>
            <w:r>
              <w:t xml:space="preserve">0.57</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0.57 (0.17)</w:t>
            </w:r>
          </w:p>
        </w:tc>
        <w:tc>
          <w:p>
            <w:pPr>
              <w:pStyle w:val="Compact"/>
              <w:jc w:val="right"/>
            </w:pPr>
            <w:r>
              <w:t xml:space="preserve">0.51</w:t>
            </w:r>
          </w:p>
        </w:tc>
        <w:tc>
          <w:p>
            <w:pPr>
              <w:pStyle w:val="Compact"/>
              <w:jc w:val="right"/>
            </w:pPr>
            <w:r>
              <w:t xml:space="preserve">0.19</w:t>
            </w:r>
          </w:p>
        </w:tc>
        <w:tc>
          <w:p>
            <w:pPr>
              <w:pStyle w:val="Compact"/>
              <w:jc w:val="right"/>
            </w:pPr>
            <w:r>
              <w:t xml:space="preserve">0.34</w:t>
            </w:r>
          </w:p>
        </w:tc>
        <w:tc>
          <w:p>
            <w:pPr>
              <w:pStyle w:val="Compact"/>
              <w:jc w:val="right"/>
            </w:pPr>
            <w:r>
              <w:t xml:space="preserve">0.45</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0.94 (0.12)</w:t>
            </w:r>
          </w:p>
        </w:tc>
        <w:tc>
          <w:p>
            <w:pPr>
              <w:pStyle w:val="Compact"/>
              <w:jc w:val="right"/>
            </w:pPr>
            <w:r>
              <w:t xml:space="preserve">0.57</w:t>
            </w:r>
          </w:p>
        </w:tc>
        <w:tc>
          <w:p>
            <w:pPr>
              <w:pStyle w:val="Compact"/>
              <w:jc w:val="right"/>
            </w:pPr>
            <w:r>
              <w:t xml:space="preserve">0.17</w:t>
            </w:r>
          </w:p>
        </w:tc>
        <w:tc>
          <w:p>
            <w:pPr>
              <w:pStyle w:val="Compact"/>
              <w:jc w:val="right"/>
            </w:pPr>
            <w:r>
              <w:t xml:space="preserve">0.61</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0.71</w:t>
            </w:r>
          </w:p>
        </w:tc>
        <w:tc>
          <w:p>
            <w:pPr>
              <w:pStyle w:val="Compact"/>
              <w:jc w:val="right"/>
            </w:pPr>
            <w:r>
              <w:t xml:space="preserve">0.17</w:t>
            </w:r>
          </w:p>
        </w:tc>
        <w:tc>
          <w:p>
            <w:pPr>
              <w:pStyle w:val="Compact"/>
              <w:jc w:val="right"/>
            </w:pPr>
            <w:r>
              <w:t xml:space="preserve">0.28</w:t>
            </w:r>
          </w:p>
        </w:tc>
        <w:tc>
          <w:p>
            <w:pPr>
              <w:pStyle w:val="Compact"/>
              <w:jc w:val="right"/>
            </w:pPr>
            <w:r>
              <w:t xml:space="preserve">0.62</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0.18</w:t>
            </w:r>
          </w:p>
        </w:tc>
        <w:tc>
          <w:p>
            <w:pPr>
              <w:pStyle w:val="Compact"/>
              <w:jc w:val="right"/>
            </w:pPr>
            <w:r>
              <w:t xml:space="preserve">0.18</w:t>
            </w:r>
          </w:p>
        </w:tc>
        <w:tc>
          <w:p>
            <w:pPr>
              <w:pStyle w:val="Compact"/>
              <w:jc w:val="right"/>
            </w:pPr>
            <w:r>
              <w:t xml:space="preserve">0.90</w:t>
            </w:r>
          </w:p>
        </w:tc>
        <w:tc>
          <w:p>
            <w:pPr>
              <w:pStyle w:val="Compact"/>
              <w:jc w:val="right"/>
            </w:pPr>
            <w:r>
              <w:t xml:space="preserve">0.09</w:t>
            </w:r>
          </w:p>
        </w:tc>
      </w:tr>
    </w:tbl>
    <w:p>
      <w:pPr>
        <w:pStyle w:val="BodyText"/>
      </w:pPr>
      <w:r>
        <w:t xml:space="preserve">Model performance differed by region.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poor for the Sierra Nevada region where the lowest correlation between predicted and observed values was observed. Regression estimates for the validation data in this region showed an intercept and slope of approximately 1 and 0. Overall, model performance was strongly associated with land use gradients in each region (Figure</w:t>
      </w:r>
      <w:r>
        <w:t xml:space="preserve"> </w:t>
      </w:r>
      <w:r>
        <w:t xml:space="preserve">5</w:t>
      </w:r>
      <w:r>
        <w:t xml:space="preserve">). The landscape model peformed well in regions with a mix of urban, agricultural, and open land, such as the South Coast region where strong gradients from open to urban lands occur in many watersheds (top left, Figure</w:t>
      </w:r>
      <w:r>
        <w:t xml:space="preserve"> </w:t>
      </w:r>
      <w:r>
        <w:t xml:space="preserve">6</w:t>
      </w:r>
      <w:r>
        <w:t xml:space="preserve">. Conversely, the model did not perform well in regions where developed landscapes were less common, such as the Sierra Nevada region. Figure</w:t>
      </w:r>
      <w:r>
        <w:t xml:space="preserve"> </w:t>
      </w:r>
      <w:r>
        <w:t xml:space="preserve">5</w:t>
      </w:r>
      <w:r>
        <w:t xml:space="preserve"> </w:t>
      </w:r>
      <w:r>
        <w:t xml:space="preserve">demonstrate a decrease in the model residuals as a function of increasing urban or agricultural land.</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BodyText"/>
      </w:pPr>
      <w:r>
        <w:t xml:space="preserve">Statewide patterns in stream constraints were apparent from the results of the landscape models consistent with land use (Figure</w:t>
      </w:r>
      <w:r>
        <w:t xml:space="preserve"> </w:t>
      </w:r>
      <w:r>
        <w:t xml:space="preserve">6</w:t>
      </w:r>
      <w:r>
        <w:t xml:space="preserve">). Stream reaches were more often constrained for biotic integrity in regions with more watershed development, either as urban or agricultural land. For example, likely constrained reaches are apparent from the statewide map in coastal reaches of the South Coast where heavy urbanization occurs and in the Central Valley where agriculure is the dominant land use. Stream reaches were more likely to be unconstrained in regions with less developemtn occurred, with areas in the North Coast and the Sierra Nevada region visible on the map (top right, Figure</w:t>
      </w:r>
      <w:r>
        <w:t xml:space="preserve"> </w:t>
      </w:r>
      <w:r>
        <w:t xml:space="preserve">6</w:t>
      </w:r>
      <w:r>
        <w:t xml:space="preserve">). A majority of reaches statewide were classified as possibly constrained (23% of all stream length) or possibly unconstrained (67%), whereas a minority were likely constrained (3%) or likely unconstrained (7%) (Table</w:t>
      </w:r>
      <w:r>
        <w:t xml:space="preserve"> </w:t>
      </w:r>
      <w:r>
        <w:t xml:space="preserve">4</w:t>
      </w:r>
      <w:r>
        <w:t xml:space="preserve">). By region, the most reaches classified as likely unconstrained reaches were in the North Coast (20%) and Sierra Nevada regions (19%) and the most reaches as likely constrained were observed in the Central Valley (25%) and South Coast (9%) regions. Relative CSCI scores compared to reach expectations were as expected for 92% of the sampled locations statewide, with an equal amount of sites under or over scoring (bottom Figure</w:t>
      </w:r>
      <w:r>
        <w:t xml:space="preserve"> </w:t>
      </w:r>
      <w:r>
        <w:t xml:space="preserve">6</w:t>
      </w:r>
      <w:r>
        <w:t xml:space="preserve">,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BodyText"/>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034"/>
        <w:gridCol w:w="1425"/>
        <w:gridCol w:w="1301"/>
        <w:gridCol w:w="1594"/>
        <w:gridCol w:w="901"/>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105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2333 (92)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1.14 (0.15)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99 (4)</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31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613 (93)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0.29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0.52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136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(NA)</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1.21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254 (93)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744 (92)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1.09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 (5)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482 (90)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 (5)</w:t>
            </w:r>
          </w:p>
        </w:tc>
      </w:tr>
    </w:tbl>
    <w:p>
      <w:pPr>
        <w:pStyle w:val="Heading2"/>
      </w:pPr>
      <w:bookmarkStart w:id="48" w:name="case-study"/>
      <w:r>
        <w:t xml:space="preserve">Case study</w:t>
      </w:r>
      <w:bookmarkEnd w:id="48"/>
    </w:p>
    <w:p>
      <w:pPr>
        <w:pStyle w:val="Compact"/>
        <w:numPr>
          <w:numId w:val="1004"/>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2"/>
      </w:pPr>
      <w:bookmarkStart w:id="52" w:name="drivers-of-biological-constraints"/>
      <w:r>
        <w:t xml:space="preserve">Drivers of biological constraints</w:t>
      </w:r>
      <w:bookmarkEnd w:id="52"/>
    </w:p>
    <w:p>
      <w:pPr>
        <w:pStyle w:val="Compact"/>
        <w:numPr>
          <w:numId w:val="1005"/>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Heading2"/>
      </w:pPr>
      <w:bookmarkStart w:id="54" w:name="sensitivity-analysis"/>
      <w:r>
        <w:t xml:space="preserve">Sensitivity analysis</w:t>
      </w:r>
      <w:bookmarkEnd w:id="54"/>
    </w:p>
    <w:p>
      <w:pPr>
        <w:pStyle w:val="Compact"/>
        <w:numPr>
          <w:numId w:val="1006"/>
          <w:ilvl w:val="0"/>
        </w:numPr>
      </w:pPr>
      <w:r>
        <w:t xml:space="preserve">Statewide results - reach classification statewide, Figure</w:t>
      </w:r>
      <w:r>
        <w:t xml:space="preserve"> </w:t>
      </w:r>
      <w:r>
        <w:t xml:space="preserve">11</w:t>
      </w:r>
    </w:p>
    <w:p>
      <w:pPr>
        <w:pStyle w:val="CaptionedFigure"/>
      </w:pPr>
      <w:r>
        <w:drawing>
          <wp:inline>
            <wp:extent cx="5943600" cy="6686549"/>
            <wp:effectExtent b="0" l="0" r="0" t="0"/>
            <wp:docPr descr="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5"/>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t xml:space="preserve">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w:t>
      </w:r>
    </w:p>
    <w:p>
      <w:pPr>
        <w:pStyle w:val="Heading2"/>
      </w:pPr>
      <w:bookmarkStart w:id="56" w:name="unclassified-reaches-1"/>
      <w:r>
        <w:t xml:space="preserve">Unclassified reaches</w:t>
      </w:r>
      <w:bookmarkEnd w:id="56"/>
    </w:p>
    <w:p>
      <w:pPr>
        <w:numPr>
          <w:numId w:val="1007"/>
          <w:ilvl w:val="0"/>
        </w:numPr>
      </w:pPr>
      <w:r>
        <w:t xml:space="preserve">Framework for assigning unclassified reach to a class - kmeans by ag/urban using eight clusters, clusters with maximum ag, maximum urb, and minimum sum of centers for both were identified.</w:t>
      </w:r>
    </w:p>
    <w:p>
      <w:pPr>
        <w:numPr>
          <w:numId w:val="1007"/>
          <w:ilvl w:val="0"/>
        </w:numPr>
      </w:pPr>
      <w:r>
        <w:t xml:space="preserve">Statewide patterns, Table</w:t>
      </w:r>
      <w:r>
        <w:t xml:space="preserve"> </w:t>
      </w:r>
      <w:r>
        <w:t xml:space="preserve">5</w:t>
      </w:r>
    </w:p>
    <w:p>
      <w:pPr>
        <w:pStyle w:val="TableCaption"/>
      </w:pPr>
      <w:r>
        <w:t xml:space="preserve">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w:t>
      </w:r>
    </w:p>
    <w:tbl>
      <w:tblPr>
        <w:tblStyle w:val="Table"/>
        <w:tblW w:type="pct" w:w="0.0"/>
        <w:tblLook w:firstRow="1"/>
        <w:tblCaption w:val="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0.29 - 0.89</w:t>
            </w:r>
          </w:p>
        </w:tc>
        <w:tc>
          <w:p>
            <w:pPr>
              <w:pStyle w:val="Compact"/>
              <w:jc w:val="left"/>
            </w:pPr>
            <w:r>
              <w:t xml:space="preserve">0.45 - 0.7</w:t>
            </w:r>
          </w:p>
        </w:tc>
        <w:tc>
          <w:p>
            <w:pPr>
              <w:pStyle w:val="Compact"/>
              <w:jc w:val="left"/>
            </w:pPr>
            <w:r>
              <w:t xml:space="preserve">0.56 - 0.6</w:t>
            </w:r>
          </w:p>
        </w:tc>
      </w:tr>
      <w:tr>
        <w:tc>
          <w:p>
            <w:pPr>
              <w:pStyle w:val="Compact"/>
            </w:pPr>
          </w:p>
        </w:tc>
        <w:tc>
          <w:p>
            <w:pPr>
              <w:pStyle w:val="Compact"/>
              <w:jc w:val="left"/>
            </w:pPr>
            <w:r>
              <w:t xml:space="preserve">Ag</w:t>
            </w:r>
          </w:p>
        </w:tc>
        <w:tc>
          <w:p>
            <w:pPr>
              <w:pStyle w:val="Compact"/>
              <w:jc w:val="left"/>
            </w:pPr>
            <w:r>
              <w:t xml:space="preserve">0.29 - 0.86</w:t>
            </w:r>
          </w:p>
        </w:tc>
        <w:tc>
          <w:p>
            <w:pPr>
              <w:pStyle w:val="Compact"/>
              <w:jc w:val="left"/>
            </w:pPr>
            <w:r>
              <w:t xml:space="preserve">0.42 - 0.66</w:t>
            </w:r>
          </w:p>
        </w:tc>
        <w:tc>
          <w:p>
            <w:pPr>
              <w:pStyle w:val="Compact"/>
              <w:jc w:val="left"/>
            </w:pPr>
            <w:r>
              <w:t xml:space="preserve">0.52 - 0.57</w:t>
            </w:r>
          </w:p>
        </w:tc>
      </w:tr>
      <w:tr>
        <w:tc>
          <w:p>
            <w:pPr>
              <w:pStyle w:val="Compact"/>
            </w:pPr>
          </w:p>
        </w:tc>
        <w:tc>
          <w:p>
            <w:pPr>
              <w:pStyle w:val="Compact"/>
              <w:jc w:val="left"/>
            </w:pPr>
            <w:r>
              <w:t xml:space="preserve">Other</w:t>
            </w:r>
          </w:p>
        </w:tc>
        <w:tc>
          <w:p>
            <w:pPr>
              <w:pStyle w:val="Compact"/>
              <w:jc w:val="left"/>
            </w:pPr>
            <w:r>
              <w:t xml:space="preserve">0.57 - 1.18</w:t>
            </w:r>
          </w:p>
        </w:tc>
        <w:tc>
          <w:p>
            <w:pPr>
              <w:pStyle w:val="Compact"/>
              <w:jc w:val="left"/>
            </w:pPr>
            <w:r>
              <w:t xml:space="preserve">0.8 - 1.04</w:t>
            </w:r>
          </w:p>
        </w:tc>
        <w:tc>
          <w:p>
            <w:pPr>
              <w:pStyle w:val="Compact"/>
              <w:jc w:val="left"/>
            </w:pPr>
            <w:r>
              <w:t xml:space="preserve">0.91 - 0.96</w:t>
            </w:r>
          </w:p>
        </w:tc>
      </w:tr>
      <w:tr>
        <w:tc>
          <w:p>
            <w:pPr>
              <w:pStyle w:val="Compact"/>
              <w:jc w:val="left"/>
            </w:pPr>
            <w:r>
              <w:t xml:space="preserve">CH</w:t>
            </w:r>
          </w:p>
        </w:tc>
        <w:tc>
          <w:p>
            <w:pPr>
              <w:pStyle w:val="Compact"/>
              <w:jc w:val="left"/>
            </w:pPr>
            <w:r>
              <w:t xml:space="preserve">Urban</w:t>
            </w:r>
          </w:p>
        </w:tc>
        <w:tc>
          <w:p>
            <w:pPr>
              <w:pStyle w:val="Compact"/>
              <w:jc w:val="left"/>
            </w:pPr>
            <w:r>
              <w:t xml:space="preserve">0.28 - 0.89</w:t>
            </w:r>
          </w:p>
        </w:tc>
        <w:tc>
          <w:p>
            <w:pPr>
              <w:pStyle w:val="Compact"/>
              <w:jc w:val="left"/>
            </w:pPr>
            <w:r>
              <w:t xml:space="preserve">0.43 - 0.7</w:t>
            </w:r>
          </w:p>
        </w:tc>
        <w:tc>
          <w:p>
            <w:pPr>
              <w:pStyle w:val="Compact"/>
              <w:jc w:val="left"/>
            </w:pPr>
            <w:r>
              <w:t xml:space="preserve">0.54 - 0.59</w:t>
            </w:r>
          </w:p>
        </w:tc>
      </w:tr>
      <w:tr>
        <w:tc>
          <w:p>
            <w:pPr>
              <w:pStyle w:val="Compact"/>
            </w:pPr>
          </w:p>
        </w:tc>
        <w:tc>
          <w:p>
            <w:pPr>
              <w:pStyle w:val="Compact"/>
              <w:jc w:val="left"/>
            </w:pPr>
            <w:r>
              <w:t xml:space="preserve">Ag</w:t>
            </w:r>
          </w:p>
        </w:tc>
        <w:tc>
          <w:p>
            <w:pPr>
              <w:pStyle w:val="Compact"/>
              <w:jc w:val="left"/>
            </w:pPr>
            <w:r>
              <w:t xml:space="preserve">0.31 - 0.98</w:t>
            </w:r>
          </w:p>
        </w:tc>
        <w:tc>
          <w:p>
            <w:pPr>
              <w:pStyle w:val="Compact"/>
              <w:jc w:val="left"/>
            </w:pPr>
            <w:r>
              <w:t xml:space="preserve">0.48 - 0.76</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0.5 - 1.16</w:t>
            </w:r>
          </w:p>
        </w:tc>
        <w:tc>
          <w:p>
            <w:pPr>
              <w:pStyle w:val="Compact"/>
              <w:jc w:val="left"/>
            </w:pPr>
            <w:r>
              <w:t xml:space="preserve">0.75 - 1.02</w:t>
            </w:r>
          </w:p>
        </w:tc>
        <w:tc>
          <w:p>
            <w:pPr>
              <w:pStyle w:val="Compact"/>
              <w:jc w:val="left"/>
            </w:pPr>
            <w:r>
              <w:t xml:space="preserve">0.88 - 0.93</w:t>
            </w:r>
          </w:p>
        </w:tc>
      </w:tr>
      <w:tr>
        <w:tc>
          <w:p>
            <w:pPr>
              <w:pStyle w:val="Compact"/>
              <w:jc w:val="left"/>
            </w:pPr>
            <w:r>
              <w:t xml:space="preserve">CV</w:t>
            </w:r>
          </w:p>
        </w:tc>
        <w:tc>
          <w:p>
            <w:pPr>
              <w:pStyle w:val="Compact"/>
              <w:jc w:val="left"/>
            </w:pPr>
            <w:r>
              <w:t xml:space="preserve">Urban</w:t>
            </w:r>
          </w:p>
        </w:tc>
        <w:tc>
          <w:p>
            <w:pPr>
              <w:pStyle w:val="Compact"/>
              <w:jc w:val="left"/>
            </w:pPr>
            <w:r>
              <w:t xml:space="preserve">0.24 - 0.85</w:t>
            </w:r>
          </w:p>
        </w:tc>
        <w:tc>
          <w:p>
            <w:pPr>
              <w:pStyle w:val="Compact"/>
              <w:jc w:val="left"/>
            </w:pPr>
            <w:r>
              <w:t xml:space="preserve">0.39 - 0.64</w:t>
            </w:r>
          </w:p>
        </w:tc>
        <w:tc>
          <w:p>
            <w:pPr>
              <w:pStyle w:val="Compact"/>
              <w:jc w:val="left"/>
            </w:pPr>
            <w:r>
              <w:t xml:space="preserve">0.49 - 0.53</w:t>
            </w:r>
          </w:p>
        </w:tc>
      </w:tr>
      <w:tr>
        <w:tc>
          <w:p>
            <w:pPr>
              <w:pStyle w:val="Compact"/>
            </w:pPr>
          </w:p>
        </w:tc>
        <w:tc>
          <w:p>
            <w:pPr>
              <w:pStyle w:val="Compact"/>
              <w:jc w:val="left"/>
            </w:pPr>
            <w:r>
              <w:t xml:space="preserve">Ag</w:t>
            </w:r>
          </w:p>
        </w:tc>
        <w:tc>
          <w:p>
            <w:pPr>
              <w:pStyle w:val="Compact"/>
              <w:jc w:val="left"/>
            </w:pPr>
            <w:r>
              <w:t xml:space="preserve">0.28 - 0.77</w:t>
            </w:r>
          </w:p>
        </w:tc>
        <w:tc>
          <w:p>
            <w:pPr>
              <w:pStyle w:val="Compact"/>
              <w:jc w:val="left"/>
            </w:pPr>
            <w:r>
              <w:t xml:space="preserve">0.39 - 0.6</w:t>
            </w:r>
          </w:p>
        </w:tc>
        <w:tc>
          <w:p>
            <w:pPr>
              <w:pStyle w:val="Compact"/>
              <w:jc w:val="left"/>
            </w:pPr>
            <w:r>
              <w:t xml:space="preserve">0.48 - 0.52</w:t>
            </w:r>
          </w:p>
        </w:tc>
      </w:tr>
      <w:tr>
        <w:tc>
          <w:p>
            <w:pPr>
              <w:pStyle w:val="Compact"/>
            </w:pPr>
          </w:p>
        </w:tc>
        <w:tc>
          <w:p>
            <w:pPr>
              <w:pStyle w:val="Compact"/>
              <w:jc w:val="left"/>
            </w:pPr>
            <w:r>
              <w:t xml:space="preserve">Other</w:t>
            </w:r>
          </w:p>
        </w:tc>
        <w:tc>
          <w:p>
            <w:pPr>
              <w:pStyle w:val="Compact"/>
              <w:jc w:val="left"/>
            </w:pPr>
            <w:r>
              <w:t xml:space="preserve">0.4 - 1.08</w:t>
            </w:r>
          </w:p>
        </w:tc>
        <w:tc>
          <w:p>
            <w:pPr>
              <w:pStyle w:val="Compact"/>
              <w:jc w:val="left"/>
            </w:pPr>
            <w:r>
              <w:t xml:space="preserve">0.61 - 0.9</w:t>
            </w:r>
          </w:p>
        </w:tc>
        <w:tc>
          <w:p>
            <w:pPr>
              <w:pStyle w:val="Compact"/>
              <w:jc w:val="left"/>
            </w:pPr>
            <w:r>
              <w:t xml:space="preserve">0.73 - 0.79</w:t>
            </w:r>
          </w:p>
        </w:tc>
      </w:tr>
      <w:tr>
        <w:tc>
          <w:p>
            <w:pPr>
              <w:pStyle w:val="Compact"/>
              <w:jc w:val="left"/>
            </w:pPr>
            <w:r>
              <w:t xml:space="preserve">SN</w:t>
            </w:r>
          </w:p>
        </w:tc>
        <w:tc>
          <w:p>
            <w:pPr>
              <w:pStyle w:val="Compact"/>
              <w:jc w:val="left"/>
            </w:pPr>
            <w:r>
              <w:t xml:space="preserve">Urban</w:t>
            </w:r>
          </w:p>
        </w:tc>
        <w:tc>
          <w:p>
            <w:pPr>
              <w:pStyle w:val="Compact"/>
              <w:jc w:val="left"/>
            </w:pPr>
            <w:r>
              <w:t xml:space="preserve">0.49 - 1.17</w:t>
            </w:r>
          </w:p>
        </w:tc>
        <w:tc>
          <w:p>
            <w:pPr>
              <w:pStyle w:val="Compact"/>
              <w:jc w:val="left"/>
            </w:pPr>
            <w:r>
              <w:t xml:space="preserve">0.71 - 1.03</w:t>
            </w:r>
          </w:p>
        </w:tc>
        <w:tc>
          <w:p>
            <w:pPr>
              <w:pStyle w:val="Compact"/>
              <w:jc w:val="left"/>
            </w:pPr>
            <w:r>
              <w:t xml:space="preserve">0.86 - 0.92</w:t>
            </w:r>
          </w:p>
        </w:tc>
      </w:tr>
      <w:tr>
        <w:tc>
          <w:p>
            <w:pPr>
              <w:pStyle w:val="Compact"/>
            </w:pPr>
          </w:p>
        </w:tc>
        <w:tc>
          <w:p>
            <w:pPr>
              <w:pStyle w:val="Compact"/>
              <w:jc w:val="left"/>
            </w:pPr>
            <w:r>
              <w:t xml:space="preserve">Ag</w:t>
            </w:r>
          </w:p>
        </w:tc>
        <w:tc>
          <w:p>
            <w:pPr>
              <w:pStyle w:val="Compact"/>
              <w:jc w:val="left"/>
            </w:pPr>
            <w:r>
              <w:t xml:space="preserve">0.31 - 1.03</w:t>
            </w:r>
          </w:p>
        </w:tc>
        <w:tc>
          <w:p>
            <w:pPr>
              <w:pStyle w:val="Compact"/>
              <w:jc w:val="left"/>
            </w:pPr>
            <w:r>
              <w:t xml:space="preserve">0.49 - 0.82</w:t>
            </w:r>
          </w:p>
        </w:tc>
        <w:tc>
          <w:p>
            <w:pPr>
              <w:pStyle w:val="Compact"/>
              <w:jc w:val="left"/>
            </w:pPr>
            <w:r>
              <w:t xml:space="preserve">0.62 - 0.68</w:t>
            </w:r>
          </w:p>
        </w:tc>
      </w:tr>
      <w:tr>
        <w:tc>
          <w:p>
            <w:pPr>
              <w:pStyle w:val="Compact"/>
            </w:pPr>
          </w:p>
        </w:tc>
        <w:tc>
          <w:p>
            <w:pPr>
              <w:pStyle w:val="Compact"/>
              <w:jc w:val="left"/>
            </w:pPr>
            <w:r>
              <w:t xml:space="preserve">Other</w:t>
            </w:r>
          </w:p>
        </w:tc>
        <w:tc>
          <w:p>
            <w:pPr>
              <w:pStyle w:val="Compact"/>
              <w:jc w:val="left"/>
            </w:pPr>
            <w:r>
              <w:t xml:space="preserve">0.68 - 1.2</w:t>
            </w:r>
          </w:p>
        </w:tc>
        <w:tc>
          <w:p>
            <w:pPr>
              <w:pStyle w:val="Compact"/>
              <w:jc w:val="left"/>
            </w:pPr>
            <w:r>
              <w:t xml:space="preserve">0.88 - 1.08</w:t>
            </w:r>
          </w:p>
        </w:tc>
        <w:tc>
          <w:p>
            <w:pPr>
              <w:pStyle w:val="Compact"/>
              <w:jc w:val="left"/>
            </w:pPr>
            <w:r>
              <w:t xml:space="preserve">0.97 - 1.01</w:t>
            </w:r>
          </w:p>
        </w:tc>
      </w:tr>
      <w:tr>
        <w:tc>
          <w:p>
            <w:pPr>
              <w:pStyle w:val="Compact"/>
              <w:jc w:val="left"/>
            </w:pPr>
            <w:r>
              <w:t xml:space="preserve">SC</w:t>
            </w:r>
          </w:p>
        </w:tc>
        <w:tc>
          <w:p>
            <w:pPr>
              <w:pStyle w:val="Compact"/>
              <w:jc w:val="left"/>
            </w:pPr>
            <w:r>
              <w:t xml:space="preserve">Urban</w:t>
            </w:r>
          </w:p>
        </w:tc>
        <w:tc>
          <w:p>
            <w:pPr>
              <w:pStyle w:val="Compact"/>
              <w:jc w:val="left"/>
            </w:pPr>
            <w:r>
              <w:t xml:space="preserve">0.29 - 0.82</w:t>
            </w:r>
          </w:p>
        </w:tc>
        <w:tc>
          <w:p>
            <w:pPr>
              <w:pStyle w:val="Compact"/>
              <w:jc w:val="left"/>
            </w:pPr>
            <w:r>
              <w:t xml:space="preserve">0.43 - 0.66</w:t>
            </w:r>
          </w:p>
        </w:tc>
        <w:tc>
          <w:p>
            <w:pPr>
              <w:pStyle w:val="Compact"/>
              <w:jc w:val="left"/>
            </w:pPr>
            <w:r>
              <w:t xml:space="preserve">0.53 - 0.57</w:t>
            </w:r>
          </w:p>
        </w:tc>
      </w:tr>
      <w:tr>
        <w:tc>
          <w:p>
            <w:pPr>
              <w:pStyle w:val="Compact"/>
            </w:pPr>
          </w:p>
        </w:tc>
        <w:tc>
          <w:p>
            <w:pPr>
              <w:pStyle w:val="Compact"/>
              <w:jc w:val="left"/>
            </w:pPr>
            <w:r>
              <w:t xml:space="preserve">Ag</w:t>
            </w:r>
          </w:p>
        </w:tc>
        <w:tc>
          <w:p>
            <w:pPr>
              <w:pStyle w:val="Compact"/>
              <w:jc w:val="left"/>
            </w:pPr>
            <w:r>
              <w:t xml:space="preserve">0.37 - 0.96</w:t>
            </w:r>
          </w:p>
        </w:tc>
        <w:tc>
          <w:p>
            <w:pPr>
              <w:pStyle w:val="Compact"/>
              <w:jc w:val="left"/>
            </w:pPr>
            <w:r>
              <w:t xml:space="preserve">0.56 - 0.8</w:t>
            </w:r>
          </w:p>
        </w:tc>
        <w:tc>
          <w:p>
            <w:pPr>
              <w:pStyle w:val="Compact"/>
              <w:jc w:val="left"/>
            </w:pPr>
            <w:r>
              <w:t xml:space="preserve">0.66 - 0.71</w:t>
            </w:r>
          </w:p>
        </w:tc>
      </w:tr>
      <w:tr>
        <w:tc>
          <w:p>
            <w:pPr>
              <w:pStyle w:val="Compact"/>
            </w:pPr>
          </w:p>
        </w:tc>
        <w:tc>
          <w:p>
            <w:pPr>
              <w:pStyle w:val="Compact"/>
              <w:jc w:val="left"/>
            </w:pPr>
            <w:r>
              <w:t xml:space="preserve">Other</w:t>
            </w:r>
          </w:p>
        </w:tc>
        <w:tc>
          <w:p>
            <w:pPr>
              <w:pStyle w:val="Compact"/>
              <w:jc w:val="left"/>
            </w:pPr>
            <w:r>
              <w:t xml:space="preserve">0.64 - 1.2</w:t>
            </w:r>
          </w:p>
        </w:tc>
        <w:tc>
          <w:p>
            <w:pPr>
              <w:pStyle w:val="Compact"/>
              <w:jc w:val="left"/>
            </w:pPr>
            <w:r>
              <w:t xml:space="preserve">0.86 - 1.07</w:t>
            </w:r>
          </w:p>
        </w:tc>
        <w:tc>
          <w:p>
            <w:pPr>
              <w:pStyle w:val="Compact"/>
              <w:jc w:val="left"/>
            </w:pPr>
            <w:r>
              <w:t xml:space="preserve">0.95 - 0.99</w:t>
            </w:r>
          </w:p>
        </w:tc>
      </w:tr>
      <w:tr>
        <w:tc>
          <w:p>
            <w:pPr>
              <w:pStyle w:val="Compact"/>
              <w:jc w:val="left"/>
            </w:pPr>
            <w:r>
              <w:t xml:space="preserve">DM</w:t>
            </w:r>
          </w:p>
        </w:tc>
        <w:tc>
          <w:p>
            <w:pPr>
              <w:pStyle w:val="Compact"/>
              <w:jc w:val="left"/>
            </w:pPr>
            <w:r>
              <w:t xml:space="preserve">Urban</w:t>
            </w:r>
          </w:p>
        </w:tc>
        <w:tc>
          <w:p>
            <w:pPr>
              <w:pStyle w:val="Compact"/>
              <w:jc w:val="left"/>
            </w:pPr>
            <w:r>
              <w:t xml:space="preserve">0.4 - 1.1</w:t>
            </w:r>
          </w:p>
        </w:tc>
        <w:tc>
          <w:p>
            <w:pPr>
              <w:pStyle w:val="Compact"/>
              <w:jc w:val="left"/>
            </w:pPr>
            <w:r>
              <w:t xml:space="preserve">0.62 - 0.92</w:t>
            </w:r>
          </w:p>
        </w:tc>
        <w:tc>
          <w:p>
            <w:pPr>
              <w:pStyle w:val="Compact"/>
              <w:jc w:val="left"/>
            </w:pPr>
            <w:r>
              <w:t xml:space="preserve">0.74 - 0.8</w:t>
            </w:r>
          </w:p>
        </w:tc>
      </w:tr>
      <w:tr>
        <w:tc>
          <w:p>
            <w:pPr>
              <w:pStyle w:val="Compact"/>
            </w:pPr>
          </w:p>
        </w:tc>
        <w:tc>
          <w:p>
            <w:pPr>
              <w:pStyle w:val="Compact"/>
              <w:jc w:val="left"/>
            </w:pPr>
            <w:r>
              <w:t xml:space="preserve">Ag</w:t>
            </w:r>
          </w:p>
        </w:tc>
        <w:tc>
          <w:p>
            <w:pPr>
              <w:pStyle w:val="Compact"/>
              <w:jc w:val="left"/>
            </w:pPr>
            <w:r>
              <w:t xml:space="preserve">0.29 - 0.96</w:t>
            </w:r>
          </w:p>
        </w:tc>
        <w:tc>
          <w:p>
            <w:pPr>
              <w:pStyle w:val="Compact"/>
              <w:jc w:val="left"/>
            </w:pPr>
            <w:r>
              <w:t xml:space="preserve">0.44 - 0.74</w:t>
            </w:r>
          </w:p>
        </w:tc>
        <w:tc>
          <w:p>
            <w:pPr>
              <w:pStyle w:val="Compact"/>
              <w:jc w:val="left"/>
            </w:pPr>
            <w:r>
              <w:t xml:space="preserve">0.56 - 0.62</w:t>
            </w:r>
          </w:p>
        </w:tc>
      </w:tr>
      <w:tr>
        <w:tc>
          <w:p>
            <w:pPr>
              <w:pStyle w:val="Compact"/>
            </w:pPr>
          </w:p>
        </w:tc>
        <w:tc>
          <w:p>
            <w:pPr>
              <w:pStyle w:val="Compact"/>
              <w:jc w:val="left"/>
            </w:pPr>
            <w:r>
              <w:t xml:space="preserve">Other</w:t>
            </w:r>
          </w:p>
        </w:tc>
        <w:tc>
          <w:p>
            <w:pPr>
              <w:pStyle w:val="Compact"/>
              <w:jc w:val="left"/>
            </w:pPr>
            <w:r>
              <w:t xml:space="preserve">0.48 - 1.17</w:t>
            </w:r>
          </w:p>
        </w:tc>
        <w:tc>
          <w:p>
            <w:pPr>
              <w:pStyle w:val="Compact"/>
              <w:jc w:val="left"/>
            </w:pPr>
            <w:r>
              <w:t xml:space="preserve">0.72 - 1.01</w:t>
            </w:r>
          </w:p>
        </w:tc>
        <w:tc>
          <w:p>
            <w:pPr>
              <w:pStyle w:val="Compact"/>
              <w:jc w:val="left"/>
            </w:pPr>
            <w:r>
              <w:t xml:space="preserve">0.87 - 0.92</w:t>
            </w:r>
          </w:p>
        </w:tc>
      </w:tr>
      <w:tr>
        <w:tc>
          <w:p>
            <w:pPr>
              <w:pStyle w:val="Compact"/>
              <w:jc w:val="left"/>
            </w:pPr>
            <w:r>
              <w:t xml:space="preserve">NC</w:t>
            </w:r>
          </w:p>
        </w:tc>
        <w:tc>
          <w:p>
            <w:pPr>
              <w:pStyle w:val="Compact"/>
              <w:jc w:val="left"/>
            </w:pPr>
            <w:r>
              <w:t xml:space="preserve">Urban</w:t>
            </w:r>
          </w:p>
        </w:tc>
        <w:tc>
          <w:p>
            <w:pPr>
              <w:pStyle w:val="Compact"/>
              <w:jc w:val="left"/>
            </w:pPr>
            <w:r>
              <w:t xml:space="preserve">0.52 - 1.17</w:t>
            </w:r>
          </w:p>
        </w:tc>
        <w:tc>
          <w:p>
            <w:pPr>
              <w:pStyle w:val="Compact"/>
              <w:jc w:val="left"/>
            </w:pPr>
            <w:r>
              <w:t xml:space="preserve">0.79 - 1.04</w:t>
            </w:r>
          </w:p>
        </w:tc>
        <w:tc>
          <w:p>
            <w:pPr>
              <w:pStyle w:val="Compact"/>
              <w:jc w:val="left"/>
            </w:pPr>
            <w:r>
              <w:t xml:space="preserve">0.91 - 0.96</w:t>
            </w:r>
          </w:p>
        </w:tc>
      </w:tr>
      <w:tr>
        <w:tc>
          <w:p>
            <w:pPr>
              <w:pStyle w:val="Compact"/>
            </w:pPr>
          </w:p>
        </w:tc>
        <w:tc>
          <w:p>
            <w:pPr>
              <w:pStyle w:val="Compact"/>
              <w:jc w:val="left"/>
            </w:pPr>
            <w:r>
              <w:t xml:space="preserve">Ag</w:t>
            </w:r>
          </w:p>
        </w:tc>
        <w:tc>
          <w:p>
            <w:pPr>
              <w:pStyle w:val="Compact"/>
              <w:jc w:val="left"/>
            </w:pPr>
            <w:r>
              <w:t xml:space="preserve">0.29 - 1.02</w:t>
            </w:r>
          </w:p>
        </w:tc>
        <w:tc>
          <w:p>
            <w:pPr>
              <w:pStyle w:val="Compact"/>
              <w:jc w:val="left"/>
            </w:pPr>
            <w:r>
              <w:t xml:space="preserve">0.47 - 0.78</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0.71 - 1.17</w:t>
            </w:r>
          </w:p>
        </w:tc>
        <w:tc>
          <w:p>
            <w:pPr>
              <w:pStyle w:val="Compact"/>
              <w:jc w:val="left"/>
            </w:pPr>
            <w:r>
              <w:t xml:space="preserve">0.9 - 1.07</w:t>
            </w:r>
          </w:p>
        </w:tc>
        <w:tc>
          <w:p>
            <w:pPr>
              <w:pStyle w:val="Compact"/>
              <w:jc w:val="left"/>
            </w:pPr>
            <w:r>
              <w:t xml:space="preserve">0.98 - 1.01</w:t>
            </w:r>
          </w:p>
        </w:tc>
      </w:tr>
    </w:tbl>
    <w:p>
      <w:pPr>
        <w:pStyle w:val="Heading1"/>
      </w:pPr>
      <w:bookmarkStart w:id="57" w:name="discussion"/>
      <w:r>
        <w:t xml:space="preserve">Discussion</w:t>
      </w:r>
      <w:bookmarkEnd w:id="57"/>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8" w:name="supplement"/>
      <w:r>
        <w:t xml:space="preserve">Supplement</w:t>
      </w:r>
      <w:bookmarkEnd w:id="58"/>
    </w:p>
    <w:p>
      <w:pPr>
        <w:pStyle w:val="FirstParagraph"/>
      </w:pPr>
      <w:r>
        <w:t xml:space="preserve">Online application.</w:t>
      </w:r>
    </w:p>
    <w:p>
      <w:pPr>
        <w:pStyle w:val="Heading1"/>
      </w:pPr>
      <w:bookmarkStart w:id="59" w:name="references"/>
      <w:r>
        <w:t xml:space="preserve">References</w:t>
      </w:r>
      <w:bookmarkEnd w:id="59"/>
    </w:p>
    <w:bookmarkStart w:id="95" w:name="refs"/>
    <w:bookmarkStart w:id="60"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0"/>
    <w:bookmarkStart w:id="6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1"/>
    <w:bookmarkStart w:id="6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2">
        <w:r>
          <w:rPr>
            <w:rStyle w:val="Hyperlink"/>
          </w:rPr>
          <w:t xml:space="preserve">https://doi.org/10.1007/s10661-008-0256-z</w:t>
        </w:r>
      </w:hyperlink>
      <w:r>
        <w:t xml:space="preserve">.</w:t>
      </w:r>
    </w:p>
    <w:bookmarkEnd w:id="63"/>
    <w:bookmarkStart w:id="6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4">
        <w:r>
          <w:rPr>
            <w:rStyle w:val="Hyperlink"/>
          </w:rPr>
          <w:t xml:space="preserve">https://doi.org/10.1016/j.ecolind.2013.07.006</w:t>
        </w:r>
      </w:hyperlink>
      <w:r>
        <w:t xml:space="preserve">.</w:t>
      </w:r>
    </w:p>
    <w:bookmarkEnd w:id="65"/>
    <w:bookmarkStart w:id="6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6"/>
    <w:bookmarkStart w:id="68"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7">
        <w:r>
          <w:rPr>
            <w:rStyle w:val="Hyperlink"/>
          </w:rPr>
          <w:t xml:space="preserve">https://doi.org/10.1111/1752-1688.12372</w:t>
        </w:r>
      </w:hyperlink>
      <w:r>
        <w:t xml:space="preserve">.</w:t>
      </w:r>
    </w:p>
    <w:bookmarkEnd w:id="68"/>
    <w:bookmarkStart w:id="7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9">
        <w:r>
          <w:rPr>
            <w:rStyle w:val="Hyperlink"/>
          </w:rPr>
          <w:t xml:space="preserve">https://doi.org/10.1371/journal.pone.0130710</w:t>
        </w:r>
      </w:hyperlink>
      <w:r>
        <w:t xml:space="preserve">.</w:t>
      </w:r>
    </w:p>
    <w:bookmarkEnd w:id="70"/>
    <w:bookmarkStart w:id="71"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1"/>
    <w:bookmarkStart w:id="7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2">
        <w:r>
          <w:rPr>
            <w:rStyle w:val="Hyperlink"/>
          </w:rPr>
          <w:t xml:space="preserve">https://doi.org/10.1111/j.1752-1688.2011.00635.x</w:t>
        </w:r>
      </w:hyperlink>
      <w:r>
        <w:t xml:space="preserve">.</w:t>
      </w:r>
    </w:p>
    <w:bookmarkEnd w:id="73"/>
    <w:bookmarkStart w:id="7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4">
        <w:r>
          <w:rPr>
            <w:rStyle w:val="Hyperlink"/>
          </w:rPr>
          <w:t xml:space="preserve">https://doi.org/10.1016/j.scitotenv.2015.07.083</w:t>
        </w:r>
      </w:hyperlink>
      <w:r>
        <w:t xml:space="preserve">.</w:t>
      </w:r>
    </w:p>
    <w:bookmarkEnd w:id="75"/>
    <w:bookmarkStart w:id="7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6"/>
    <w:bookmarkStart w:id="7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7"/>
    <w:bookmarkStart w:id="7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8">
        <w:r>
          <w:rPr>
            <w:rStyle w:val="Hyperlink"/>
          </w:rPr>
          <w:t xml:space="preserve">https://CRAN.R-project.org/package=quantregForest</w:t>
        </w:r>
      </w:hyperlink>
      <w:r>
        <w:t xml:space="preserve">.</w:t>
      </w:r>
    </w:p>
    <w:bookmarkEnd w:id="79"/>
    <w:bookmarkStart w:id="8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80">
        <w:r>
          <w:rPr>
            <w:rStyle w:val="Hyperlink"/>
          </w:rPr>
          <w:t xml:space="preserve">https://doi.org/10.1016/j.watres.2004.09.002</w:t>
        </w:r>
      </w:hyperlink>
      <w:r>
        <w:t xml:space="preserve">.</w:t>
      </w:r>
    </w:p>
    <w:bookmarkEnd w:id="81"/>
    <w:bookmarkStart w:id="8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2"/>
    <w:bookmarkStart w:id="8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3"/>
    <w:bookmarkStart w:id="84"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4"/>
    <w:bookmarkStart w:id="8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5"/>
    <w:bookmarkStart w:id="87"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6">
        <w:r>
          <w:rPr>
            <w:rStyle w:val="Hyperlink"/>
          </w:rPr>
          <w:t xml:space="preserve">https://doi.org/10.1111/gec3.12039</w:t>
        </w:r>
      </w:hyperlink>
      <w:r>
        <w:t xml:space="preserve">.</w:t>
      </w:r>
    </w:p>
    <w:bookmarkEnd w:id="87"/>
    <w:bookmarkStart w:id="89"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8">
        <w:r>
          <w:rPr>
            <w:rStyle w:val="Hyperlink"/>
          </w:rPr>
          <w:t xml:space="preserve">https://doi.org/10.1007/s10661-010-1385-8</w:t>
        </w:r>
      </w:hyperlink>
      <w:r>
        <w:t xml:space="preserve">.</w:t>
      </w:r>
    </w:p>
    <w:bookmarkEnd w:id="89"/>
    <w:bookmarkStart w:id="91"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90">
        <w:r>
          <w:rPr>
            <w:rStyle w:val="Hyperlink"/>
          </w:rPr>
          <w:t xml:space="preserve">https://doi.org/10.1046/j.1365-2427.2001.00758.x</w:t>
        </w:r>
      </w:hyperlink>
      <w:r>
        <w:t xml:space="preserve">.</w:t>
      </w:r>
    </w:p>
    <w:bookmarkEnd w:id="91"/>
    <w:bookmarkStart w:id="93"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2">
        <w:r>
          <w:rPr>
            <w:rStyle w:val="Hyperlink"/>
          </w:rPr>
          <w:t xml:space="preserve">https://doi.org/10.1111/j.1365-2664.2008.01548.x</w:t>
        </w:r>
      </w:hyperlink>
      <w:r>
        <w:t xml:space="preserve">.</w:t>
      </w:r>
    </w:p>
    <w:bookmarkEnd w:id="93"/>
    <w:bookmarkStart w:id="94" w:name="ref-USGS14"/>
    <w:p>
      <w:pPr>
        <w:pStyle w:val="Bibliography"/>
      </w:pPr>
      <w:r>
        <w:t xml:space="preserve">USGS (US Geological Survey). 2014. “National Hydrography Dataset available on the World Wide Web.”</w:t>
      </w:r>
    </w:p>
    <w:bookmarkEnd w:id="94"/>
    <w:bookmarkEnd w:id="9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2018-04-16T21:36:58Z</dcterms:created>
  <dcterms:modified xsi:type="dcterms:W3CDTF">2018-04-16T21:36:58Z</dcterms:modified>
</cp:coreProperties>
</file>