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63.png" ContentType="image/png"/>
  <Override PartName="/word/media/rId54.png" ContentType="image/png"/>
  <Override PartName="/word/media/rId59.png" ContentType="image/png"/>
  <Override PartName="/word/media/rId64.png" ContentType="image/png"/>
  <Override PartName="/word/media/rId58.png" ContentType="image/png"/>
  <Override PartName="/word/media/rId62.png" ContentType="image/png"/>
  <Override PartName="/word/media/rId56.png" ContentType="image/png"/>
  <Override PartName="/word/media/rId65.png" ContentType="image/png"/>
  <Override PartName="/word/media/rId61.png" ContentType="image/png"/>
  <Override PartName="/word/media/rId60.png" ContentType="image/png"/>
  <Override PartName="/word/media/rId5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Wed Jun 13 12:38:21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Landscape constraints in developed environments, such as modified urban streams, have led to alternative considerations on use attainability where reference conditions may be difficult or impractical to achieve given local conditions. Potential upper limits on biological health imposed by land use also have relevance for the application of bioassessment indices for biological criteria. A bioassessment index may be difficult to incorporate into regulatory statutes if thresholds for biological objectives are impractical within site-specific conditions. Managers require explicit information that can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Developing an expectation of biological potential as a function of land use constraints could help prioritize where management actions are most likely to achieve intended outcomes.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Understanding limits to biological potential is a fundamental concept in bioassessment that has recieved some attention. Methods for factor-ceiling analysis have been explored in bioassessment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will be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w:t>
      </w:r>
    </w:p>
    <w:p>
      <w:pPr>
        <w:pStyle w:val="BodyText"/>
      </w:pPr>
      <w:r>
        <w:t xml:space="preserve">An approach to comprehensively evaluate the potential for success of alternative management scenarios for streams under landscape constraints could be developed with predictive models that estimate limits on expectations. Previous efforts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biological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sufficient data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ensure sufficient representation of landscape gradients in each ecoregion.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neither of the two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 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w:t>
      </w:r>
      <w:r>
        <w:t xml:space="preserve"> </w:t>
      </w:r>
      <w:r>
        <w:t xml:space="preserve">9</w:t>
      </w:r>
      <w:r>
        <w:t xml:space="preserve">,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state-wide-patterns"/>
      <w:r>
        <w:t xml:space="preserve">State-wide patterns</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By region, the most bioassessment samples were observed in the South Coast (n = 839), followed by the the Chapparal (n = 684) and Sierra Nevada regions (n = 548). Model performance statewide and by region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w:t>
      </w:r>
      <w:r>
        <w:t xml:space="preserve"> </w:t>
      </w:r>
      <m:oMath>
        <m:r>
          <m:t>ρ</m:t>
        </m:r>
        <m:r>
          <m:t>=</m:t>
        </m:r>
      </m:oMath>
      <w:r>
        <w:t xml:space="preserve"> </w:t>
      </w:r>
      <w:r>
        <w:t xml:space="preserve">0.84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w:t>
      </w:r>
      <m:oMath>
        <m:r>
          <m:t>ρ</m:t>
        </m:r>
        <m:r>
          <m:t>=</m:t>
        </m:r>
      </m:oMath>
      <w:r>
        <w:t xml:space="preserve"> </w:t>
      </w:r>
      <w:r>
        <w:t xml:space="preserve">0.72) and larger RMSE (0.18) estimates.</w:t>
      </w:r>
    </w:p>
    <w:p>
      <w:pPr>
        <w:pStyle w:val="BodyText"/>
      </w:pPr>
      <w:r>
        <w:t xml:space="preserve">Model performance differed by region.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poor for the Sierra Nevada region where the lowest correlation between predicted and observed values was observed. Regression estimates for the validation data in this region showed an intercept and slope of approximately 1 and 0. Overall, model performance was strongly associated with land use gradients in each region (Figure</w:t>
      </w:r>
      <w:r>
        <w:t xml:space="preserve"> </w:t>
      </w:r>
      <w:r>
        <w:t xml:space="preserve">5</w:t>
      </w:r>
      <w:r>
        <w:t xml:space="preserve">). The landscape model peformed well in regions with a mix of urban, agricultural, and open land, such as the South Coast, where strong gradients occur in many watersheds. Conversely, the model did not perform well in regions where developed landscapes were less common, such as the Sierra Nevada region.</w:t>
      </w:r>
    </w:p>
    <w:p>
      <w:pPr>
        <w:pStyle w:val="BodyText"/>
      </w:pPr>
      <w:r>
        <w:t xml:space="preserve">Statewide patterns in stream constraints were apparent from the results of the landscape model consistent with land use (Figure</w:t>
      </w:r>
      <w:r>
        <w:t xml:space="preserve"> </w:t>
      </w:r>
      <w:r>
        <w:t xml:space="preserve">6</w:t>
      </w:r>
      <w:r>
        <w:t xml:space="preserve">). Stream reaches were more often constrained for biotic integrity in regions with more watershed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By region, the most reaches classified as likely unconstrained reaches were in the Sierra Nevad (50%), North Coast (46%), and Desert Modoc (46%) regions, whereas the most reaches as likely constrained were observed in the Central Valley (22%) and South Coast (15%) regions.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2" w:name="case-study"/>
      <w:r>
        <w:t xml:space="preserve">Case study</w:t>
      </w:r>
      <w:bookmarkEnd w:id="42"/>
    </w:p>
    <w:p>
      <w:pPr>
        <w:pStyle w:val="FirstParagraph"/>
      </w:pPr>
      <w:r>
        <w:t xml:space="preserve">Application of the landscape model to the San Gabriel River watershed and engagement with a stakeholder group demonstrated how the results can be used to locally prioritize actions for different stream reaches.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7</w:t>
      </w:r>
      <w:r>
        <w:t xml:space="preserve">). Application of the landscape model results to the CSCI scores provided a context of expectations consistent with the strong land use gradient in the watershed. Stream reaches in the upper watershed were a mix of likely and possibly unconstrained, whereas all stream reaches in the lower watershed were classified as likely constrained. Several reaches in the lower watershed had ranges that were right-skewed toward very low CSCI scores consistent with extreme landscape pressures.</w:t>
      </w:r>
    </w:p>
    <w:p>
      <w:pPr>
        <w:pStyle w:val="BodyText"/>
      </w:pPr>
      <w:r>
        <w:t xml:space="preserve">Most of the sampling stations in the SGR watershed were within the expected ranges of CSCI scores for the defined stream classes (top, Figure</w:t>
      </w:r>
      <w:r>
        <w:t xml:space="preserve"> </w:t>
      </w:r>
      <w:r>
        <w:t xml:space="preserve">8</w:t>
      </w:r>
      <w:r>
        <w:t xml:space="preserve">). 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certain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The three priority management actions identified by the stakeholder group (investigate, protect, restore) were ranked from low, medium, to high for each potential reach type (Figure</w:t>
      </w:r>
      <w:r>
        <w:t xml:space="preserve"> </w:t>
      </w:r>
      <w:r>
        <w:t xml:space="preserve">9</w:t>
      </w:r>
      <w:r>
        <w:t xml:space="preserve">). High priority recommendations were generally given to over and under scoring sites in likely unconstrained reaches or those below the hypothetical threshold with possibly unconstrained classification. Low priority actions were most often recommended for possibly and likely constrained sites, or no action was recommended where it was assumed baseline monitoring and maintenance was sufficient.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2"/>
      </w:pPr>
      <w:bookmarkStart w:id="43" w:name="drivers-of-biological-constraints-and-sensitivity-analysis"/>
      <w:r>
        <w:t xml:space="preserve">Drivers of biological constraints and sensitivity analysis</w:t>
      </w:r>
      <w:bookmarkEnd w:id="43"/>
    </w:p>
    <w:p>
      <w:pPr>
        <w:pStyle w:val="FirstParagraph"/>
      </w:pPr>
      <w:r>
        <w:t xml:space="preserve">Importance measures from random forest models identified key variables that explained the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The effects of changing certainty in the CSCI predictions and a hypothetical CSCI threshold were evaluated for twenty-seven scenarios to identify the change in stream reach classifications (Figure</w:t>
      </w:r>
      <w:r>
        <w:t xml:space="preserve"> </w:t>
      </w:r>
      <w:r>
        <w:t xml:space="preserve">12</w:t>
      </w:r>
      <w:r>
        <w:t xml:space="preserve">). Changes were evaluated as the percentage of stream length statewide and within major regions for each reach classification.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neither of the two (other)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other,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neither urban nor agricultural. Interestingly, the range of scores in urban and agricultural streams were similar in the Central Valley where agriculture is the dominant land use.</w:t>
      </w:r>
    </w:p>
    <w:p>
      <w:pPr>
        <w:pStyle w:val="Heading1"/>
      </w:pPr>
      <w:bookmarkStart w:id="45" w:name="discussion"/>
      <w:r>
        <w:t xml:space="preserve">Discussion</w:t>
      </w:r>
      <w:bookmarkEnd w:id="45"/>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the scale of an individual watershed through close interaction with a regional stakeholder group with direct interests in managing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What does the model mean vis a vis Pete’s comments - what variables did we include and how can we improve on this for more resolution depending on the region. Bias toward urban streams? What about time scale of impacts? What about possibility of model error?</w:t>
      </w:r>
    </w:p>
    <w:p>
      <w:pPr>
        <w:pStyle w:val="Heading2"/>
      </w:pPr>
      <w:bookmarkStart w:id="46" w:name="landscape-constraints-can-be-described-using-biological-endpoints"/>
      <w:r>
        <w:t xml:space="preserve">Landscape constraints can be described using biological endpoints</w:t>
      </w:r>
      <w:bookmarkEnd w:id="46"/>
    </w:p>
    <w:p>
      <w:pPr>
        <w:pStyle w:val="FirstParagraph"/>
      </w:pPr>
      <w:r>
        <w:t xml:space="preserve">Our approach has several advantages compared to alternative means of identifying constraints on biological condition. The landscape model relies exclusively on publically available data using geospatial methods to identify potential constraints. An alternative is a field-based approach using site visits to characterize likely constraints at a location. While both approaches have strengths, the field-based approach is, by definition, labor-intensive and not appropriate as a screening tool to identify patterns on the landscape. More appropriately, the tools provided by the landscape approach could be used to inform decisions on where site visits may be needed to corraborate information from the model. The identification of constrained channels in urban areas that rely on field visits may also define the problem too narrowly. Physical habitat can be extremely limited in engineered channels and our models identified many of these locations in our case study. However, these channels were identified as constrained based on land use only. Constrained channels not in urban landscapes were also identified by the model, as for many streams in agricultural areas.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Our approach also has the advantage of relating strictly to biological condition, as compared to physical or chemical endpoints to assess constraints. This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expectations at the lower end of the distibution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Heading2"/>
      </w:pPr>
      <w:bookmarkStart w:id="47" w:name="engagement-of-local-stakeholders-is-critical-for-regional-application"/>
      <w:r>
        <w:t xml:space="preserve">Engagement of local stakeholders is critical for regional application</w:t>
      </w:r>
      <w:bookmarkEnd w:id="47"/>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challanges in engaging stakeholders were encountered wherein a complete understanding of concepts, as well as limitations, of the model was insufficient for discussing regional application to the SGR. The tool provided a means of demonstrating these concepts that was not possible through more conventional methods, such as static presentations or simple text vignettes. SCAPE also allowed stakeholders to explore the different scenarios that influence the model output, specifically related to changing certainties in the CSCI score predictions and the ability explore alternative thresholds for biological objectives. This functionality is key in our approach to allow the stakeholders to develop recommendations that are completely independent of the model, i.e., decisions are not hard-wired into the model nor SCAPE. Application of the landscape modelling approach to other regions will benefit from similar tools that can easily be developed.</w:t>
      </w:r>
    </w:p>
    <w:p>
      <w:pPr>
        <w:pStyle w:val="Heading2"/>
      </w:pPr>
      <w:bookmarkStart w:id="48" w:name="the-landscape-model-is-a-tool-for-exploring-options"/>
      <w:r>
        <w:t xml:space="preserve">The landscape model is a tool for exploring options</w:t>
      </w:r>
      <w:bookmarkEnd w:id="48"/>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Specifically,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We have explicitly not incorporated channel modification as a predictive mechanism by which biological constraints may occur, although habitat limitations imposed by modification may impose real limits on biology. Alternatively, bioasessment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aspects diagnostic of stream health are also constrained. Many urban streams can support diverse algal assemblages such that algal-based measures of biotic condition may alternatively suggest good biotic condition relative to macroinvertebrate-based indices. This limitation of the landscape model is not unique to other bioassessment tools and application to other taxa as alternatives lines of evidence is needed for a more complete condition assessment.</w:t>
      </w:r>
    </w:p>
    <w:p>
      <w:pPr>
        <w:pStyle w:val="Heading2"/>
      </w:pPr>
      <w:bookmarkStart w:id="49" w:name="additional-applications-of-the-landscape-model"/>
      <w:r>
        <w:t xml:space="preserve">Additional applications of the landscape model</w:t>
      </w:r>
      <w:bookmarkEnd w:id="49"/>
    </w:p>
    <w:p>
      <w:pPr>
        <w:pStyle w:val="FirstParagraph"/>
      </w:pPr>
      <w:r>
        <w:t xml:space="preserve">This work has immediate relevance for informing use of bioassessment indices in freshwater streams of California, both from the perspective of identifying management priorities and for developing an interpretation of broad scale factors that limit ecological integrity. Our use of geospatial datasets that are descriptive at the national scale suggests that these methods could be applied elsewhere and in unique bioassessment contexts. The NHD-plus and StreamCat datasets cover the entire hydrologic network of the conterminous United States and national-scale bioassessment tools are available through the National Rivers and Streams Assessment</w:t>
      </w:r>
      <w:r>
        <w:t xml:space="preserve"> </w:t>
      </w:r>
      <w:r>
        <w:t xml:space="preserve">(USEPA (US Environmental Protection Agency)</w:t>
      </w:r>
      <w:r>
        <w:t xml:space="preserve"> </w:t>
      </w:r>
      <w:hyperlink w:anchor="ref-USEPA16">
        <w:r>
          <w:rPr>
            <w:rStyle w:val="Hyperlink"/>
          </w:rPr>
          <w:t xml:space="preserve">2016</w:t>
        </w:r>
      </w:hyperlink>
      <w:r>
        <w:t xml:space="preserve">; Hill et al.</w:t>
      </w:r>
      <w:r>
        <w:t xml:space="preserve"> </w:t>
      </w:r>
      <w:hyperlink w:anchor="ref-Hill17">
        <w:r>
          <w:rPr>
            <w:rStyle w:val="Hyperlink"/>
          </w:rPr>
          <w:t xml:space="preserve">2017</w:t>
        </w:r>
      </w:hyperlink>
      <w:r>
        <w:t xml:space="preserve">)</w:t>
      </w:r>
      <w:r>
        <w:t xml:space="preserve">. Statewide extension of the landscape model could be explored to develop a national scale product of constraints on biological condition. Although landscape stressors are ubiquituous at the contintental scale, extension of the landscape modelling approach beyond California should consider regional variation in landscape stressors that are predictive of biotic condition. Urban and agricultural gradients were sufficient to characterize constraints in many regions of California, whereas the model did not perform well in regions where thes gradients did not occur. A national level landscape model must consider alternative predictors provided by the StreamCat model that are sufficient to model biological condition.</w:t>
      </w:r>
    </w:p>
    <w:p>
      <w:pPr>
        <w:pStyle w:val="Heading2"/>
      </w:pPr>
      <w:bookmarkStart w:id="50" w:name="summary"/>
      <w:r>
        <w:t xml:space="preserve">Summary</w:t>
      </w:r>
      <w:bookmarkEnd w:id="50"/>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1" w:name="supplement"/>
      <w:r>
        <w:t xml:space="preserve">Supplement</w:t>
      </w:r>
      <w:bookmarkEnd w:id="51"/>
    </w:p>
    <w:p>
      <w:pPr>
        <w:pStyle w:val="FirstParagraph"/>
      </w:pPr>
      <w:r>
        <w:t xml:space="preserve">The SCAPE model application website:</w:t>
      </w:r>
      <w:r>
        <w:t xml:space="preserve"> </w:t>
      </w:r>
      <w:hyperlink r:id="rId52">
        <w:r>
          <w:rPr>
            <w:rStyle w:val="Hyperlink"/>
          </w:rPr>
          <w:t xml:space="preserve">http://shiny.sccwrp.org/scape/</w:t>
        </w:r>
      </w:hyperlink>
    </w:p>
    <w:p>
      <w:pPr>
        <w:pStyle w:val="Heading1"/>
      </w:pPr>
      <w:bookmarkStart w:id="53" w:name="figures"/>
      <w:r>
        <w:t xml:space="preserve">Figures</w:t>
      </w:r>
      <w:bookmarkEnd w:id="5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5"/>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1.png" id="0" name="Picture"/>
                    <pic:cNvPicPr>
                      <a:picLocks noChangeArrowheads="1" noChangeAspect="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5573701"/>
            <wp:effectExtent b="0" l="0" r="0" t="0"/>
            <wp:docPr descr="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7"/>
                    <a:stretch>
                      <a:fillRect/>
                    </a:stretch>
                  </pic:blipFill>
                  <pic:spPr bwMode="auto">
                    <a:xfrm>
                      <a:off x="0" y="0"/>
                      <a:ext cx="5943600" cy="5573701"/>
                    </a:xfrm>
                    <a:prstGeom prst="rect">
                      <a:avLst/>
                    </a:prstGeom>
                    <a:noFill/>
                    <a:ln w="9525">
                      <a:noFill/>
                      <a:headEnd/>
                      <a:tailEnd/>
                    </a:ln>
                  </pic:spPr>
                </pic:pic>
              </a:graphicData>
            </a:graphic>
          </wp:inline>
        </w:drawing>
      </w:r>
    </w:p>
    <w:p>
      <w:pPr>
        <w:pStyle w:val="ImageCaption"/>
      </w:pPr>
      <w:r>
        <w:t xml:space="preserve">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1.png" id="0" name="Picture"/>
                    <pic:cNvPicPr>
                      <a:picLocks noChangeArrowheads="1" noChangeAspect="1"/>
                    </pic:cNvPicPr>
                  </pic:nvPicPr>
                  <pic:blipFill>
                    <a:blip r:embed="rId58"/>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0"/>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1"/>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t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2"/>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prioritization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 title="" id="1" name="Picture"/>
            <a:graphic>
              <a:graphicData uri="http://schemas.openxmlformats.org/drawingml/2006/picture">
                <pic:pic>
                  <pic:nvPicPr>
                    <pic:cNvPr descr="figs/calicnstr-1.png" id="0" name="Picture"/>
                    <pic:cNvPicPr>
                      <a:picLocks noChangeArrowheads="1" noChangeAspect="1"/>
                    </pic:cNvPicPr>
                  </pic:nvPicPr>
                  <pic:blipFill>
                    <a:blip r:embed="rId6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504749" cy="7339665"/>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5"/>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w:t>
      </w:r>
    </w:p>
    <w:p>
      <w:pPr>
        <w:pStyle w:val="Heading1"/>
      </w:pPr>
      <w:bookmarkStart w:id="66" w:name="tables"/>
      <w:r>
        <w:t xml:space="preserve">Tables</w:t>
      </w:r>
      <w:bookmarkEnd w:id="66"/>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(RMSE), intercept, and slopes are for comparisons of predicted and observed values to evaluate model performance.</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RMSE),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w:t>
            </w:r>
          </w:p>
        </w:tc>
        <w:tc>
          <w:p>
            <w:pPr>
              <w:pStyle w:val="Compact"/>
              <w:jc w:val="right"/>
            </w:pPr>
            <w:r>
              <w:t xml:space="preserve">0.75</w:t>
            </w:r>
          </w:p>
        </w:tc>
        <w:tc>
          <w:p>
            <w:pPr>
              <w:pStyle w:val="Compact"/>
              <w:jc w:val="right"/>
            </w:pPr>
            <w:r>
              <w:t xml:space="preserve">0.17</w:t>
            </w:r>
          </w:p>
        </w:tc>
        <w:tc>
          <w:p>
            <w:pPr>
              <w:pStyle w:val="Compact"/>
              <w:jc w:val="right"/>
            </w:pPr>
            <w:r>
              <w:t xml:space="preserve">0.34</w:t>
            </w:r>
          </w:p>
        </w:tc>
        <w:tc>
          <w:p>
            <w:pPr>
              <w:pStyle w:val="Compact"/>
              <w:jc w:val="righ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right"/>
            </w:pPr>
            <w:r>
              <w:t xml:space="preserve">0.71</w:t>
            </w:r>
          </w:p>
        </w:tc>
        <w:tc>
          <w:p>
            <w:pPr>
              <w:pStyle w:val="Compact"/>
              <w:jc w:val="right"/>
            </w:pPr>
            <w:r>
              <w:t xml:space="preserve">0.19</w:t>
            </w:r>
          </w:p>
        </w:tc>
        <w:tc>
          <w:p>
            <w:pPr>
              <w:pStyle w:val="Compact"/>
              <w:jc w:val="right"/>
            </w:pPr>
            <w:r>
              <w:t xml:space="preserve">0.38</w:t>
            </w:r>
          </w:p>
        </w:tc>
        <w:tc>
          <w:p>
            <w:pPr>
              <w:pStyle w:val="Compact"/>
              <w:jc w:val="righ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right"/>
            </w:pPr>
            <w:r>
              <w:t xml:space="preserve">0.66</w:t>
            </w:r>
          </w:p>
        </w:tc>
        <w:tc>
          <w:p>
            <w:pPr>
              <w:pStyle w:val="Compact"/>
              <w:jc w:val="right"/>
            </w:pPr>
            <w:r>
              <w:t xml:space="preserve">0.15</w:t>
            </w:r>
          </w:p>
        </w:tc>
        <w:tc>
          <w:p>
            <w:pPr>
              <w:pStyle w:val="Compact"/>
              <w:jc w:val="right"/>
            </w:pPr>
            <w:r>
              <w:t xml:space="preserve">0.29</w:t>
            </w:r>
          </w:p>
        </w:tc>
        <w:tc>
          <w:p>
            <w:pPr>
              <w:pStyle w:val="Compact"/>
              <w:jc w:val="righ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right"/>
            </w:pPr>
            <w:r>
              <w:t xml:space="preserve">0.50</w:t>
            </w:r>
          </w:p>
        </w:tc>
        <w:tc>
          <w:p>
            <w:pPr>
              <w:pStyle w:val="Compact"/>
              <w:jc w:val="right"/>
            </w:pPr>
            <w:r>
              <w:t xml:space="preserve">0.20</w:t>
            </w:r>
          </w:p>
        </w:tc>
        <w:tc>
          <w:p>
            <w:pPr>
              <w:pStyle w:val="Compact"/>
              <w:jc w:val="right"/>
            </w:pPr>
            <w:r>
              <w:t xml:space="preserve">0.63</w:t>
            </w:r>
          </w:p>
        </w:tc>
        <w:tc>
          <w:p>
            <w:pPr>
              <w:pStyle w:val="Compact"/>
              <w:jc w:val="righ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0.94 (0.13)</w:t>
            </w:r>
          </w:p>
        </w:tc>
        <w:tc>
          <w:p>
            <w:pPr>
              <w:pStyle w:val="Compact"/>
              <w:jc w:val="right"/>
            </w:pPr>
            <w:r>
              <w:t xml:space="preserve">0.55</w:t>
            </w:r>
          </w:p>
        </w:tc>
        <w:tc>
          <w:p>
            <w:pPr>
              <w:pStyle w:val="Compact"/>
              <w:jc w:val="right"/>
            </w:pPr>
            <w:r>
              <w:t xml:space="preserve">0.17</w:t>
            </w:r>
          </w:p>
        </w:tc>
        <w:tc>
          <w:p>
            <w:pPr>
              <w:pStyle w:val="Compact"/>
              <w:jc w:val="right"/>
            </w:pPr>
            <w:r>
              <w:t xml:space="preserve">0.61</w:t>
            </w:r>
          </w:p>
        </w:tc>
        <w:tc>
          <w:p>
            <w:pPr>
              <w:pStyle w:val="Compact"/>
              <w:jc w:val="righ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right"/>
            </w:pPr>
            <w:r>
              <w:t xml:space="preserve">0.75</w:t>
            </w:r>
          </w:p>
        </w:tc>
        <w:tc>
          <w:p>
            <w:pPr>
              <w:pStyle w:val="Compact"/>
              <w:jc w:val="right"/>
            </w:pPr>
            <w:r>
              <w:t xml:space="preserve">0.16</w:t>
            </w:r>
          </w:p>
        </w:tc>
        <w:tc>
          <w:p>
            <w:pPr>
              <w:pStyle w:val="Compact"/>
              <w:jc w:val="right"/>
            </w:pPr>
            <w:r>
              <w:t xml:space="preserve">0.27</w:t>
            </w:r>
          </w:p>
        </w:tc>
        <w:tc>
          <w:p>
            <w:pPr>
              <w:pStyle w:val="Compact"/>
              <w:jc w:val="righ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right"/>
            </w:pPr>
            <w:r>
              <w:t xml:space="preserve">0.45</w:t>
            </w:r>
          </w:p>
        </w:tc>
        <w:tc>
          <w:p>
            <w:pPr>
              <w:pStyle w:val="Compact"/>
              <w:jc w:val="right"/>
            </w:pPr>
            <w:r>
              <w:t xml:space="preserve">0.16</w:t>
            </w:r>
          </w:p>
        </w:tc>
        <w:tc>
          <w:p>
            <w:pPr>
              <w:pStyle w:val="Compact"/>
              <w:jc w:val="right"/>
            </w:pPr>
            <w:r>
              <w:t xml:space="preserve">0.75</w:t>
            </w:r>
          </w:p>
        </w:tc>
        <w:tc>
          <w:p>
            <w:pPr>
              <w:pStyle w:val="Compact"/>
              <w:jc w:val="righ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right"/>
            </w:pPr>
            <w:r>
              <w:t xml:space="preserve">0.74</w:t>
            </w:r>
          </w:p>
        </w:tc>
        <w:tc>
          <w:p>
            <w:pPr>
              <w:pStyle w:val="Compact"/>
              <w:jc w:val="right"/>
            </w:pPr>
            <w:r>
              <w:t xml:space="preserve">0.19</w:t>
            </w:r>
          </w:p>
        </w:tc>
        <w:tc>
          <w:p>
            <w:pPr>
              <w:pStyle w:val="Compact"/>
              <w:jc w:val="right"/>
            </w:pPr>
            <w:r>
              <w:t xml:space="preserve">0.39</w:t>
            </w:r>
          </w:p>
        </w:tc>
        <w:tc>
          <w:p>
            <w:pPr>
              <w:pStyle w:val="Compact"/>
              <w:jc w:val="righ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right"/>
            </w:pPr>
            <w:r>
              <w:t xml:space="preserve">0.49</w:t>
            </w:r>
          </w:p>
        </w:tc>
        <w:tc>
          <w:p>
            <w:pPr>
              <w:pStyle w:val="Compact"/>
              <w:jc w:val="right"/>
            </w:pPr>
            <w:r>
              <w:t xml:space="preserve">0.19</w:t>
            </w:r>
          </w:p>
        </w:tc>
        <w:tc>
          <w:p>
            <w:pPr>
              <w:pStyle w:val="Compact"/>
              <w:jc w:val="right"/>
            </w:pPr>
            <w:r>
              <w:t xml:space="preserve">0.38</w:t>
            </w:r>
          </w:p>
        </w:tc>
        <w:tc>
          <w:p>
            <w:pPr>
              <w:pStyle w:val="Compact"/>
              <w:jc w:val="righ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right"/>
            </w:pPr>
            <w:r>
              <w:t xml:space="preserve">0.55</w:t>
            </w:r>
          </w:p>
        </w:tc>
        <w:tc>
          <w:p>
            <w:pPr>
              <w:pStyle w:val="Compact"/>
              <w:jc w:val="right"/>
            </w:pPr>
            <w:r>
              <w:t xml:space="preserve">0.17</w:t>
            </w:r>
          </w:p>
        </w:tc>
        <w:tc>
          <w:p>
            <w:pPr>
              <w:pStyle w:val="Compact"/>
              <w:jc w:val="right"/>
            </w:pPr>
            <w:r>
              <w:t xml:space="preserve">0.63</w:t>
            </w:r>
          </w:p>
        </w:tc>
        <w:tc>
          <w:p>
            <w:pPr>
              <w:pStyle w:val="Compact"/>
              <w:jc w:val="righ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0.72</w:t>
            </w:r>
          </w:p>
        </w:tc>
        <w:tc>
          <w:p>
            <w:pPr>
              <w:pStyle w:val="Compact"/>
              <w:jc w:val="right"/>
            </w:pPr>
            <w:r>
              <w:t xml:space="preserve">0.17</w:t>
            </w:r>
          </w:p>
        </w:tc>
        <w:tc>
          <w:p>
            <w:pPr>
              <w:pStyle w:val="Compact"/>
              <w:jc w:val="right"/>
            </w:pPr>
            <w:r>
              <w:t xml:space="preserve">0.27</w:t>
            </w:r>
          </w:p>
        </w:tc>
        <w:tc>
          <w:p>
            <w:pPr>
              <w:pStyle w:val="Compact"/>
              <w:jc w:val="righ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0.21</w:t>
            </w:r>
          </w:p>
        </w:tc>
        <w:tc>
          <w:p>
            <w:pPr>
              <w:pStyle w:val="Compact"/>
              <w:jc w:val="right"/>
            </w:pPr>
            <w:r>
              <w:t xml:space="preserve">0.17</w:t>
            </w:r>
          </w:p>
        </w:tc>
        <w:tc>
          <w:p>
            <w:pPr>
              <w:pStyle w:val="Compact"/>
              <w:jc w:val="right"/>
            </w:pPr>
            <w:r>
              <w:t xml:space="preserve">0.88</w:t>
            </w:r>
          </w:p>
        </w:tc>
        <w:tc>
          <w:p>
            <w:pPr>
              <w:pStyle w:val="Compact"/>
              <w:jc w:val="righ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other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w:t>
      </w:r>
    </w:p>
    <w:tbl>
      <w:tblPr>
        <w:tblStyle w:val="Table"/>
        <w:tblW w:type="pct" w:w="0.0"/>
        <w:tblLook w:firstRow="1"/>
        <w:tblCaption w:val="Table 7 Ranges of expected CSCI scores for sites that are typically urban, agricultural, or other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0.3 - 0.89</w:t>
            </w:r>
          </w:p>
        </w:tc>
        <w:tc>
          <w:p>
            <w:pPr>
              <w:pStyle w:val="Compact"/>
              <w:jc w:val="left"/>
            </w:pPr>
            <w:r>
              <w:t xml:space="preserve">0.45 - 0.72</w:t>
            </w:r>
          </w:p>
        </w:tc>
        <w:tc>
          <w:p>
            <w:pPr>
              <w:pStyle w:val="Compact"/>
              <w:jc w:val="left"/>
            </w:pPr>
            <w:r>
              <w:t xml:space="preserve">0.56 - 0.61</w:t>
            </w:r>
          </w:p>
        </w:tc>
      </w:tr>
      <w:tr>
        <w:tc>
          <w:p>
            <w:pPr>
              <w:pStyle w:val="Compact"/>
            </w:pPr>
          </w:p>
        </w:tc>
        <w:tc>
          <w:p>
            <w:pPr>
              <w:pStyle w:val="Compact"/>
              <w:jc w:val="left"/>
            </w:pPr>
            <w:r>
              <w:t xml:space="preserve">Ag</w:t>
            </w:r>
          </w:p>
        </w:tc>
        <w:tc>
          <w:p>
            <w:pPr>
              <w:pStyle w:val="Compact"/>
              <w:jc w:val="left"/>
            </w:pPr>
            <w:r>
              <w:t xml:space="preserve">0.33 - 1</w:t>
            </w:r>
          </w:p>
        </w:tc>
        <w:tc>
          <w:p>
            <w:pPr>
              <w:pStyle w:val="Compact"/>
              <w:jc w:val="left"/>
            </w:pPr>
            <w:r>
              <w:t xml:space="preserve">0.47 - 0.77</w:t>
            </w:r>
          </w:p>
        </w:tc>
        <w:tc>
          <w:p>
            <w:pPr>
              <w:pStyle w:val="Compact"/>
              <w:jc w:val="left"/>
            </w:pPr>
            <w:r>
              <w:t xml:space="preserve">0.57 - 0.63</w:t>
            </w:r>
          </w:p>
        </w:tc>
      </w:tr>
      <w:tr>
        <w:tc>
          <w:p>
            <w:pPr>
              <w:pStyle w:val="Compact"/>
            </w:pPr>
          </w:p>
        </w:tc>
        <w:tc>
          <w:p>
            <w:pPr>
              <w:pStyle w:val="Compact"/>
              <w:jc w:val="left"/>
            </w:pPr>
            <w:r>
              <w:t xml:space="preserve">Other</w:t>
            </w:r>
          </w:p>
        </w:tc>
        <w:tc>
          <w:p>
            <w:pPr>
              <w:pStyle w:val="Compact"/>
              <w:jc w:val="left"/>
            </w:pPr>
            <w:r>
              <w:t xml:space="preserve">0.73 - 1.19</w:t>
            </w:r>
          </w:p>
        </w:tc>
        <w:tc>
          <w:p>
            <w:pPr>
              <w:pStyle w:val="Compact"/>
              <w:jc w:val="left"/>
            </w:pPr>
            <w:r>
              <w:t xml:space="preserve">0.91 - 1.08</w:t>
            </w:r>
          </w:p>
        </w:tc>
        <w:tc>
          <w:p>
            <w:pPr>
              <w:pStyle w:val="Compact"/>
              <w:jc w:val="left"/>
            </w:pPr>
            <w:r>
              <w:t xml:space="preserve">0.99 - 1.02</w:t>
            </w:r>
          </w:p>
        </w:tc>
      </w:tr>
      <w:tr>
        <w:tc>
          <w:p>
            <w:pPr>
              <w:pStyle w:val="Compact"/>
              <w:jc w:val="left"/>
            </w:pPr>
            <w:r>
              <w:t xml:space="preserve">DM</w:t>
            </w:r>
          </w:p>
        </w:tc>
        <w:tc>
          <w:p>
            <w:pPr>
              <w:pStyle w:val="Compact"/>
              <w:jc w:val="left"/>
            </w:pPr>
            <w:r>
              <w:t xml:space="preserve">Urban</w:t>
            </w:r>
          </w:p>
        </w:tc>
        <w:tc>
          <w:p>
            <w:pPr>
              <w:pStyle w:val="Compact"/>
              <w:jc w:val="left"/>
            </w:pPr>
            <w:r>
              <w:t xml:space="preserve">0.43 - 1.11</w:t>
            </w:r>
          </w:p>
        </w:tc>
        <w:tc>
          <w:p>
            <w:pPr>
              <w:pStyle w:val="Compact"/>
              <w:jc w:val="left"/>
            </w:pPr>
            <w:r>
              <w:t xml:space="preserve">0.65 - 0.96</w:t>
            </w:r>
          </w:p>
        </w:tc>
        <w:tc>
          <w:p>
            <w:pPr>
              <w:pStyle w:val="Compact"/>
              <w:jc w:val="left"/>
            </w:pPr>
            <w:r>
              <w:t xml:space="preserve">0.79 - 0.84</w:t>
            </w:r>
          </w:p>
        </w:tc>
      </w:tr>
      <w:tr>
        <w:tc>
          <w:p>
            <w:pPr>
              <w:pStyle w:val="Compact"/>
            </w:pPr>
          </w:p>
        </w:tc>
        <w:tc>
          <w:p>
            <w:pPr>
              <w:pStyle w:val="Compact"/>
              <w:jc w:val="left"/>
            </w:pPr>
            <w:r>
              <w:t xml:space="preserve">Ag</w:t>
            </w:r>
          </w:p>
        </w:tc>
        <w:tc>
          <w:p>
            <w:pPr>
              <w:pStyle w:val="Compact"/>
              <w:jc w:val="left"/>
            </w:pPr>
            <w:r>
              <w:t xml:space="preserve">0.34 - 1.03</w:t>
            </w:r>
          </w:p>
        </w:tc>
        <w:tc>
          <w:p>
            <w:pPr>
              <w:pStyle w:val="Compact"/>
              <w:jc w:val="left"/>
            </w:pPr>
            <w:r>
              <w:t xml:space="preserve">0.48 - 0.79</w:t>
            </w:r>
          </w:p>
        </w:tc>
        <w:tc>
          <w:p>
            <w:pPr>
              <w:pStyle w:val="Compact"/>
              <w:jc w:val="left"/>
            </w:pPr>
            <w:r>
              <w:t xml:space="preserve">0.59 - 0.65</w:t>
            </w:r>
          </w:p>
        </w:tc>
      </w:tr>
      <w:tr>
        <w:tc>
          <w:p>
            <w:pPr>
              <w:pStyle w:val="Compact"/>
            </w:pPr>
          </w:p>
        </w:tc>
        <w:tc>
          <w:p>
            <w:pPr>
              <w:pStyle w:val="Compact"/>
              <w:jc w:val="left"/>
            </w:pPr>
            <w:r>
              <w:t xml:space="preserve">Other</w:t>
            </w:r>
          </w:p>
        </w:tc>
        <w:tc>
          <w:p>
            <w:pPr>
              <w:pStyle w:val="Compact"/>
              <w:jc w:val="left"/>
            </w:pPr>
            <w:r>
              <w:t xml:space="preserve">0.71 - 1.19</w:t>
            </w:r>
          </w:p>
        </w:tc>
        <w:tc>
          <w:p>
            <w:pPr>
              <w:pStyle w:val="Compact"/>
              <w:jc w:val="left"/>
            </w:pPr>
            <w:r>
              <w:t xml:space="preserve">0.9 - 1.08</w:t>
            </w:r>
          </w:p>
        </w:tc>
        <w:tc>
          <w:p>
            <w:pPr>
              <w:pStyle w:val="Compact"/>
              <w:jc w:val="left"/>
            </w:pPr>
            <w:r>
              <w:t xml:space="preserve">0.98 - 1.02</w:t>
            </w:r>
          </w:p>
        </w:tc>
      </w:tr>
      <w:tr>
        <w:tc>
          <w:p>
            <w:pPr>
              <w:pStyle w:val="Compact"/>
              <w:jc w:val="left"/>
            </w:pPr>
            <w:r>
              <w:t xml:space="preserve">SN</w:t>
            </w:r>
          </w:p>
        </w:tc>
        <w:tc>
          <w:p>
            <w:pPr>
              <w:pStyle w:val="Compact"/>
              <w:jc w:val="left"/>
            </w:pPr>
            <w:r>
              <w:t xml:space="preserve">Urban</w:t>
            </w:r>
          </w:p>
        </w:tc>
        <w:tc>
          <w:p>
            <w:pPr>
              <w:pStyle w:val="Compact"/>
              <w:jc w:val="left"/>
            </w:pPr>
            <w:r>
              <w:t xml:space="preserve">0.43 - 1.12</w:t>
            </w:r>
          </w:p>
        </w:tc>
        <w:tc>
          <w:p>
            <w:pPr>
              <w:pStyle w:val="Compact"/>
              <w:jc w:val="left"/>
            </w:pPr>
            <w:r>
              <w:t xml:space="preserve">0.63 - 0.96</w:t>
            </w:r>
          </w:p>
        </w:tc>
        <w:tc>
          <w:p>
            <w:pPr>
              <w:pStyle w:val="Compact"/>
              <w:jc w:val="left"/>
            </w:pPr>
            <w:r>
              <w:t xml:space="preserve">0.78 - 0.84</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0.53 - 0.87</w:t>
            </w:r>
          </w:p>
        </w:tc>
        <w:tc>
          <w:p>
            <w:pPr>
              <w:pStyle w:val="Compact"/>
              <w:jc w:val="left"/>
            </w:pPr>
            <w:r>
              <w:t xml:space="preserve">0.65 - 0.72</w:t>
            </w:r>
          </w:p>
        </w:tc>
      </w:tr>
      <w:tr>
        <w:tc>
          <w:p>
            <w:pPr>
              <w:pStyle w:val="Compact"/>
            </w:pPr>
          </w:p>
        </w:tc>
        <w:tc>
          <w:p>
            <w:pPr>
              <w:pStyle w:val="Compact"/>
              <w:jc w:val="left"/>
            </w:pPr>
            <w:r>
              <w:t xml:space="preserve">Other</w:t>
            </w:r>
          </w:p>
        </w:tc>
        <w:tc>
          <w:p>
            <w:pPr>
              <w:pStyle w:val="Compact"/>
              <w:jc w:val="left"/>
            </w:pPr>
            <w:r>
              <w:t xml:space="preserve">0.73 - 1.2</w:t>
            </w:r>
          </w:p>
        </w:tc>
        <w:tc>
          <w:p>
            <w:pPr>
              <w:pStyle w:val="Compact"/>
              <w:jc w:val="left"/>
            </w:pPr>
            <w:r>
              <w:t xml:space="preserve">0.92 - 1.09</w:t>
            </w:r>
          </w:p>
        </w:tc>
        <w:tc>
          <w:p>
            <w:pPr>
              <w:pStyle w:val="Compact"/>
              <w:jc w:val="left"/>
            </w:pPr>
            <w:r>
              <w:t xml:space="preserve">0.99 - 1.02</w:t>
            </w:r>
          </w:p>
        </w:tc>
      </w:tr>
      <w:tr>
        <w:tc>
          <w:p>
            <w:pPr>
              <w:pStyle w:val="Compact"/>
              <w:jc w:val="left"/>
            </w:pPr>
            <w:r>
              <w:t xml:space="preserve">NC</w:t>
            </w:r>
          </w:p>
        </w:tc>
        <w:tc>
          <w:p>
            <w:pPr>
              <w:pStyle w:val="Compact"/>
              <w:jc w:val="left"/>
            </w:pPr>
            <w:r>
              <w:t xml:space="preserve">Urban</w:t>
            </w:r>
          </w:p>
        </w:tc>
        <w:tc>
          <w:p>
            <w:pPr>
              <w:pStyle w:val="Compact"/>
              <w:jc w:val="left"/>
            </w:pPr>
            <w:r>
              <w:t xml:space="preserve">0.62 - 1.19</w:t>
            </w:r>
          </w:p>
        </w:tc>
        <w:tc>
          <w:p>
            <w:pPr>
              <w:pStyle w:val="Compact"/>
              <w:jc w:val="left"/>
            </w:pPr>
            <w:r>
              <w:t xml:space="preserve">0.86 - 1.09</w:t>
            </w:r>
          </w:p>
        </w:tc>
        <w:tc>
          <w:p>
            <w:pPr>
              <w:pStyle w:val="Compact"/>
              <w:jc w:val="left"/>
            </w:pPr>
            <w:r>
              <w:t xml:space="preserve">0.95 - 1</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0.51 - 0.86</w:t>
            </w:r>
          </w:p>
        </w:tc>
        <w:tc>
          <w:p>
            <w:pPr>
              <w:pStyle w:val="Compact"/>
              <w:jc w:val="left"/>
            </w:pPr>
            <w:r>
              <w:t xml:space="preserve">0.63 - 0.69</w:t>
            </w:r>
          </w:p>
        </w:tc>
      </w:tr>
      <w:tr>
        <w:tc>
          <w:p>
            <w:pPr>
              <w:pStyle w:val="Compact"/>
            </w:pPr>
          </w:p>
        </w:tc>
        <w:tc>
          <w:p>
            <w:pPr>
              <w:pStyle w:val="Compact"/>
              <w:jc w:val="left"/>
            </w:pPr>
            <w:r>
              <w:t xml:space="preserve">Other</w:t>
            </w:r>
          </w:p>
        </w:tc>
        <w:tc>
          <w:p>
            <w:pPr>
              <w:pStyle w:val="Compact"/>
              <w:jc w:val="left"/>
            </w:pPr>
            <w:r>
              <w:t xml:space="preserve">0.76 - 1.18</w:t>
            </w:r>
          </w:p>
        </w:tc>
        <w:tc>
          <w:p>
            <w:pPr>
              <w:pStyle w:val="Compact"/>
              <w:jc w:val="left"/>
            </w:pPr>
            <w:r>
              <w:t xml:space="preserve">0.92 - 1.07</w:t>
            </w:r>
          </w:p>
        </w:tc>
        <w:tc>
          <w:p>
            <w:pPr>
              <w:pStyle w:val="Compact"/>
              <w:jc w:val="left"/>
            </w:pPr>
            <w:r>
              <w:t xml:space="preserve">0.98 - 1.01</w:t>
            </w:r>
          </w:p>
        </w:tc>
      </w:tr>
      <w:tr>
        <w:tc>
          <w:p>
            <w:pPr>
              <w:pStyle w:val="Compact"/>
              <w:jc w:val="left"/>
            </w:pPr>
            <w:r>
              <w:t xml:space="preserve">CH</w:t>
            </w:r>
          </w:p>
        </w:tc>
        <w:tc>
          <w:p>
            <w:pPr>
              <w:pStyle w:val="Compact"/>
              <w:jc w:val="left"/>
            </w:pPr>
            <w:r>
              <w:t xml:space="preserve">Urban</w:t>
            </w:r>
          </w:p>
        </w:tc>
        <w:tc>
          <w:p>
            <w:pPr>
              <w:pStyle w:val="Compact"/>
              <w:jc w:val="left"/>
            </w:pPr>
            <w:r>
              <w:t xml:space="preserve">0.3 - 0.92</w:t>
            </w:r>
          </w:p>
        </w:tc>
        <w:tc>
          <w:p>
            <w:pPr>
              <w:pStyle w:val="Compact"/>
              <w:jc w:val="left"/>
            </w:pPr>
            <w:r>
              <w:t xml:space="preserve">0.47 - 0.74</w:t>
            </w:r>
          </w:p>
        </w:tc>
        <w:tc>
          <w:p>
            <w:pPr>
              <w:pStyle w:val="Compact"/>
              <w:jc w:val="left"/>
            </w:pPr>
            <w:r>
              <w:t xml:space="preserve">0.58 - 0.63</w:t>
            </w:r>
          </w:p>
        </w:tc>
      </w:tr>
      <w:tr>
        <w:tc>
          <w:p>
            <w:pPr>
              <w:pStyle w:val="Compact"/>
            </w:pPr>
          </w:p>
        </w:tc>
        <w:tc>
          <w:p>
            <w:pPr>
              <w:pStyle w:val="Compact"/>
              <w:jc w:val="left"/>
            </w:pPr>
            <w:r>
              <w:t xml:space="preserve">Ag</w:t>
            </w:r>
          </w:p>
        </w:tc>
        <w:tc>
          <w:p>
            <w:pPr>
              <w:pStyle w:val="Compact"/>
              <w:jc w:val="left"/>
            </w:pPr>
            <w:r>
              <w:t xml:space="preserve">0.37 - 1.07</w:t>
            </w:r>
          </w:p>
        </w:tc>
        <w:tc>
          <w:p>
            <w:pPr>
              <w:pStyle w:val="Compact"/>
              <w:jc w:val="left"/>
            </w:pPr>
            <w:r>
              <w:t xml:space="preserve">0.53 - 0.86</w:t>
            </w:r>
          </w:p>
        </w:tc>
        <w:tc>
          <w:p>
            <w:pPr>
              <w:pStyle w:val="Compact"/>
              <w:jc w:val="left"/>
            </w:pPr>
            <w:r>
              <w:t xml:space="preserve">0.64 - 0.7</w:t>
            </w:r>
          </w:p>
        </w:tc>
      </w:tr>
      <w:tr>
        <w:tc>
          <w:p>
            <w:pPr>
              <w:pStyle w:val="Compact"/>
            </w:pPr>
          </w:p>
        </w:tc>
        <w:tc>
          <w:p>
            <w:pPr>
              <w:pStyle w:val="Compact"/>
              <w:jc w:val="left"/>
            </w:pPr>
            <w:r>
              <w:t xml:space="preserve">Other</w:t>
            </w:r>
          </w:p>
        </w:tc>
        <w:tc>
          <w:p>
            <w:pPr>
              <w:pStyle w:val="Compact"/>
              <w:jc w:val="left"/>
            </w:pPr>
            <w:r>
              <w:t xml:space="preserve">0.73 - 1.18</w:t>
            </w:r>
          </w:p>
        </w:tc>
        <w:tc>
          <w:p>
            <w:pPr>
              <w:pStyle w:val="Compact"/>
              <w:jc w:val="left"/>
            </w:pPr>
            <w:r>
              <w:t xml:space="preserve">0.91 - 1.08</w:t>
            </w:r>
          </w:p>
        </w:tc>
        <w:tc>
          <w:p>
            <w:pPr>
              <w:pStyle w:val="Compact"/>
              <w:jc w:val="left"/>
            </w:pPr>
            <w:r>
              <w:t xml:space="preserve">0.98 - 1.01</w:t>
            </w:r>
          </w:p>
        </w:tc>
      </w:tr>
      <w:tr>
        <w:tc>
          <w:p>
            <w:pPr>
              <w:pStyle w:val="Compact"/>
              <w:jc w:val="left"/>
            </w:pPr>
            <w:r>
              <w:t xml:space="preserve">CV</w:t>
            </w:r>
          </w:p>
        </w:tc>
        <w:tc>
          <w:p>
            <w:pPr>
              <w:pStyle w:val="Compact"/>
              <w:jc w:val="left"/>
            </w:pPr>
            <w:r>
              <w:t xml:space="preserve">Urban</w:t>
            </w:r>
          </w:p>
        </w:tc>
        <w:tc>
          <w:p>
            <w:pPr>
              <w:pStyle w:val="Compact"/>
              <w:jc w:val="left"/>
            </w:pPr>
            <w:r>
              <w:t xml:space="preserve">0.33 - 0.96</w:t>
            </w:r>
          </w:p>
        </w:tc>
        <w:tc>
          <w:p>
            <w:pPr>
              <w:pStyle w:val="Compact"/>
              <w:jc w:val="left"/>
            </w:pPr>
            <w:r>
              <w:t xml:space="preserve">0.5 - 0.78</w:t>
            </w:r>
          </w:p>
        </w:tc>
        <w:tc>
          <w:p>
            <w:pPr>
              <w:pStyle w:val="Compact"/>
              <w:jc w:val="left"/>
            </w:pPr>
            <w:r>
              <w:t xml:space="preserve">0.62 - 0.68</w:t>
            </w:r>
          </w:p>
        </w:tc>
      </w:tr>
      <w:tr>
        <w:tc>
          <w:p>
            <w:pPr>
              <w:pStyle w:val="Compact"/>
            </w:pPr>
          </w:p>
        </w:tc>
        <w:tc>
          <w:p>
            <w:pPr>
              <w:pStyle w:val="Compact"/>
              <w:jc w:val="left"/>
            </w:pPr>
            <w:r>
              <w:t xml:space="preserve">Ag</w:t>
            </w:r>
          </w:p>
        </w:tc>
        <w:tc>
          <w:p>
            <w:pPr>
              <w:pStyle w:val="Compact"/>
              <w:jc w:val="left"/>
            </w:pPr>
            <w:r>
              <w:t xml:space="preserve">0.32 - 0.97</w:t>
            </w:r>
          </w:p>
        </w:tc>
        <w:tc>
          <w:p>
            <w:pPr>
              <w:pStyle w:val="Compact"/>
              <w:jc w:val="left"/>
            </w:pPr>
            <w:r>
              <w:t xml:space="preserve">0.45 - 0.73</w:t>
            </w:r>
          </w:p>
        </w:tc>
        <w:tc>
          <w:p>
            <w:pPr>
              <w:pStyle w:val="Compact"/>
              <w:jc w:val="left"/>
            </w:pPr>
            <w:r>
              <w:t xml:space="preserve">0.54 - 0.6</w:t>
            </w:r>
          </w:p>
        </w:tc>
      </w:tr>
      <w:tr>
        <w:tc>
          <w:p>
            <w:pPr>
              <w:pStyle w:val="Compact"/>
            </w:pPr>
          </w:p>
        </w:tc>
        <w:tc>
          <w:p>
            <w:pPr>
              <w:pStyle w:val="Compact"/>
              <w:jc w:val="left"/>
            </w:pPr>
            <w:r>
              <w:t xml:space="preserve">Other</w:t>
            </w:r>
          </w:p>
        </w:tc>
        <w:tc>
          <w:p>
            <w:pPr>
              <w:pStyle w:val="Compact"/>
              <w:jc w:val="left"/>
            </w:pPr>
            <w:r>
              <w:t xml:space="preserve">0.6 - 1.16</w:t>
            </w:r>
          </w:p>
        </w:tc>
        <w:tc>
          <w:p>
            <w:pPr>
              <w:pStyle w:val="Compact"/>
              <w:jc w:val="left"/>
            </w:pPr>
            <w:r>
              <w:t xml:space="preserve">0.8 - 1.02</w:t>
            </w:r>
          </w:p>
        </w:tc>
        <w:tc>
          <w:p>
            <w:pPr>
              <w:pStyle w:val="Compact"/>
              <w:jc w:val="left"/>
            </w:pPr>
            <w:r>
              <w:t xml:space="preserve">0.89 - 0.93</w:t>
            </w:r>
          </w:p>
        </w:tc>
      </w:tr>
      <w:tr>
        <w:tc>
          <w:p>
            <w:pPr>
              <w:pStyle w:val="Compact"/>
              <w:jc w:val="left"/>
            </w:pPr>
            <w:r>
              <w:t xml:space="preserve">SC</w:t>
            </w:r>
          </w:p>
        </w:tc>
        <w:tc>
          <w:p>
            <w:pPr>
              <w:pStyle w:val="Compact"/>
              <w:jc w:val="left"/>
            </w:pPr>
            <w:r>
              <w:t xml:space="preserve">Urban</w:t>
            </w:r>
          </w:p>
        </w:tc>
        <w:tc>
          <w:p>
            <w:pPr>
              <w:pStyle w:val="Compact"/>
              <w:jc w:val="left"/>
            </w:pPr>
            <w:r>
              <w:t xml:space="preserve">0.27 - 0.82</w:t>
            </w:r>
          </w:p>
        </w:tc>
        <w:tc>
          <w:p>
            <w:pPr>
              <w:pStyle w:val="Compact"/>
              <w:jc w:val="left"/>
            </w:pPr>
            <w:r>
              <w:t xml:space="preserve">0.41 - 0.66</w:t>
            </w:r>
          </w:p>
        </w:tc>
        <w:tc>
          <w:p>
            <w:pPr>
              <w:pStyle w:val="Compact"/>
              <w:jc w:val="left"/>
            </w:pPr>
            <w:r>
              <w:t xml:space="preserve">0.51 - 0.56</w:t>
            </w:r>
          </w:p>
        </w:tc>
      </w:tr>
      <w:tr>
        <w:tc>
          <w:p>
            <w:pPr>
              <w:pStyle w:val="Compact"/>
            </w:pPr>
          </w:p>
        </w:tc>
        <w:tc>
          <w:p>
            <w:pPr>
              <w:pStyle w:val="Compact"/>
              <w:jc w:val="left"/>
            </w:pPr>
            <w:r>
              <w:t xml:space="preserve">Ag</w:t>
            </w:r>
          </w:p>
        </w:tc>
        <w:tc>
          <w:p>
            <w:pPr>
              <w:pStyle w:val="Compact"/>
              <w:jc w:val="left"/>
            </w:pPr>
            <w:r>
              <w:t xml:space="preserve">0.35 - 1.06</w:t>
            </w:r>
          </w:p>
        </w:tc>
        <w:tc>
          <w:p>
            <w:pPr>
              <w:pStyle w:val="Compact"/>
              <w:jc w:val="left"/>
            </w:pPr>
            <w:r>
              <w:t xml:space="preserve">0.54 - 0.9</w:t>
            </w:r>
          </w:p>
        </w:tc>
        <w:tc>
          <w:p>
            <w:pPr>
              <w:pStyle w:val="Compact"/>
              <w:jc w:val="left"/>
            </w:pPr>
            <w:r>
              <w:t xml:space="preserve">0.67 - 0.74</w:t>
            </w:r>
          </w:p>
        </w:tc>
      </w:tr>
      <w:tr>
        <w:tc>
          <w:p>
            <w:pPr>
              <w:pStyle w:val="Compact"/>
            </w:pPr>
          </w:p>
        </w:tc>
        <w:tc>
          <w:p>
            <w:pPr>
              <w:pStyle w:val="Compact"/>
              <w:jc w:val="left"/>
            </w:pPr>
            <w:r>
              <w:t xml:space="preserve">Other</w:t>
            </w:r>
          </w:p>
        </w:tc>
        <w:tc>
          <w:p>
            <w:pPr>
              <w:pStyle w:val="Compact"/>
              <w:jc w:val="left"/>
            </w:pPr>
            <w:r>
              <w:t xml:space="preserve">0.77 - 1.19</w:t>
            </w:r>
          </w:p>
        </w:tc>
        <w:tc>
          <w:p>
            <w:pPr>
              <w:pStyle w:val="Compact"/>
              <w:jc w:val="left"/>
            </w:pPr>
            <w:r>
              <w:t xml:space="preserve">0.93 - 1.08</w:t>
            </w:r>
          </w:p>
        </w:tc>
        <w:tc>
          <w:p>
            <w:pPr>
              <w:pStyle w:val="Compact"/>
              <w:jc w:val="left"/>
            </w:pPr>
            <w:r>
              <w:t xml:space="preserve">0.99 - 1.02</w:t>
            </w:r>
          </w:p>
        </w:tc>
      </w:tr>
    </w:tbl>
    <w:p>
      <w:pPr>
        <w:pStyle w:val="Heading1"/>
      </w:pPr>
      <w:bookmarkStart w:id="67" w:name="references"/>
      <w:r>
        <w:t xml:space="preserve">References</w:t>
      </w:r>
      <w:bookmarkEnd w:id="67"/>
    </w:p>
    <w:bookmarkStart w:id="149" w:name="refs"/>
    <w:bookmarkStart w:id="69"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8">
        <w:r>
          <w:rPr>
            <w:rStyle w:val="Hyperlink"/>
          </w:rPr>
          <w:t xml:space="preserve">https://doi.org/10.1046/j.1365-2427.1997.d01-546.x</w:t>
        </w:r>
      </w:hyperlink>
      <w:r>
        <w:t xml:space="preserve">.</w:t>
      </w:r>
    </w:p>
    <w:bookmarkEnd w:id="69"/>
    <w:bookmarkStart w:id="71"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0">
        <w:r>
          <w:rPr>
            <w:rStyle w:val="Hyperlink"/>
          </w:rPr>
          <w:t xml:space="preserve">https://doi.org/10.1146/annurev.ecolsys.35.120202.110122</w:t>
        </w:r>
      </w:hyperlink>
      <w:r>
        <w:t xml:space="preserve">.</w:t>
      </w:r>
    </w:p>
    <w:bookmarkEnd w:id="71"/>
    <w:bookmarkStart w:id="72"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2"/>
    <w:bookmarkStart w:id="74"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3">
        <w:r>
          <w:rPr>
            <w:rStyle w:val="Hyperlink"/>
          </w:rPr>
          <w:t xml:space="preserve">https://doi.org/10.1016/j.landurbplan.2012.07.009</w:t>
        </w:r>
      </w:hyperlink>
      <w:r>
        <w:t xml:space="preserve">.</w:t>
      </w:r>
    </w:p>
    <w:bookmarkEnd w:id="74"/>
    <w:bookmarkStart w:id="75"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5"/>
    <w:bookmarkStart w:id="77"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6">
        <w:r>
          <w:rPr>
            <w:rStyle w:val="Hyperlink"/>
          </w:rPr>
          <w:t xml:space="preserve">https://doi.org/10.1111/j.1526-100X.2007.00285.x</w:t>
        </w:r>
      </w:hyperlink>
      <w:r>
        <w:t xml:space="preserve">.</w:t>
      </w:r>
    </w:p>
    <w:bookmarkEnd w:id="77"/>
    <w:bookmarkStart w:id="79"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8">
        <w:r>
          <w:rPr>
            <w:rStyle w:val="Hyperlink"/>
          </w:rPr>
          <w:t xml:space="preserve">https://doi.org/10.1007/s10661-008-0256-z</w:t>
        </w:r>
      </w:hyperlink>
      <w:r>
        <w:t xml:space="preserve">.</w:t>
      </w:r>
    </w:p>
    <w:bookmarkEnd w:id="79"/>
    <w:bookmarkStart w:id="81"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0">
        <w:r>
          <w:rPr>
            <w:rStyle w:val="Hyperlink"/>
          </w:rPr>
          <w:t xml:space="preserve">https://doi.org/10.1016/j.ecolind.2013.07.006</w:t>
        </w:r>
      </w:hyperlink>
      <w:r>
        <w:t xml:space="preserve">.</w:t>
      </w:r>
    </w:p>
    <w:bookmarkEnd w:id="81"/>
    <w:bookmarkStart w:id="83"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2">
        <w:r>
          <w:rPr>
            <w:rStyle w:val="Hyperlink"/>
          </w:rPr>
          <w:t xml:space="preserve">https://doi.org/10.1086/678701</w:t>
        </w:r>
      </w:hyperlink>
      <w:r>
        <w:t xml:space="preserve">.</w:t>
      </w:r>
    </w:p>
    <w:bookmarkEnd w:id="83"/>
    <w:bookmarkStart w:id="85"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4">
        <w:r>
          <w:rPr>
            <w:rStyle w:val="Hyperlink"/>
          </w:rPr>
          <w:t xml:space="preserve">https://doi.org/10.1002/rra.1053</w:t>
        </w:r>
      </w:hyperlink>
      <w:r>
        <w:t xml:space="preserve">.</w:t>
      </w:r>
    </w:p>
    <w:bookmarkEnd w:id="85"/>
    <w:bookmarkStart w:id="87"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6">
        <w:r>
          <w:rPr>
            <w:rStyle w:val="Hyperlink"/>
          </w:rPr>
          <w:t xml:space="preserve">https://doi.org/10.1899/0887-3593(2004)023%3C0599:BWRSUO%3E2.0.CO;2</w:t>
        </w:r>
      </w:hyperlink>
      <w:r>
        <w:t xml:space="preserve">.</w:t>
      </w:r>
    </w:p>
    <w:bookmarkEnd w:id="87"/>
    <w:bookmarkStart w:id="89"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8">
        <w:r>
          <w:rPr>
            <w:rStyle w:val="Hyperlink"/>
          </w:rPr>
          <w:t xml:space="preserve">https://doi.org/10.1111/j.1365-2427.2011.02696.x</w:t>
        </w:r>
      </w:hyperlink>
      <w:r>
        <w:t xml:space="preserve">.</w:t>
      </w:r>
    </w:p>
    <w:bookmarkEnd w:id="89"/>
    <w:bookmarkStart w:id="91"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0">
        <w:r>
          <w:rPr>
            <w:rStyle w:val="Hyperlink"/>
          </w:rPr>
          <w:t xml:space="preserve">https://doi.org/10.1002/etc.2059</w:t>
        </w:r>
      </w:hyperlink>
      <w:r>
        <w:t xml:space="preserve">.</w:t>
      </w:r>
    </w:p>
    <w:bookmarkEnd w:id="91"/>
    <w:bookmarkStart w:id="93"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2">
        <w:r>
          <w:rPr>
            <w:rStyle w:val="Hyperlink"/>
          </w:rPr>
          <w:t xml:space="preserve">https://doi.org/10.1111/j.1752-1688.2000.tb05717.x</w:t>
        </w:r>
      </w:hyperlink>
      <w:r>
        <w:t xml:space="preserve">.</w:t>
      </w:r>
    </w:p>
    <w:bookmarkEnd w:id="93"/>
    <w:bookmarkStart w:id="9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4">
        <w:r>
          <w:rPr>
            <w:rStyle w:val="Hyperlink"/>
          </w:rPr>
          <w:t xml:space="preserve">https://doi.org/10.1007/s10661-017-6025-0</w:t>
        </w:r>
      </w:hyperlink>
      <w:r>
        <w:t xml:space="preserve">.</w:t>
      </w:r>
    </w:p>
    <w:bookmarkEnd w:id="95"/>
    <w:bookmarkStart w:id="9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6"/>
    <w:bookmarkStart w:id="98"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7">
        <w:r>
          <w:rPr>
            <w:rStyle w:val="Hyperlink"/>
          </w:rPr>
          <w:t xml:space="preserve">https://doi.org/10.1002/eap.1617</w:t>
        </w:r>
      </w:hyperlink>
      <w:r>
        <w:t xml:space="preserve">.</w:t>
      </w:r>
    </w:p>
    <w:bookmarkEnd w:id="98"/>
    <w:bookmarkStart w:id="100"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99">
        <w:r>
          <w:rPr>
            <w:rStyle w:val="Hyperlink"/>
          </w:rPr>
          <w:t xml:space="preserve">https://doi.org/10.1111/1752-1688.12372</w:t>
        </w:r>
      </w:hyperlink>
      <w:r>
        <w:t xml:space="preserve">.</w:t>
      </w:r>
    </w:p>
    <w:bookmarkEnd w:id="100"/>
    <w:bookmarkStart w:id="102"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1">
        <w:r>
          <w:rPr>
            <w:rStyle w:val="Hyperlink"/>
          </w:rPr>
          <w:t xml:space="preserve">https://doi.org/10.1086/697996</w:t>
        </w:r>
      </w:hyperlink>
      <w:r>
        <w:t xml:space="preserve">.</w:t>
      </w:r>
    </w:p>
    <w:bookmarkEnd w:id="102"/>
    <w:bookmarkStart w:id="104"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3">
        <w:r>
          <w:rPr>
            <w:rStyle w:val="Hyperlink"/>
          </w:rPr>
          <w:t xml:space="preserve">https://doi.org/10.1371/journal.pone.0130710</w:t>
        </w:r>
      </w:hyperlink>
      <w:r>
        <w:t xml:space="preserve">.</w:t>
      </w:r>
    </w:p>
    <w:bookmarkEnd w:id="104"/>
    <w:bookmarkStart w:id="105"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5"/>
    <w:bookmarkStart w:id="107"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6">
        <w:r>
          <w:rPr>
            <w:rStyle w:val="Hyperlink"/>
          </w:rPr>
          <w:t xml:space="preserve">https://doi.org/10.1111/j.1752-1688.2011.00635.x</w:t>
        </w:r>
      </w:hyperlink>
      <w:r>
        <w:t xml:space="preserve">.</w:t>
      </w:r>
    </w:p>
    <w:bookmarkEnd w:id="107"/>
    <w:bookmarkStart w:id="109"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8">
        <w:r>
          <w:rPr>
            <w:rStyle w:val="Hyperlink"/>
          </w:rPr>
          <w:t xml:space="preserve">https://doi.org/10.1016/j.scitotenv.2015.07.083</w:t>
        </w:r>
      </w:hyperlink>
      <w:r>
        <w:t xml:space="preserve">.</w:t>
      </w:r>
    </w:p>
    <w:bookmarkEnd w:id="109"/>
    <w:bookmarkStart w:id="111"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0">
        <w:r>
          <w:rPr>
            <w:rStyle w:val="Hyperlink"/>
          </w:rPr>
          <w:t xml:space="preserve">https://doi.org/10.1007%2Fs00267-008-9151-1</w:t>
        </w:r>
      </w:hyperlink>
      <w:r>
        <w:t xml:space="preserve">.</w:t>
      </w:r>
    </w:p>
    <w:bookmarkEnd w:id="111"/>
    <w:bookmarkStart w:id="112"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2"/>
    <w:bookmarkStart w:id="114"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3">
        <w:r>
          <w:rPr>
            <w:rStyle w:val="Hyperlink"/>
          </w:rPr>
          <w:t xml:space="preserve">https://doi.org/10.1007/s10661-014-4086-x</w:t>
        </w:r>
      </w:hyperlink>
      <w:r>
        <w:t xml:space="preserve">.</w:t>
      </w:r>
    </w:p>
    <w:bookmarkEnd w:id="114"/>
    <w:bookmarkStart w:id="11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5"/>
    <w:bookmarkStart w:id="116"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6"/>
    <w:bookmarkStart w:id="118"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7">
        <w:r>
          <w:rPr>
            <w:rStyle w:val="Hyperlink"/>
          </w:rPr>
          <w:t xml:space="preserve">https://CRAN.R-project.org/package=quantregForest</w:t>
        </w:r>
      </w:hyperlink>
      <w:r>
        <w:t xml:space="preserve">.</w:t>
      </w:r>
    </w:p>
    <w:bookmarkEnd w:id="118"/>
    <w:bookmarkStart w:id="119"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19"/>
    <w:bookmarkStart w:id="12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0">
        <w:r>
          <w:rPr>
            <w:rStyle w:val="Hyperlink"/>
          </w:rPr>
          <w:t xml:space="preserve">https://doi.org/10.1016/j.watres.2004.09.002</w:t>
        </w:r>
      </w:hyperlink>
      <w:r>
        <w:t xml:space="preserve">.</w:t>
      </w:r>
    </w:p>
    <w:bookmarkEnd w:id="121"/>
    <w:bookmarkStart w:id="12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2"/>
    <w:bookmarkStart w:id="12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3"/>
    <w:bookmarkStart w:id="12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4">
        <w:r>
          <w:rPr>
            <w:rStyle w:val="Hyperlink"/>
          </w:rPr>
          <w:t xml:space="preserve">https://doi.org/10.1890/11-0077.1</w:t>
        </w:r>
      </w:hyperlink>
      <w:r>
        <w:t xml:space="preserve">.</w:t>
      </w:r>
    </w:p>
    <w:bookmarkEnd w:id="125"/>
    <w:bookmarkStart w:id="12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6"/>
    <w:bookmarkStart w:id="12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7">
        <w:r>
          <w:rPr>
            <w:rStyle w:val="Hyperlink"/>
          </w:rPr>
          <w:t xml:space="preserve">https://doi.org/10.1111/gec3.12039</w:t>
        </w:r>
      </w:hyperlink>
      <w:r>
        <w:t xml:space="preserve">.</w:t>
      </w:r>
    </w:p>
    <w:bookmarkEnd w:id="128"/>
    <w:bookmarkStart w:id="13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29">
        <w:r>
          <w:rPr>
            <w:rStyle w:val="Hyperlink"/>
          </w:rPr>
          <w:t xml:space="preserve">https://doi.org/10.1007/s10661-010-1385-8</w:t>
        </w:r>
      </w:hyperlink>
      <w:r>
        <w:t xml:space="preserve">.</w:t>
      </w:r>
    </w:p>
    <w:bookmarkEnd w:id="130"/>
    <w:bookmarkStart w:id="13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1">
        <w:r>
          <w:rPr>
            <w:rStyle w:val="Hyperlink"/>
          </w:rPr>
          <w:t xml:space="preserve">https://doi.org/10.1046/j.1365-2427.2001.00758.x</w:t>
        </w:r>
      </w:hyperlink>
      <w:r>
        <w:t xml:space="preserve">.</w:t>
      </w:r>
    </w:p>
    <w:bookmarkEnd w:id="132"/>
    <w:bookmarkStart w:id="13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3">
        <w:r>
          <w:rPr>
            <w:rStyle w:val="Hyperlink"/>
          </w:rPr>
          <w:t xml:space="preserve">https://doi.org/10.1111/jawr.12035</w:t>
        </w:r>
      </w:hyperlink>
      <w:r>
        <w:t xml:space="preserve">.</w:t>
      </w:r>
    </w:p>
    <w:bookmarkEnd w:id="134"/>
    <w:bookmarkStart w:id="13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5"/>
    <w:bookmarkStart w:id="137"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36">
        <w:r>
          <w:rPr>
            <w:rStyle w:val="Hyperlink"/>
          </w:rPr>
          <w:t xml:space="preserve">https://doi.org/10.1111/j.1365-2664.2008.01548.x</w:t>
        </w:r>
      </w:hyperlink>
      <w:r>
        <w:t xml:space="preserve">.</w:t>
      </w:r>
    </w:p>
    <w:bookmarkEnd w:id="137"/>
    <w:bookmarkStart w:id="138" w:name="ref-USEPA16"/>
    <w:p>
      <w:pPr>
        <w:pStyle w:val="Bibliography"/>
      </w:pPr>
      <w:r>
        <w:t xml:space="preserve">USEPA (US Environmental Protection Agency). 2016. “National Rivers and Streams Assessment 2008-2009: A Collaborative Survey.” EPA-841-R-16-007. Washington, DC.</w:t>
      </w:r>
    </w:p>
    <w:bookmarkEnd w:id="138"/>
    <w:bookmarkStart w:id="139" w:name="ref-USGS99"/>
    <w:p>
      <w:pPr>
        <w:pStyle w:val="Bibliography"/>
      </w:pPr>
      <w:r>
        <w:t xml:space="preserve">USGS (US Geological Survey). 1999. “The quality of our nation’s waters: nutrients and pesticides.” Reston, Virginia.</w:t>
      </w:r>
    </w:p>
    <w:bookmarkEnd w:id="139"/>
    <w:bookmarkStart w:id="140" w:name="ref-USGS14"/>
    <w:p>
      <w:pPr>
        <w:pStyle w:val="Bibliography"/>
      </w:pPr>
      <w:r>
        <w:t xml:space="preserve">———. 2014. “National Hydrography Dataset available on the World Wide Web.”</w:t>
      </w:r>
    </w:p>
    <w:bookmarkEnd w:id="140"/>
    <w:bookmarkStart w:id="142"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1">
        <w:r>
          <w:rPr>
            <w:rStyle w:val="Hyperlink"/>
          </w:rPr>
          <w:t xml:space="preserve">https://doi.org/10.1023/A:1023374524254</w:t>
        </w:r>
      </w:hyperlink>
      <w:r>
        <w:t xml:space="preserve">.</w:t>
      </w:r>
    </w:p>
    <w:bookmarkEnd w:id="142"/>
    <w:bookmarkStart w:id="144"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3">
        <w:r>
          <w:rPr>
            <w:rStyle w:val="Hyperlink"/>
          </w:rPr>
          <w:t xml:space="preserve">https://doi.org/10.1111/jawr.12032</w:t>
        </w:r>
      </w:hyperlink>
      <w:r>
        <w:t xml:space="preserve">.</w:t>
      </w:r>
    </w:p>
    <w:bookmarkEnd w:id="144"/>
    <w:bookmarkStart w:id="146"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5">
        <w:r>
          <w:rPr>
            <w:rStyle w:val="Hyperlink"/>
          </w:rPr>
          <w:t xml:space="preserve">https://doi.org/10.1371/journal.pone.0090944</w:t>
        </w:r>
      </w:hyperlink>
      <w:r>
        <w:t xml:space="preserve">.</w:t>
      </w:r>
    </w:p>
    <w:bookmarkEnd w:id="146"/>
    <w:bookmarkStart w:id="148"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47">
        <w:r>
          <w:rPr>
            <w:rStyle w:val="Hyperlink"/>
          </w:rPr>
          <w:t xml:space="preserve">https://doi.org/10.1577/1548-8446(1997)022%3C0006:IOWLUO%3E2.0.CO;2</w:t>
        </w:r>
      </w:hyperlink>
      <w:r>
        <w:t xml:space="preserve">.</w:t>
      </w:r>
    </w:p>
    <w:bookmarkEnd w:id="148"/>
    <w:bookmarkEnd w:id="14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hyperlink" Id="rId52" Target="http://shiny.sccwrp.org/scape/" TargetMode="External" /><Relationship Type="http://schemas.openxmlformats.org/officeDocument/2006/relationships/hyperlink" Id="rId117" Target="https://CRAN.R-project.org/package=quantregForest" TargetMode="External" /><Relationship Type="http://schemas.openxmlformats.org/officeDocument/2006/relationships/hyperlink" Id="rId97" Target="https://doi.org/10.1002/eap.1617" TargetMode="External" /><Relationship Type="http://schemas.openxmlformats.org/officeDocument/2006/relationships/hyperlink" Id="rId90" Target="https://doi.org/10.1002/etc.2059" TargetMode="External" /><Relationship Type="http://schemas.openxmlformats.org/officeDocument/2006/relationships/hyperlink" Id="rId84" Target="https://doi.org/10.1002/rra.1053" TargetMode="External" /><Relationship Type="http://schemas.openxmlformats.org/officeDocument/2006/relationships/hyperlink" Id="rId110" Target="https://doi.org/10.1007%2Fs00267-008-9151-1" TargetMode="External" /><Relationship Type="http://schemas.openxmlformats.org/officeDocument/2006/relationships/hyperlink" Id="rId78" Target="https://doi.org/10.1007/s10661-008-0256-z" TargetMode="External" /><Relationship Type="http://schemas.openxmlformats.org/officeDocument/2006/relationships/hyperlink" Id="rId129" Target="https://doi.org/10.1007/s10661-010-1385-8" TargetMode="External" /><Relationship Type="http://schemas.openxmlformats.org/officeDocument/2006/relationships/hyperlink" Id="rId113" Target="https://doi.org/10.1007/s10661-014-4086-x" TargetMode="External" /><Relationship Type="http://schemas.openxmlformats.org/officeDocument/2006/relationships/hyperlink" Id="rId94" Target="https://doi.org/10.1007/s10661-017-6025-0" TargetMode="External" /><Relationship Type="http://schemas.openxmlformats.org/officeDocument/2006/relationships/hyperlink" Id="rId80" Target="https://doi.org/10.1016/j.ecolind.2013.07.006" TargetMode="External" /><Relationship Type="http://schemas.openxmlformats.org/officeDocument/2006/relationships/hyperlink" Id="rId73" Target="https://doi.org/10.1016/j.landurbplan.2012.07.009" TargetMode="External" /><Relationship Type="http://schemas.openxmlformats.org/officeDocument/2006/relationships/hyperlink" Id="rId108" Target="https://doi.org/10.1016/j.scitotenv.2015.07.083" TargetMode="External" /><Relationship Type="http://schemas.openxmlformats.org/officeDocument/2006/relationships/hyperlink" Id="rId120" Target="https://doi.org/10.1016/j.watres.2004.09.002" TargetMode="External" /><Relationship Type="http://schemas.openxmlformats.org/officeDocument/2006/relationships/hyperlink" Id="rId141" Target="https://doi.org/10.1023/A:1023374524254" TargetMode="External" /><Relationship Type="http://schemas.openxmlformats.org/officeDocument/2006/relationships/hyperlink" Id="rId68" Target="https://doi.org/10.1046/j.1365-2427.1997.d01-546.x" TargetMode="External" /><Relationship Type="http://schemas.openxmlformats.org/officeDocument/2006/relationships/hyperlink" Id="rId131" Target="https://doi.org/10.1046/j.1365-2427.2001.00758.x" TargetMode="External" /><Relationship Type="http://schemas.openxmlformats.org/officeDocument/2006/relationships/hyperlink" Id="rId82" Target="https://doi.org/10.1086/678701" TargetMode="External" /><Relationship Type="http://schemas.openxmlformats.org/officeDocument/2006/relationships/hyperlink" Id="rId101" Target="https://doi.org/10.1086/697996" TargetMode="External" /><Relationship Type="http://schemas.openxmlformats.org/officeDocument/2006/relationships/hyperlink" Id="rId99" Target="https://doi.org/10.1111/1752-1688.12372" TargetMode="External" /><Relationship Type="http://schemas.openxmlformats.org/officeDocument/2006/relationships/hyperlink" Id="rId127" Target="https://doi.org/10.1111/gec3.12039" TargetMode="External" /><Relationship Type="http://schemas.openxmlformats.org/officeDocument/2006/relationships/hyperlink" Id="rId88" Target="https://doi.org/10.1111/j.1365-2427.2011.02696.x" TargetMode="External" /><Relationship Type="http://schemas.openxmlformats.org/officeDocument/2006/relationships/hyperlink" Id="rId136" Target="https://doi.org/10.1111/j.1365-2664.2008.01548.x" TargetMode="External" /><Relationship Type="http://schemas.openxmlformats.org/officeDocument/2006/relationships/hyperlink" Id="rId76"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6" Target="https://doi.org/10.1111/j.1752-1688.2011.00635.x" TargetMode="External" /><Relationship Type="http://schemas.openxmlformats.org/officeDocument/2006/relationships/hyperlink" Id="rId143" Target="https://doi.org/10.1111/jawr.12032" TargetMode="External" /><Relationship Type="http://schemas.openxmlformats.org/officeDocument/2006/relationships/hyperlink" Id="rId133" Target="https://doi.org/10.1111/jawr.12035" TargetMode="External" /><Relationship Type="http://schemas.openxmlformats.org/officeDocument/2006/relationships/hyperlink" Id="rId70" Target="https://doi.org/10.1146/annurev.ecolsys.35.120202.110122" TargetMode="External" /><Relationship Type="http://schemas.openxmlformats.org/officeDocument/2006/relationships/hyperlink" Id="rId145" Target="https://doi.org/10.1371/journal.pone.0090944" TargetMode="External" /><Relationship Type="http://schemas.openxmlformats.org/officeDocument/2006/relationships/hyperlink" Id="rId103" Target="https://doi.org/10.1371/journal.pone.0130710" TargetMode="External" /><Relationship Type="http://schemas.openxmlformats.org/officeDocument/2006/relationships/hyperlink" Id="rId147" Target="https://doi.org/10.1577/1548-8446(1997)022%3C0006:IOWLUO%3E2.0.CO;2" TargetMode="External" /><Relationship Type="http://schemas.openxmlformats.org/officeDocument/2006/relationships/hyperlink" Id="rId124" Target="https://doi.org/10.1890/11-0077.1" TargetMode="External" /><Relationship Type="http://schemas.openxmlformats.org/officeDocument/2006/relationships/hyperlink" Id="rId86" Target="https://doi.org/10.1899/0887-3593(2004)023%3C0599:BWRSUO%3E2.0.CO;2"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2" Target="http://shiny.sccwrp.org/scape/" TargetMode="External" /><Relationship Type="http://schemas.openxmlformats.org/officeDocument/2006/relationships/hyperlink" Id="rId117" Target="https://CRAN.R-project.org/package=quantregForest" TargetMode="External" /><Relationship Type="http://schemas.openxmlformats.org/officeDocument/2006/relationships/hyperlink" Id="rId97" Target="https://doi.org/10.1002/eap.1617" TargetMode="External" /><Relationship Type="http://schemas.openxmlformats.org/officeDocument/2006/relationships/hyperlink" Id="rId90" Target="https://doi.org/10.1002/etc.2059" TargetMode="External" /><Relationship Type="http://schemas.openxmlformats.org/officeDocument/2006/relationships/hyperlink" Id="rId84" Target="https://doi.org/10.1002/rra.1053" TargetMode="External" /><Relationship Type="http://schemas.openxmlformats.org/officeDocument/2006/relationships/hyperlink" Id="rId110" Target="https://doi.org/10.1007%2Fs00267-008-9151-1" TargetMode="External" /><Relationship Type="http://schemas.openxmlformats.org/officeDocument/2006/relationships/hyperlink" Id="rId78" Target="https://doi.org/10.1007/s10661-008-0256-z" TargetMode="External" /><Relationship Type="http://schemas.openxmlformats.org/officeDocument/2006/relationships/hyperlink" Id="rId129" Target="https://doi.org/10.1007/s10661-010-1385-8" TargetMode="External" /><Relationship Type="http://schemas.openxmlformats.org/officeDocument/2006/relationships/hyperlink" Id="rId113" Target="https://doi.org/10.1007/s10661-014-4086-x" TargetMode="External" /><Relationship Type="http://schemas.openxmlformats.org/officeDocument/2006/relationships/hyperlink" Id="rId94" Target="https://doi.org/10.1007/s10661-017-6025-0" TargetMode="External" /><Relationship Type="http://schemas.openxmlformats.org/officeDocument/2006/relationships/hyperlink" Id="rId80" Target="https://doi.org/10.1016/j.ecolind.2013.07.006" TargetMode="External" /><Relationship Type="http://schemas.openxmlformats.org/officeDocument/2006/relationships/hyperlink" Id="rId73" Target="https://doi.org/10.1016/j.landurbplan.2012.07.009" TargetMode="External" /><Relationship Type="http://schemas.openxmlformats.org/officeDocument/2006/relationships/hyperlink" Id="rId108" Target="https://doi.org/10.1016/j.scitotenv.2015.07.083" TargetMode="External" /><Relationship Type="http://schemas.openxmlformats.org/officeDocument/2006/relationships/hyperlink" Id="rId120" Target="https://doi.org/10.1016/j.watres.2004.09.002" TargetMode="External" /><Relationship Type="http://schemas.openxmlformats.org/officeDocument/2006/relationships/hyperlink" Id="rId141" Target="https://doi.org/10.1023/A:1023374524254" TargetMode="External" /><Relationship Type="http://schemas.openxmlformats.org/officeDocument/2006/relationships/hyperlink" Id="rId68" Target="https://doi.org/10.1046/j.1365-2427.1997.d01-546.x" TargetMode="External" /><Relationship Type="http://schemas.openxmlformats.org/officeDocument/2006/relationships/hyperlink" Id="rId131" Target="https://doi.org/10.1046/j.1365-2427.2001.00758.x" TargetMode="External" /><Relationship Type="http://schemas.openxmlformats.org/officeDocument/2006/relationships/hyperlink" Id="rId82" Target="https://doi.org/10.1086/678701" TargetMode="External" /><Relationship Type="http://schemas.openxmlformats.org/officeDocument/2006/relationships/hyperlink" Id="rId101" Target="https://doi.org/10.1086/697996" TargetMode="External" /><Relationship Type="http://schemas.openxmlformats.org/officeDocument/2006/relationships/hyperlink" Id="rId99" Target="https://doi.org/10.1111/1752-1688.12372" TargetMode="External" /><Relationship Type="http://schemas.openxmlformats.org/officeDocument/2006/relationships/hyperlink" Id="rId127" Target="https://doi.org/10.1111/gec3.12039" TargetMode="External" /><Relationship Type="http://schemas.openxmlformats.org/officeDocument/2006/relationships/hyperlink" Id="rId88" Target="https://doi.org/10.1111/j.1365-2427.2011.02696.x" TargetMode="External" /><Relationship Type="http://schemas.openxmlformats.org/officeDocument/2006/relationships/hyperlink" Id="rId136" Target="https://doi.org/10.1111/j.1365-2664.2008.01548.x" TargetMode="External" /><Relationship Type="http://schemas.openxmlformats.org/officeDocument/2006/relationships/hyperlink" Id="rId76"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6" Target="https://doi.org/10.1111/j.1752-1688.2011.00635.x" TargetMode="External" /><Relationship Type="http://schemas.openxmlformats.org/officeDocument/2006/relationships/hyperlink" Id="rId143" Target="https://doi.org/10.1111/jawr.12032" TargetMode="External" /><Relationship Type="http://schemas.openxmlformats.org/officeDocument/2006/relationships/hyperlink" Id="rId133" Target="https://doi.org/10.1111/jawr.12035" TargetMode="External" /><Relationship Type="http://schemas.openxmlformats.org/officeDocument/2006/relationships/hyperlink" Id="rId70" Target="https://doi.org/10.1146/annurev.ecolsys.35.120202.110122" TargetMode="External" /><Relationship Type="http://schemas.openxmlformats.org/officeDocument/2006/relationships/hyperlink" Id="rId145" Target="https://doi.org/10.1371/journal.pone.0090944" TargetMode="External" /><Relationship Type="http://schemas.openxmlformats.org/officeDocument/2006/relationships/hyperlink" Id="rId103" Target="https://doi.org/10.1371/journal.pone.0130710" TargetMode="External" /><Relationship Type="http://schemas.openxmlformats.org/officeDocument/2006/relationships/hyperlink" Id="rId147" Target="https://doi.org/10.1577/1548-8446(1997)022%3C0006:IOWLUO%3E2.0.CO;2" TargetMode="External" /><Relationship Type="http://schemas.openxmlformats.org/officeDocument/2006/relationships/hyperlink" Id="rId124" Target="https://doi.org/10.1890/11-0077.1" TargetMode="External" /><Relationship Type="http://schemas.openxmlformats.org/officeDocument/2006/relationships/hyperlink" Id="rId86" Target="https://doi.org/10.1899/0887-3593(2004)023%3C0599:BWRSUO%3E2.0.CO;2"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2018-06-18T21:23:51Z</dcterms:created>
  <dcterms:modified xsi:type="dcterms:W3CDTF">2018-06-18T21:23:51Z</dcterms:modified>
</cp:coreProperties>
</file>