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5.png" ContentType="image/png"/>
  <Override PartName="/word/media/rId54.png" ContentType="image/png"/>
  <Override PartName="/word/media/rId58.png" ContentType="image/png"/>
  <Override PartName="/word/media/rId57.png" ContentType="image/png"/>
  <Override PartName="/word/media/rId56.png" ContentType="image/png"/>
  <Override PartName="/word/media/rId53.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Fri Jul 6 18:40:45 2018 -0700</w:t>
      </w:r>
    </w:p>
    <w:p>
      <w:pPr>
        <w:pStyle w:val="Heading1"/>
      </w:pPr>
      <w:bookmarkStart w:id="30" w:name="abstract"/>
      <w:r>
        <w:t xml:space="preserve">Abstract</w:t>
      </w:r>
      <w:bookmarkEnd w:id="30"/>
    </w:p>
    <w:p>
      <w:pPr>
        <w:pStyle w:val="FirstParagraph"/>
      </w:pPr>
      <w:r>
        <w:t xml:space="preserve">Management goals for stream condition may be difficult or impossible to achieve where large-scale changes on the landscape (e.g., urbanization) impose constraints on the upper limit of biological integrity. We developed a statewide landscape model that provides context for a macroinvertebrate-based bioassessment index by predicting ranges of likely scores that are typical at a site for the observed level of landscape alteration. With this approach, a relative site score can be identified to evaluate if a site is scoring above, below, or within the range of scores that are expected given the level of landscape alteration. We applied the model at a local scale to classify sites and prioritize different management actions using guidance from a local stakeholder group from the San Gabriel River Regional Monitoring Program (SGRRMP,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We observed model predictions that were consistent with the clear land use gradient from the upper to lower watershed,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proximate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but the precise link between land use and instream condition is not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streams.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Much of this development is recent such that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Many of the metrics in StreamCat were derived from the 2006 National Land Cover Database</w:t>
      </w:r>
      <w:r>
        <w:t xml:space="preserve"> </w:t>
      </w:r>
      <w:r>
        <w:t xml:space="preserve">(Fry et al.</w:t>
      </w:r>
      <w:r>
        <w:t xml:space="preserve"> </w:t>
      </w:r>
      <w:hyperlink w:anchor="ref-Fry11">
        <w:r>
          <w:rPr>
            <w:rStyle w:val="Hyperlink"/>
          </w:rPr>
          <w:t xml:space="preserve">2011</w:t>
        </w:r>
      </w:hyperlink>
      <w:r>
        <w:t xml:space="preserve">)</w:t>
      </w:r>
      <w:r>
        <w:t xml:space="preserve">.</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The CSCI is a predictive index of stream health that compares the observed taxa and metrics at a site to those expected under reference conditions. Expected values at a site are based on models that estimate the likely macroinvertebrate community in relation to factors that naturally influence biology, e.g., watershed size, elevation, climate, etc. The index score at a site can vary from 0 to ~ 1.4, with higher values indicating less deviation from reference state. Because the index was developed to minimize the influence of natural gradients, the index scores have consistent meaning across the state</w:t>
      </w:r>
      <w:r>
        <w:t xml:space="preserve"> </w:t>
      </w:r>
      <w:r>
        <w:t xml:space="preserve">(Mazor et al.</w:t>
      </w:r>
      <w:r>
        <w:t xml:space="preserve"> </w:t>
      </w:r>
      <w:hyperlink w:anchor="ref-Mazor16">
        <w:r>
          <w:rPr>
            <w:rStyle w:val="Hyperlink"/>
          </w:rPr>
          <w:t xml:space="preserve">2016</w:t>
        </w:r>
      </w:hyperlink>
      <w:r>
        <w:t xml:space="preserve">)</w:t>
      </w:r>
      <w:r>
        <w:t xml:space="preserve">. Benthic macroinvertebrate data used to calculate CSCI scores were collected at nearly 3400 unique sites (6270 with repeat visits) between 2000 and 2016. Field data were collected during base flow conditions typically between May and July following methods in</w:t>
      </w:r>
      <w:r>
        <w:t xml:space="preserve"> </w:t>
      </w:r>
      <w:r>
        <w:t xml:space="preserve">Ode et al. (</w:t>
      </w:r>
      <w:hyperlink w:anchor="ref-Ode16">
        <w:r>
          <w:rPr>
            <w:rStyle w:val="Hyperlink"/>
          </w:rPr>
          <w:t xml:space="preserve">2016</w:t>
        </w:r>
      </w:hyperlink>
      <w:r>
        <w:t xml:space="preserve">)</w:t>
      </w:r>
      <w:r>
        <w:t xml:space="preserve">.</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deviation of observed scores from the model predictions were considered diagnostic of variation not related to landscape effects at a coarse level,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reach at five percent intervals (i.e., 5th, 10th, etc.) from the 5th to 95th percentile of expectations.</w:t>
      </w:r>
    </w:p>
    <w:p>
      <w:pPr>
        <w:pStyle w:val="BodyText"/>
      </w:pPr>
      <w:r>
        <w:t xml:space="preserve">Calibration data for the landscape model were obtained from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to adequately represent landscape gradients in each region. The remaining sites were used for model validation (n = 655). Where multiple samples were available at a single site, one was selected at random for both calibration and validation purposes. Model performance was assessed for the statewide dataset and within each major region by comparing differences between observed CSCI scores and median predictions at the same locations. Differences were evaluated using Pearson correlations and root mean squared errors (RMSE). Regression analysis between predicted and observed scores was used to assess potential bias based on intercept and slope values differing from 0 and 1, respectively. Collectively, the performance metrics were chosen to evaluate both predictive ability of the landscape model and potential for bias which may vary depending on different land use gradients across the state.</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used for comparison with the modelled expectations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1</w:t>
      </w:r>
      <w:r>
        <w:t xml:space="preserve">).</w:t>
      </w:r>
    </w:p>
    <w:p>
      <w:pPr>
        <w:pStyle w:val="BodyText"/>
      </w:pPr>
      <w:r>
        <w:t xml:space="preserve">CSCI scores from biomonitoring data were then compared to the stream reach classification to identify a</w:t>
      </w:r>
      <w:r>
        <w:t xml:space="preserve"> </w:t>
      </w:r>
      <w:r>
        <w:t xml:space="preserve">“</w:t>
      </w:r>
      <w:r>
        <w:t xml:space="preserve">relative site score</w:t>
      </w:r>
      <w:r>
        <w:t xml:space="preserve">”</w:t>
      </w:r>
      <w:r>
        <w:t xml:space="preserve"> </w:t>
      </w:r>
      <w:r>
        <w:t xml:space="preserve">(Figure</w:t>
      </w:r>
      <w:r>
        <w:t xml:space="preserve"> </w:t>
      </w:r>
      <w:r>
        <w:t xml:space="preserve">3</w:t>
      </w:r>
      <w:r>
        <w:t xml:space="preserve">d). This comparison is a fundamental product of the landscape model that can be used to evaluate if a site is scoring above, below, or within the range of scores that are expected given the level of landscape alteration.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over-scoring</w:t>
      </w:r>
      <w:r>
        <w:t xml:space="preserve">”</w:t>
      </w:r>
      <w:r>
        <w:t xml:space="preserve"> </w:t>
      </w:r>
      <w:r>
        <w:t xml:space="preserve">and sites below the lower limit (e.g., 10th percentile) were considered</w:t>
      </w:r>
      <w:r>
        <w:t xml:space="preserve"> </w:t>
      </w:r>
      <w:r>
        <w:t xml:space="preserve">“</w:t>
      </w:r>
      <w:r>
        <w:t xml:space="preserve">under-scoring</w:t>
      </w:r>
      <w:r>
        <w:t xml:space="preserve">”</w:t>
      </w:r>
      <w:r>
        <w:t xml:space="preserve">. If neither</w:t>
      </w:r>
      <w:r>
        <w:t xml:space="preserve"> </w:t>
      </w:r>
      <w:r>
        <w:t xml:space="preserve">“</w:t>
      </w:r>
      <w:r>
        <w:t xml:space="preserve">over-scoring</w:t>
      </w:r>
      <w:r>
        <w:t xml:space="preserve">”</w:t>
      </w:r>
      <w:r>
        <w:t xml:space="preserve"> </w:t>
      </w:r>
      <w:r>
        <w:t xml:space="preserve">nor</w:t>
      </w:r>
      <w:r>
        <w:t xml:space="preserve"> </w:t>
      </w:r>
      <w:r>
        <w:t xml:space="preserve">“</w:t>
      </w:r>
      <w:r>
        <w:t xml:space="preserve">under-scoring</w:t>
      </w:r>
      <w:r>
        <w:t xml:space="preserve">”</w:t>
      </w:r>
      <w:r>
        <w:t xml:space="preserve">, the relative site score was considered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low or high scores (Figure</w:t>
      </w:r>
      <w:r>
        <w:t xml:space="preserve"> </w:t>
      </w:r>
      <w:r>
        <w:t xml:space="preserve">3</w:t>
      </w:r>
      <w:r>
        <w:t xml:space="preserve">c). The 10th and 90th percentiles of expected scores at a reach were used as a default range in which a high degree of certainty in the model output is assumed. The effect of changing this range (e.g., 25th to 75th percentile) was evaluated to determine the sensitivity of reach classifications on this decision point. Similary, the CSCI threshold was also changed to assess effects of relaxing or increasing flexibility in defining low or high scores. A default threshold of 0.79 as a measure of the 10th percentile of scores at reference (non-impacted) sites was used above, but this value can be increased to examine effects of a more conservative threshold or decreased for a more relaxed threshold. The combined effects of changing both the certainty in the model and the CSCI threshold were evaluated to estimate the changes in stream extent in each classification.</w:t>
      </w:r>
    </w:p>
    <w:p>
      <w:pPr>
        <w:pStyle w:val="Heading2"/>
      </w:pPr>
      <w:bookmarkStart w:id="38" w:name="defining-management-priorities-in-the-san-gabriel-river-watershed"/>
      <w:r>
        <w:t xml:space="preserve">Defining management priorities in the San Gabriel River watershed</w:t>
      </w:r>
      <w:bookmarkEnd w:id="38"/>
    </w:p>
    <w:p>
      <w:pPr>
        <w:pStyle w:val="FirstParagraph"/>
      </w:pPr>
      <w:r>
        <w:t xml:space="preserve">A framework for identifying SGR site priorities for management actions using results from the landscape model was developed through engagement with a local stakeholder group. The San Gabriel River Regional Monitoring Program (SGRRMP, Los Angeles County, California) includes stakeholders from local municipalities, water districts, water quality regulatory agencies, consulting groups, and non-government organizations that cooperatively work to answer key management questions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Spreading grounds are present in the middle of the watershed for groundwater recharge during high flow. As a result, the upper and lower watersheds are hydrologically disconnected when annual rainfall is normal. Nearly all of the stream reaches in the lower half of the watershed are channelized with concrete or other reinforcements. The majority of flow in the lower watershed is provided to San Jose Creek, Coyote Creek, and the mainstem of the San Gabriel River by wastewater treatment plants releasing tertiary treated effluent. Approximately half of the monitored sites in the watershed are in poor biological condition, all of which are in the lower watershed.</w:t>
      </w:r>
    </w:p>
    <w:p>
      <w:pPr>
        <w:pStyle w:val="BodyText"/>
      </w:pPr>
      <w:r>
        <w:t xml:space="preserve">Pioritizing among the many sites that require some management intervention was a critical objective of the stakeholder group in applying the landscape model. 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(e.g., CSCI of 0.79), in addition to the scoring expectation for the stream class (Table</w:t>
      </w:r>
      <w:r>
        <w:t xml:space="preserve"> </w:t>
      </w:r>
      <w:r>
        <w:t xml:space="preserve">2</w:t>
      </w:r>
      <w:r>
        <w:t xml:space="preserve">). To facilitate the process, a template was used that showed the site scores relative to the reach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assignments were also made with the explicit recognition that any priority recommendations were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w:t>
      </w:r>
    </w:p>
    <w:p>
      <w:pPr>
        <w:pStyle w:val="BodyText"/>
      </w:pPr>
      <w:r>
        <w:t xml:space="preserve">The interactive and online Stream Classification and Priority Explorer (SCAPE) tool was created for the stakeholder group to facilitate the recommendation of management actions for each site type (Figure S1,</w:t>
      </w:r>
      <w:r>
        <w:t xml:space="preserve"> </w:t>
      </w:r>
      <w:hyperlink r:id="rId39">
        <w:r>
          <w:rPr>
            <w:rStyle w:val="Hyperlink"/>
          </w:rPr>
          <w:t xml:space="preserve">http://shiny.sccwrp.org/scape/</w:t>
        </w:r>
      </w:hyperlink>
      <w:r>
        <w:t xml:space="preserve">,</w:t>
      </w:r>
      <w:r>
        <w:t xml:space="preserve"> </w:t>
      </w:r>
      <w:r>
        <w:t xml:space="preserve">(</w:t>
      </w:r>
      <w:r>
        <w:rPr>
          <w:b/>
        </w:rPr>
        <w:t xml:space="preserve">???</w:t>
      </w:r>
      <w:r>
        <w:t xml:space="preserve">)</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 S2). Agreement between observed and predicted values for the entire calibration dataset was r = 0.75 (Pearson) and RMSE = 0.17. The intercept and slope for a regression between observed and predicted values were 0.34 and 0.60, suggesting a slight negative bias of predictions at lower scores and slight positive bias at higher scores. The statewide validation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Chaparral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0.57 with observed values in the calibration dataset and 0.53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that were consistent with land use (Figure</w:t>
      </w:r>
      <w:r>
        <w:t xml:space="preserve"> </w:t>
      </w:r>
      <w:r>
        <w:t xml:space="preserve">4</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3</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Chaparral region, second most important for the North Coast, and third most important for the Sierra Nevada region. This variable was not in the top five for the South Coast region, which was exclusively described by imperviousness and urbanization. Soil erodibility was the most important variable in the Sierra Nevada region.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san-gabriel-river-case-study"/>
      <w:r>
        <w:t xml:space="preserve">San Gabriel River Case study</w:t>
      </w:r>
      <w:bookmarkEnd w:id="44"/>
    </w:p>
    <w:p>
      <w:pPr>
        <w:pStyle w:val="FirstParagraph"/>
      </w:pPr>
      <w:r>
        <w:t xml:space="preserve">Engagement of the SGRRMP stakeholders demonstrated how management actions can be prioritized through application of the landscape model. About 750 reaches in the SGR were identified and classified from NHD-plus, of which 10% were visited over a ten-year period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 S3).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five high priority sites were in the upper watershed (multiple recommendations were assigned to the sites). Several sites that were scoring as expected for likely and possibly unconstrained reaches in the upper watershed were recommended as medium priority for protection.</w:t>
      </w:r>
    </w:p>
    <w:p>
      <w:pPr>
        <w:pStyle w:val="Heading1"/>
      </w:pPr>
      <w:bookmarkStart w:id="45" w:name="discussion"/>
      <w:r>
        <w:t xml:space="preserve">Discussion</w:t>
      </w:r>
      <w:bookmarkEnd w:id="45"/>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diagnosis of causes of impairment, nor does it provide an exemption from management intervention if constraints are high. The landscape model can inform the interpretation of biotic condition and is an exploratory tool that can help identify where management goals are most likely to be achieved.</w:t>
      </w:r>
    </w:p>
    <w:p>
      <w:pPr>
        <w:pStyle w:val="BodyText"/>
      </w:pPr>
      <w:r>
        <w:t xml:space="preserve">Results from our analyses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exclude sites from management actions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Heading2"/>
      </w:pPr>
      <w:bookmarkStart w:id="46" w:name="the-landscape-model-is-a-tool-for-exploring-options"/>
      <w:r>
        <w:t xml:space="preserve">The landscape model is a tool for exploring options</w:t>
      </w:r>
      <w:bookmarkEnd w:id="46"/>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patterns among monitoring sites where more intensive analyses may be appropriate. This application was effectively demonstrated through engagement of our local stakeholder group. Rather than identifying individual sites in need of specific management actions, the group used the landscape model to characterize patterns on the landscape that were consistent with the recommended managagment priorities. In doing so, the group was able to synthesize a large volume of bioassessment data to explore potential management actions relative to the landscape contexts of the watershed.</w:t>
      </w:r>
    </w:p>
    <w:p>
      <w:pPr>
        <w:pStyle w:val="BodyText"/>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relatively low expected range of CSCI scores is an indication that stressors originating from the landscape may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BodyText"/>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beyond California should also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under-scoring relative to a biological endpoint. Doing so in California provided stakeholders with important context that helped establish management priorities, demonstrating the potential utility of this approach in other states.</w:t>
      </w:r>
    </w:p>
    <w:p>
      <w:pPr>
        <w:pStyle w:val="Heading1"/>
      </w:pPr>
      <w:bookmarkStart w:id="47" w:name="model-assumptions-and-limitations"/>
      <w:r>
        <w:t xml:space="preserve">Model assumptions and limitations</w:t>
      </w:r>
      <w:bookmarkEnd w:id="47"/>
    </w:p>
    <w:p>
      <w:pPr>
        <w:pStyle w:val="FirstParagraph"/>
      </w:pPr>
      <w:r>
        <w:t xml:space="preserve">There are several characteristics of the landscape model that could affect its performance when applied outside of urban and agricultural settings. First, the model was developed with a focus on the needs of managers that apply bioassessment tools in developed landscapes. As such, landscape variables were chosen to capture the effects of development on CSCI scores in these areas (Table S1). This could lead to erroneous conclusions in regions where different stressors have strong impacts on stream health. For example, our results suggest that streams in the North Coast and Sierra Nevada regions are largely unconstrained, but model performance was poor in these areas. The dominant stressors likely to affect stream condition in these regions originate from sources that are less common in developed landscapes, e.g., silviculture, cannabis cultivation, water extraction and hydrologic alteration. The current landscape model does not adequately capture these impacts outside of urban and agricultural environments. Accurate data for quantifying these potential stressors are much less readily available, but this is an area where investments in improving spatial data could yield significant improvements.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and profound alteration to groundwater and hydrology is common in highly developed areas and stream communities may not ever be able to be restored to reference conditions even in the most extreme management interventions. Similar conditions likely exist for other land use gradients. For example, a landscape model developed to describe constraints from timber harvesting practices may not provide adequate information on the long-term impacts of siltation on stream integrity if the input data does not describe these impacts at spatial and temporal scales that are relevant for management. The potential legacy impacts of large-scale alterations of the natural environment are not well-captured by the current model, neither from a spatial nor temporal perspective. Our analysis of landscape factors associated with constraints using additional StreamCat variables provided a preliminary means of addressing this concern,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health.</w:t>
      </w:r>
    </w:p>
    <w:p>
      <w:pPr>
        <w:pStyle w:val="BodyText"/>
      </w:pPr>
      <w:r>
        <w:t xml:space="preserve">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using the landscape model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tested with the SGRRMP stakeholder group. The final decision by the group to prioritize management actions for the different sites in broad categories of protect, restore, and investigate was based on an iterative process where ideas were discussed and shared freely among stakeholders. This approach ensured that stakeholders were generally in agreement with the final product and, therefore, more likely to adopt the recommendations provided by these tools in formal decision-making. The recommended actions have relevance only in the context of interests of the SGRRMP. Application of the statewide model to other watersheds must include the engagement of local stakeholders in a similar process to develop recommendations that are adequate to meet regional needs.</w:t>
      </w:r>
    </w:p>
    <w:p>
      <w:pPr>
        <w:pStyle w:val="BodyText"/>
      </w:pPr>
      <w:r>
        <w:t xml:space="preserve">The development of the SCAPE tool was also critical for engaging the stakeholder group. The tool was developed to achieve the dual purposes of demonstrating concepts applied by the model and allowing stakeholders to iteratively evaluate scenarios for defining stream classifications and priorities. The tool provided a means of demonstrating core concepts of the landscape model and allowed stakeholders to explore the key decision points that affect the model output, specifically related to changing certainties in the CSCI score predictions and the ability to explore alternative thresholds for biological objectives. This functionality allowed the stakeholders to develop recommendations that were completely independent of the model, i.e., decisions were not hard-wired into the model nor SCAPE. Because of this tool, this stakeholder group has a better understanding of the potential impacts of biointegrity policies currently under review in California. Additionally, the SCAPE tool provided assurance to the prioritization process by correctly identifying sites where dicrepancies between CSCI scores and other measures of stream condition had been observed. The SCAPE tool prioritized a site for restoration in the upper watershed that was unconstrained and under-performing. This confirmed a discrepancy identified by the stakeholders where good physical habitat conditions were observed from field visits, but the observed CSCI score was below the chosen threshold. As such, application of the landscape modelling approach to other regions will benefit from similar tools that actively engage managers with bioassessment data.</w:t>
      </w:r>
    </w:p>
    <w:p>
      <w:pPr>
        <w:pStyle w:val="Heading2"/>
      </w:pPr>
      <w:bookmarkStart w:id="49" w:name="summary"/>
      <w:r>
        <w:t xml:space="preserve">Summary</w:t>
      </w:r>
      <w:bookmarkEnd w:id="49"/>
    </w:p>
    <w:p>
      <w:pPr>
        <w:pStyle w:val="FirstParagraph"/>
      </w:pPr>
      <w:r>
        <w:t xml:space="preserve">The landscape model can be used to characterize the extent of biologically constrained channels in urban and agricultural landscapes.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use limited resources for stream management by focusing on reaches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Heading1"/>
      </w:pPr>
      <w:bookmarkStart w:id="50" w:name="supplement"/>
      <w:r>
        <w:t xml:space="preserve">Supplement</w:t>
      </w:r>
      <w:bookmarkEnd w:id="50"/>
    </w:p>
    <w:p>
      <w:pPr>
        <w:pStyle w:val="FirstParagraph"/>
      </w:pPr>
      <w:r>
        <w:t xml:space="preserve">The SCAPE model application website:</w:t>
      </w:r>
      <w:r>
        <w:t xml:space="preserve"> </w:t>
      </w:r>
      <w:hyperlink r:id="rId39">
        <w:r>
          <w:rPr>
            <w:rStyle w:val="Hyperlink"/>
          </w:rPr>
          <w:t xml:space="preserve">http://shiny.sccwrp.org/scape/</w:t>
        </w:r>
      </w:hyperlink>
    </w:p>
    <w:p>
      <w:pPr>
        <w:pStyle w:val="Heading1"/>
      </w:pPr>
      <w:bookmarkStart w:id="51" w:name="figures"/>
      <w:r>
        <w:t xml:space="preserve">Figures</w:t>
      </w:r>
      <w:bookmarkEnd w:id="51"/>
    </w:p>
    <w:p>
      <w:pPr>
        <w:pStyle w:val="CaptionedFigure"/>
      </w:pPr>
      <w:r>
        <w:drawing>
          <wp:inline>
            <wp:extent cx="5943600" cy="4245428"/>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Breakpoints for CSCI scores in the right plot are the 1st, 10th, and 30th percentile of scores at least-disturbed, reference sites throughout the state. Altered and intact refers to biological condition (Mazor et al. 2016). Grey lines are major environmental regions in California defined by ecoregional and watershed boundaries, CV: Central Valley, CH: Chaparral, DM: Deserts and Modoc Plateau, NC: North Coast, SN: Sierra Nevada, SC: South Coast." title="" id="1" name="Picture"/>
            <a:graphic>
              <a:graphicData uri="http://schemas.openxmlformats.org/drawingml/2006/picture">
                <pic:pic>
                  <pic:nvPicPr>
                    <pic:cNvPr descr="figs/calimap-1.png" id="0" name="Picture"/>
                    <pic:cNvPicPr>
                      <a:picLocks noChangeArrowheads="1" noChangeAspect="1"/>
                    </pic:cNvPicPr>
                  </pic:nvPicPr>
                  <pic:blipFill>
                    <a:blip r:embed="rId52"/>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Breakpoints for CSCI scores in the right plot are the 1st, 10th, and 30th percentile of scores at least-disturbed, reference sites throughout the state. Altered and intact refers to biological condition</w:t>
      </w:r>
      <w:r>
        <w:t xml:space="preserve"> </w:t>
      </w:r>
      <w:r>
        <w:t xml:space="preserve">(Mazor et al.</w:t>
      </w:r>
      <w:r>
        <w:t xml:space="preserve"> </w:t>
      </w:r>
      <w:hyperlink w:anchor="ref-Mazor16">
        <w:r>
          <w:rPr>
            <w:rStyle w:val="Hyperlink"/>
          </w:rPr>
          <w:t xml:space="preserve">2016</w:t>
        </w:r>
      </w:hyperlink>
      <w:r>
        <w:t xml:space="preserve">)</w:t>
      </w:r>
      <w:r>
        <w:t xml:space="preserve">. Grey lines are major environmental regions in California defined by ecoregional and watershed boundaries,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upper watershed is largely undeveloped, whereas the lower watershed is heavily urbanized." title="" id="1" name="Picture"/>
            <a:graphic>
              <a:graphicData uri="http://schemas.openxmlformats.org/drawingml/2006/picture">
                <pic:pic>
                  <pic:nvPicPr>
                    <pic:cNvPr descr="figs/sgrshd.png" id="0" name="Picture"/>
                    <pic:cNvPicPr>
                      <a:picLocks noChangeArrowheads="1" noChangeAspect="1"/>
                    </pic:cNvPicPr>
                  </pic:nvPicPr>
                  <pic:blipFill>
                    <a:blip r:embed="rId53"/>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upper watershed is largely undeveloped, whereas the lower watershed is heavily urbanized.</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5"/>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reache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reach class as likely constrained, possibly constrained, possibly unconstrained, and likely unconstrained. Reach classes are based on overlap of the expectations with a biological threshold for the CSCI (0.79,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6"/>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reaches in the San Gabriel River watershed, Los Angeles County, California. CSCI scores with (a) no context from the model are on the left and (b) scores with context from the model are on the right. Relative site scores as under-scoring, expected, or over-scoring are based on observed scores given the reach class as likely constrained, possibly constrained, possibly unconstrained, and likely unconstrained. Reach classes are based on overlap of the expectations with a biological threshold for the CSCI (0.79,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57"/>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 baseline maintenance and monitoring is sufficient for a site. Recommended actions were defined by a local stakeholder group (see Figure S3).</w:t>
      </w:r>
    </w:p>
    <w:p>
      <w:pPr>
        <w:pStyle w:val="CaptionedFigure"/>
      </w:pPr>
      <w:r>
        <w:drawing>
          <wp:inline>
            <wp:extent cx="5046020" cy="4587290"/>
            <wp:effectExtent b="0" l="0" r="0" t="0"/>
            <wp:docPr descr="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58"/>
                    <a:stretch>
                      <a:fillRect/>
                    </a:stretch>
                  </pic:blipFill>
                  <pic:spPr bwMode="auto">
                    <a:xfrm>
                      <a:off x="0" y="0"/>
                      <a:ext cx="5046020" cy="4587290"/>
                    </a:xfrm>
                    <a:prstGeom prst="rect">
                      <a:avLst/>
                    </a:prstGeom>
                    <a:noFill/>
                    <a:ln w="9525">
                      <a:noFill/>
                      <a:headEnd/>
                      <a:tailEnd/>
                    </a:ln>
                  </pic:spPr>
                </pic:pic>
              </a:graphicData>
            </a:graphic>
          </wp:inline>
        </w:drawing>
      </w:r>
    </w:p>
    <w:p>
      <w:pPr>
        <w:pStyle w:val="ImageCaption"/>
      </w:pPr>
      <w:r>
        <w:t xml:space="preserve">Figure 7 Changes in stream reach classes by region and statewide for different scenarios used to define biological constraints. The percentage of total stream length for likely unconstrained and likely constrained is shown for each scenario. Stream classifications as possibly unconstrained or possibly constrained are not shown but can be inferred form the area of white space above or below each bar. The solid black line indicates the percentage division between unconstrained and constrained classifications. Twenty-seven scenarios were tested that evaluated different combinations of certainty in the CSCI predictions (nine scenarios from wide to narrow prediction intervals as identified by the tail cutoff for the expected range) and potential CSCI threshold (three scenarios from low to high). CV: Central Valley, CH: Chaparral, DM: Deserts and Modoc Plateau, NC: North Coast, SN: Sierra Nevada, SC: South Coast.</w:t>
      </w:r>
    </w:p>
    <w:p>
      <w:pPr>
        <w:pStyle w:val="Heading1"/>
      </w:pPr>
      <w:bookmarkStart w:id="59" w:name="tables"/>
      <w:r>
        <w:t xml:space="preserve">Tables</w:t>
      </w:r>
      <w:bookmarkEnd w:id="59"/>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Heading1"/>
      </w:pPr>
      <w:bookmarkStart w:id="60" w:name="references"/>
      <w:r>
        <w:t xml:space="preserve">References</w:t>
      </w:r>
      <w:bookmarkEnd w:id="60"/>
    </w:p>
    <w:bookmarkStart w:id="153" w:name="refs"/>
    <w:bookmarkStart w:id="62"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1">
        <w:r>
          <w:rPr>
            <w:rStyle w:val="Hyperlink"/>
          </w:rPr>
          <w:t xml:space="preserve">https://doi.org/10.1046/j.1365-2427.1997.d01-546.x</w:t>
        </w:r>
      </w:hyperlink>
      <w:r>
        <w:t xml:space="preserve">.</w:t>
      </w:r>
    </w:p>
    <w:bookmarkEnd w:id="62"/>
    <w:bookmarkStart w:id="64"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3">
        <w:r>
          <w:rPr>
            <w:rStyle w:val="Hyperlink"/>
          </w:rPr>
          <w:t xml:space="preserve">https://doi.org/10.1146/annurev.ecolsys.35.120202.110122</w:t>
        </w:r>
      </w:hyperlink>
      <w:r>
        <w:t xml:space="preserve">.</w:t>
      </w:r>
    </w:p>
    <w:bookmarkEnd w:id="64"/>
    <w:bookmarkStart w:id="65"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5"/>
    <w:bookmarkStart w:id="67"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6">
        <w:r>
          <w:rPr>
            <w:rStyle w:val="Hyperlink"/>
          </w:rPr>
          <w:t xml:space="preserve">https://doi.org/10.1016/j.landurbplan.2012.07.009</w:t>
        </w:r>
      </w:hyperlink>
      <w:r>
        <w:t xml:space="preserve">.</w:t>
      </w:r>
    </w:p>
    <w:bookmarkEnd w:id="67"/>
    <w:bookmarkStart w:id="69"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68">
        <w:r>
          <w:rPr>
            <w:rStyle w:val="Hyperlink"/>
          </w:rPr>
          <w:t xml:space="preserve">https://doi.org/10.1007/s10661-014-4132-8</w:t>
        </w:r>
      </w:hyperlink>
      <w:r>
        <w:t xml:space="preserve">.</w:t>
      </w:r>
    </w:p>
    <w:bookmarkEnd w:id="69"/>
    <w:bookmarkStart w:id="70"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0"/>
    <w:bookmarkStart w:id="71" w:name="ref-CRWQCB14"/>
    <w:p>
      <w:pPr>
        <w:pStyle w:val="Bibliography"/>
      </w:pPr>
      <w:r>
        <w:t xml:space="preserve">California Regional Water Quality Control Board, Los Angeles Region. 2014. “Basin Plan for the Coastal Watersheds of Los Angeles and Ventura Counties.”</w:t>
      </w:r>
    </w:p>
    <w:bookmarkEnd w:id="71"/>
    <w:bookmarkStart w:id="73"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2">
        <w:r>
          <w:rPr>
            <w:rStyle w:val="Hyperlink"/>
          </w:rPr>
          <w:t xml:space="preserve">https://doi.org/10.1111/j.1526-100X.2007.00285.x</w:t>
        </w:r>
      </w:hyperlink>
      <w:r>
        <w:t xml:space="preserve">.</w:t>
      </w:r>
    </w:p>
    <w:bookmarkEnd w:id="73"/>
    <w:bookmarkStart w:id="75"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4">
        <w:r>
          <w:rPr>
            <w:rStyle w:val="Hyperlink"/>
          </w:rPr>
          <w:t xml:space="preserve">https://doi.org/10.1007/s10661-008-0256-z</w:t>
        </w:r>
      </w:hyperlink>
      <w:r>
        <w:t xml:space="preserve">.</w:t>
      </w:r>
    </w:p>
    <w:bookmarkEnd w:id="75"/>
    <w:bookmarkStart w:id="77"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6">
        <w:r>
          <w:rPr>
            <w:rStyle w:val="Hyperlink"/>
          </w:rPr>
          <w:t xml:space="preserve">https://doi.org/10.1016/j.ecolind.2013.07.006</w:t>
        </w:r>
      </w:hyperlink>
      <w:r>
        <w:t xml:space="preserve">.</w:t>
      </w:r>
    </w:p>
    <w:bookmarkEnd w:id="77"/>
    <w:bookmarkStart w:id="79"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78">
        <w:r>
          <w:rPr>
            <w:rStyle w:val="Hyperlink"/>
          </w:rPr>
          <w:t xml:space="preserve">https://doi.org/10.1086/678701</w:t>
        </w:r>
      </w:hyperlink>
      <w:r>
        <w:t xml:space="preserve">.</w:t>
      </w:r>
    </w:p>
    <w:bookmarkEnd w:id="79"/>
    <w:bookmarkStart w:id="81"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0">
        <w:r>
          <w:rPr>
            <w:rStyle w:val="Hyperlink"/>
          </w:rPr>
          <w:t xml:space="preserve">https://doi.org/10.1002/rra.1053</w:t>
        </w:r>
      </w:hyperlink>
      <w:r>
        <w:t xml:space="preserve">.</w:t>
      </w:r>
    </w:p>
    <w:bookmarkEnd w:id="81"/>
    <w:bookmarkStart w:id="83"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2">
        <w:r>
          <w:rPr>
            <w:rStyle w:val="Hyperlink"/>
          </w:rPr>
          <w:t xml:space="preserve">https://doi.org/10.1899/0887-3593(2004)023%3C0599:BWRSUO%3E2.0.CO;2</w:t>
        </w:r>
      </w:hyperlink>
      <w:r>
        <w:t xml:space="preserve">.</w:t>
      </w:r>
    </w:p>
    <w:bookmarkEnd w:id="83"/>
    <w:bookmarkStart w:id="85"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4">
        <w:r>
          <w:rPr>
            <w:rStyle w:val="Hyperlink"/>
          </w:rPr>
          <w:t xml:space="preserve">https://doi.org/10.1111/j.1365-2427.2011.02696.x</w:t>
        </w:r>
      </w:hyperlink>
      <w:r>
        <w:t xml:space="preserve">.</w:t>
      </w:r>
    </w:p>
    <w:bookmarkEnd w:id="85"/>
    <w:bookmarkStart w:id="87"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6">
        <w:r>
          <w:rPr>
            <w:rStyle w:val="Hyperlink"/>
          </w:rPr>
          <w:t xml:space="preserve">https://doi.org/10.1002/etc.2059</w:t>
        </w:r>
      </w:hyperlink>
      <w:r>
        <w:t xml:space="preserve">.</w:t>
      </w:r>
    </w:p>
    <w:bookmarkEnd w:id="87"/>
    <w:bookmarkStart w:id="88"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88"/>
    <w:bookmarkStart w:id="90"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89">
        <w:r>
          <w:rPr>
            <w:rStyle w:val="Hyperlink"/>
          </w:rPr>
          <w:t xml:space="preserve">https://doi.org/10.1111/j.1752-1688.2000.tb05717.x</w:t>
        </w:r>
      </w:hyperlink>
      <w:r>
        <w:t xml:space="preserve">.</w:t>
      </w:r>
    </w:p>
    <w:bookmarkEnd w:id="90"/>
    <w:bookmarkStart w:id="91"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1"/>
    <w:bookmarkStart w:id="93"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2">
        <w:r>
          <w:rPr>
            <w:rStyle w:val="Hyperlink"/>
          </w:rPr>
          <w:t xml:space="preserve">https://doi.org/10.1007/s10661-017-6025-0</w:t>
        </w:r>
      </w:hyperlink>
      <w:r>
        <w:t xml:space="preserve">.</w:t>
      </w:r>
    </w:p>
    <w:bookmarkEnd w:id="93"/>
    <w:bookmarkStart w:id="94" w:name="ref-Fry11"/>
    <w:p>
      <w:pPr>
        <w:pStyle w:val="Bibliography"/>
      </w:pPr>
      <w:r>
        <w:t xml:space="preserve">Fry, J., G. Xian, S. Jin, J. Dewitz, C. Homer, L. Yang, C. Barnes, N. Herold, and J. Wickham. 2011. “Completion of the 2006 National Land Cover Database for the Conterminous United States.”</w:t>
      </w:r>
      <w:r>
        <w:t xml:space="preserve"> </w:t>
      </w:r>
      <w:r>
        <w:rPr>
          <w:i/>
        </w:rPr>
        <w:t xml:space="preserve">Photogrammetric Engineering and Remote Sensing</w:t>
      </w:r>
      <w:r>
        <w:t xml:space="preserve"> </w:t>
      </w:r>
      <w:r>
        <w:t xml:space="preserve">77 (9):858–64.</w:t>
      </w:r>
    </w:p>
    <w:bookmarkEnd w:id="94"/>
    <w:bookmarkStart w:id="95"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5"/>
    <w:bookmarkStart w:id="97"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6">
        <w:r>
          <w:rPr>
            <w:rStyle w:val="Hyperlink"/>
          </w:rPr>
          <w:t xml:space="preserve">https://doi.org/10.1002/eap.1617</w:t>
        </w:r>
      </w:hyperlink>
      <w:r>
        <w:t xml:space="preserve">.</w:t>
      </w:r>
    </w:p>
    <w:bookmarkEnd w:id="97"/>
    <w:bookmarkStart w:id="99"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98">
        <w:r>
          <w:rPr>
            <w:rStyle w:val="Hyperlink"/>
          </w:rPr>
          <w:t xml:space="preserve">https://doi.org/10.1111/1752-1688.12372</w:t>
        </w:r>
      </w:hyperlink>
      <w:r>
        <w:t xml:space="preserve">.</w:t>
      </w:r>
    </w:p>
    <w:bookmarkEnd w:id="99"/>
    <w:bookmarkStart w:id="101"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0">
        <w:r>
          <w:rPr>
            <w:rStyle w:val="Hyperlink"/>
          </w:rPr>
          <w:t xml:space="preserve">https://doi.org/10.1086/697996</w:t>
        </w:r>
      </w:hyperlink>
      <w:r>
        <w:t xml:space="preserve">.</w:t>
      </w:r>
    </w:p>
    <w:bookmarkEnd w:id="101"/>
    <w:bookmarkStart w:id="103"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2">
        <w:r>
          <w:rPr>
            <w:rStyle w:val="Hyperlink"/>
          </w:rPr>
          <w:t xml:space="preserve">https://doi.org/10.1371/journal.pone.0130710</w:t>
        </w:r>
      </w:hyperlink>
      <w:r>
        <w:t xml:space="preserve">.</w:t>
      </w:r>
    </w:p>
    <w:bookmarkEnd w:id="103"/>
    <w:bookmarkStart w:id="104"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4"/>
    <w:bookmarkStart w:id="106"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5">
        <w:r>
          <w:rPr>
            <w:rStyle w:val="Hyperlink"/>
          </w:rPr>
          <w:t xml:space="preserve">https://doi.org/10.1111/j.1752-1688.2011.00635.x</w:t>
        </w:r>
      </w:hyperlink>
      <w:r>
        <w:t xml:space="preserve">.</w:t>
      </w:r>
    </w:p>
    <w:bookmarkEnd w:id="106"/>
    <w:bookmarkStart w:id="108"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7">
        <w:r>
          <w:rPr>
            <w:rStyle w:val="Hyperlink"/>
          </w:rPr>
          <w:t xml:space="preserve">https://doi.org/10.1016/j.scitotenv.2015.07.083</w:t>
        </w:r>
      </w:hyperlink>
      <w:r>
        <w:t xml:space="preserve">.</w:t>
      </w:r>
    </w:p>
    <w:bookmarkEnd w:id="108"/>
    <w:bookmarkStart w:id="110"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09">
        <w:r>
          <w:rPr>
            <w:rStyle w:val="Hyperlink"/>
          </w:rPr>
          <w:t xml:space="preserve">https://doi.org/10.1007%2Fs00267-008-9151-1</w:t>
        </w:r>
      </w:hyperlink>
      <w:r>
        <w:t xml:space="preserve">.</w:t>
      </w:r>
    </w:p>
    <w:bookmarkEnd w:id="110"/>
    <w:bookmarkStart w:id="112"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1">
        <w:r>
          <w:rPr>
            <w:rStyle w:val="Hyperlink"/>
          </w:rPr>
          <w:t xml:space="preserve">https://doi.org/10.1007/s10661-014-4086-x</w:t>
        </w:r>
      </w:hyperlink>
      <w:r>
        <w:t xml:space="preserve">.</w:t>
      </w:r>
    </w:p>
    <w:bookmarkEnd w:id="112"/>
    <w:bookmarkStart w:id="113"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3"/>
    <w:bookmarkStart w:id="114" w:name="ref-McKay12"/>
    <w:p>
      <w:pPr>
        <w:pStyle w:val="Bibliography"/>
      </w:pPr>
      <w:r>
        <w:t xml:space="preserve">McKay, L., T. Bondelid, T. Dewald, J. Johnston, R. Moore, and A. Reah. 2012. “NHDPlus Version 2: User Guide.”</w:t>
      </w:r>
    </w:p>
    <w:bookmarkEnd w:id="114"/>
    <w:bookmarkStart w:id="115"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5"/>
    <w:bookmarkStart w:id="117"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6">
        <w:r>
          <w:rPr>
            <w:rStyle w:val="Hyperlink"/>
          </w:rPr>
          <w:t xml:space="preserve">https://CRAN.R-project.org/package=quantregForest</w:t>
        </w:r>
      </w:hyperlink>
      <w:r>
        <w:t xml:space="preserve">.</w:t>
      </w:r>
    </w:p>
    <w:bookmarkEnd w:id="117"/>
    <w:bookmarkStart w:id="118"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18"/>
    <w:bookmarkStart w:id="119"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19"/>
    <w:bookmarkStart w:id="121"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0">
        <w:r>
          <w:rPr>
            <w:rStyle w:val="Hyperlink"/>
          </w:rPr>
          <w:t xml:space="preserve">https://doi.org/10.1111/j.1365-2427.1987.tb01027.x</w:t>
        </w:r>
      </w:hyperlink>
      <w:r>
        <w:t xml:space="preserve">.</w:t>
      </w:r>
    </w:p>
    <w:bookmarkEnd w:id="121"/>
    <w:bookmarkStart w:id="123"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2">
        <w:r>
          <w:rPr>
            <w:rStyle w:val="Hyperlink"/>
          </w:rPr>
          <w:t xml:space="preserve">https://doi.org/10.1016/j.watres.2004.09.002</w:t>
        </w:r>
      </w:hyperlink>
      <w:r>
        <w:t xml:space="preserve">.</w:t>
      </w:r>
    </w:p>
    <w:bookmarkEnd w:id="123"/>
    <w:bookmarkStart w:id="124" w:name="ref-Ode16"/>
    <w:p>
      <w:pPr>
        <w:pStyle w:val="Bibliography"/>
      </w:pPr>
      <w:r>
        <w:t xml:space="preserve">Ode, P. R., A. C. Rehn, R. D. Mazor, K. C. Schiff, E. D. Stein, J. T. May, L. R. Brown, et al. 2016. “Evaluating the Adequacy of a Reference-Site Pool for Ecological Assessments in Environmentally Complex Regions.”</w:t>
      </w:r>
      <w:r>
        <w:t xml:space="preserve"> </w:t>
      </w:r>
      <w:r>
        <w:rPr>
          <w:i/>
        </w:rPr>
        <w:t xml:space="preserve">Freshwater Science</w:t>
      </w:r>
      <w:r>
        <w:t xml:space="preserve"> </w:t>
      </w:r>
      <w:r>
        <w:t xml:space="preserve">35 (1):237–48.</w:t>
      </w:r>
    </w:p>
    <w:bookmarkEnd w:id="124"/>
    <w:bookmarkStart w:id="125"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5"/>
    <w:bookmarkStart w:id="127"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6">
        <w:r>
          <w:rPr>
            <w:rStyle w:val="Hyperlink"/>
          </w:rPr>
          <w:t xml:space="preserve">https://doi.org/10.1890/11-0077.1</w:t>
        </w:r>
      </w:hyperlink>
      <w:r>
        <w:t xml:space="preserve">.</w:t>
      </w:r>
    </w:p>
    <w:bookmarkEnd w:id="127"/>
    <w:bookmarkStart w:id="128"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28"/>
    <w:bookmarkStart w:id="130"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29">
        <w:r>
          <w:rPr>
            <w:rStyle w:val="Hyperlink"/>
          </w:rPr>
          <w:t xml:space="preserve">https://doi.org/10.1111/gec3.12039</w:t>
        </w:r>
      </w:hyperlink>
      <w:r>
        <w:t xml:space="preserve">.</w:t>
      </w:r>
    </w:p>
    <w:bookmarkEnd w:id="130"/>
    <w:bookmarkStart w:id="132"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1">
        <w:r>
          <w:rPr>
            <w:rStyle w:val="Hyperlink"/>
          </w:rPr>
          <w:t xml:space="preserve">https://doi.org/10.1007/s10661-010-1385-8</w:t>
        </w:r>
      </w:hyperlink>
      <w:r>
        <w:t xml:space="preserve">.</w:t>
      </w:r>
    </w:p>
    <w:bookmarkEnd w:id="132"/>
    <w:bookmarkStart w:id="134"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3">
        <w:r>
          <w:rPr>
            <w:rStyle w:val="Hyperlink"/>
          </w:rPr>
          <w:t xml:space="preserve">https://doi.org/10.1046/j.1365-2427.2001.00758.x</w:t>
        </w:r>
      </w:hyperlink>
      <w:r>
        <w:t xml:space="preserve">.</w:t>
      </w:r>
    </w:p>
    <w:bookmarkEnd w:id="134"/>
    <w:bookmarkStart w:id="136"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5">
        <w:r>
          <w:rPr>
            <w:rStyle w:val="Hyperlink"/>
          </w:rPr>
          <w:t xml:space="preserve">https://doi.org/10.1111/jawr.12035</w:t>
        </w:r>
      </w:hyperlink>
      <w:r>
        <w:t xml:space="preserve">.</w:t>
      </w:r>
    </w:p>
    <w:bookmarkEnd w:id="136"/>
    <w:bookmarkStart w:id="137"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37"/>
    <w:bookmarkStart w:id="139"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38">
        <w:r>
          <w:rPr>
            <w:rStyle w:val="Hyperlink"/>
          </w:rPr>
          <w:t xml:space="preserve">https://www.waterboards.ca.gov/water_issues/programs/swamp/qapp/swamp_QAPrP_2017_Final.pdf</w:t>
        </w:r>
      </w:hyperlink>
      <w:r>
        <w:t xml:space="preserve">.</w:t>
      </w:r>
    </w:p>
    <w:bookmarkEnd w:id="139"/>
    <w:bookmarkStart w:id="141"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0">
        <w:r>
          <w:rPr>
            <w:rStyle w:val="Hyperlink"/>
          </w:rPr>
          <w:t xml:space="preserve">https://doi.org/10.1111/j.1365-2664.2008.01548.x</w:t>
        </w:r>
      </w:hyperlink>
      <w:r>
        <w:t xml:space="preserve">.</w:t>
      </w:r>
    </w:p>
    <w:bookmarkEnd w:id="141"/>
    <w:bookmarkStart w:id="142"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2"/>
    <w:bookmarkStart w:id="143" w:name="ref-USEPA16"/>
    <w:p>
      <w:pPr>
        <w:pStyle w:val="Bibliography"/>
      </w:pPr>
      <w:r>
        <w:t xml:space="preserve">USEPA (US Environmental Protection Agency). 2016. “National Rivers and Streams Assessment 2008-2009: A Collaborative Survey.” EPA-841-R-16-007. Washington, DC.</w:t>
      </w:r>
    </w:p>
    <w:bookmarkEnd w:id="143"/>
    <w:bookmarkStart w:id="144" w:name="ref-USGS99"/>
    <w:p>
      <w:pPr>
        <w:pStyle w:val="Bibliography"/>
      </w:pPr>
      <w:r>
        <w:t xml:space="preserve">USGS (US Geological Survey). 1999. “The quality of our nation’s waters: nutrients and pesticides.” Reston, Virginia.</w:t>
      </w:r>
    </w:p>
    <w:bookmarkEnd w:id="144"/>
    <w:bookmarkStart w:id="146"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5">
        <w:r>
          <w:rPr>
            <w:rStyle w:val="Hyperlink"/>
          </w:rPr>
          <w:t xml:space="preserve">https://doi.org/10.1023/A:1023374524254</w:t>
        </w:r>
      </w:hyperlink>
      <w:r>
        <w:t xml:space="preserve">.</w:t>
      </w:r>
    </w:p>
    <w:bookmarkEnd w:id="146"/>
    <w:bookmarkStart w:id="148"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47">
        <w:r>
          <w:rPr>
            <w:rStyle w:val="Hyperlink"/>
          </w:rPr>
          <w:t xml:space="preserve">https://doi.org/10.1111/jawr.12032</w:t>
        </w:r>
      </w:hyperlink>
      <w:r>
        <w:t xml:space="preserve">.</w:t>
      </w:r>
    </w:p>
    <w:bookmarkEnd w:id="148"/>
    <w:bookmarkStart w:id="150"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49">
        <w:r>
          <w:rPr>
            <w:rStyle w:val="Hyperlink"/>
          </w:rPr>
          <w:t xml:space="preserve">https://doi.org/10.1371/journal.pone.0090944</w:t>
        </w:r>
      </w:hyperlink>
      <w:r>
        <w:t xml:space="preserve">.</w:t>
      </w:r>
    </w:p>
    <w:bookmarkEnd w:id="150"/>
    <w:bookmarkStart w:id="152"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1">
        <w:r>
          <w:rPr>
            <w:rStyle w:val="Hyperlink"/>
          </w:rPr>
          <w:t xml:space="preserve">https://doi.org/10.1577/1548-8446(1997)022%3C0006:IOWLUO%3E2.0.CO;2</w:t>
        </w:r>
      </w:hyperlink>
      <w:r>
        <w:t xml:space="preserve">.</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39" Target="http://shiny.sccwrp.org/scape/" TargetMode="External" /><Relationship Type="http://schemas.openxmlformats.org/officeDocument/2006/relationships/hyperlink" Id="rId116" Target="https://CRAN.R-project.org/package=quantregForest" TargetMode="External" /><Relationship Type="http://schemas.openxmlformats.org/officeDocument/2006/relationships/hyperlink" Id="rId96" Target="https://doi.org/10.1002/eap.1617" TargetMode="External" /><Relationship Type="http://schemas.openxmlformats.org/officeDocument/2006/relationships/hyperlink" Id="rId86" Target="https://doi.org/10.1002/etc.2059" TargetMode="External" /><Relationship Type="http://schemas.openxmlformats.org/officeDocument/2006/relationships/hyperlink" Id="rId80" Target="https://doi.org/10.1002/rra.1053" TargetMode="External" /><Relationship Type="http://schemas.openxmlformats.org/officeDocument/2006/relationships/hyperlink" Id="rId109" Target="https://doi.org/10.1007%2Fs00267-008-9151-1" TargetMode="External" /><Relationship Type="http://schemas.openxmlformats.org/officeDocument/2006/relationships/hyperlink" Id="rId74" Target="https://doi.org/10.1007/s10661-008-0256-z" TargetMode="External" /><Relationship Type="http://schemas.openxmlformats.org/officeDocument/2006/relationships/hyperlink" Id="rId131" Target="https://doi.org/10.1007/s10661-010-1385-8" TargetMode="External" /><Relationship Type="http://schemas.openxmlformats.org/officeDocument/2006/relationships/hyperlink" Id="rId111" Target="https://doi.org/10.1007/s10661-014-4086-x" TargetMode="External" /><Relationship Type="http://schemas.openxmlformats.org/officeDocument/2006/relationships/hyperlink" Id="rId68" Target="https://doi.org/10.1007/s10661-014-4132-8" TargetMode="External" /><Relationship Type="http://schemas.openxmlformats.org/officeDocument/2006/relationships/hyperlink" Id="rId92" Target="https://doi.org/10.1007/s10661-017-6025-0" TargetMode="External" /><Relationship Type="http://schemas.openxmlformats.org/officeDocument/2006/relationships/hyperlink" Id="rId76" Target="https://doi.org/10.1016/j.ecolind.2013.07.006" TargetMode="External" /><Relationship Type="http://schemas.openxmlformats.org/officeDocument/2006/relationships/hyperlink" Id="rId66" Target="https://doi.org/10.1016/j.landurbplan.2012.07.009" TargetMode="External" /><Relationship Type="http://schemas.openxmlformats.org/officeDocument/2006/relationships/hyperlink" Id="rId107" Target="https://doi.org/10.1016/j.scitotenv.2015.07.083" TargetMode="External" /><Relationship Type="http://schemas.openxmlformats.org/officeDocument/2006/relationships/hyperlink" Id="rId122" Target="https://doi.org/10.1016/j.watres.2004.09.002" TargetMode="External" /><Relationship Type="http://schemas.openxmlformats.org/officeDocument/2006/relationships/hyperlink" Id="rId145" Target="https://doi.org/10.1023/A:1023374524254" TargetMode="External" /><Relationship Type="http://schemas.openxmlformats.org/officeDocument/2006/relationships/hyperlink" Id="rId61" Target="https://doi.org/10.1046/j.1365-2427.1997.d01-546.x" TargetMode="External" /><Relationship Type="http://schemas.openxmlformats.org/officeDocument/2006/relationships/hyperlink" Id="rId133" Target="https://doi.org/10.1046/j.1365-2427.2001.00758.x" TargetMode="External" /><Relationship Type="http://schemas.openxmlformats.org/officeDocument/2006/relationships/hyperlink" Id="rId78" Target="https://doi.org/10.1086/678701" TargetMode="External" /><Relationship Type="http://schemas.openxmlformats.org/officeDocument/2006/relationships/hyperlink" Id="rId100" Target="https://doi.org/10.1086/697996" TargetMode="External" /><Relationship Type="http://schemas.openxmlformats.org/officeDocument/2006/relationships/hyperlink" Id="rId98" Target="https://doi.org/10.1111/1752-1688.12372" TargetMode="External" /><Relationship Type="http://schemas.openxmlformats.org/officeDocument/2006/relationships/hyperlink" Id="rId129" Target="https://doi.org/10.1111/gec3.12039" TargetMode="External" /><Relationship Type="http://schemas.openxmlformats.org/officeDocument/2006/relationships/hyperlink" Id="rId120" Target="https://doi.org/10.1111/j.1365-2427.1987.tb01027.x" TargetMode="External" /><Relationship Type="http://schemas.openxmlformats.org/officeDocument/2006/relationships/hyperlink" Id="rId84" Target="https://doi.org/10.1111/j.1365-2427.2011.02696.x" TargetMode="External" /><Relationship Type="http://schemas.openxmlformats.org/officeDocument/2006/relationships/hyperlink" Id="rId140" Target="https://doi.org/10.1111/j.1365-2664.2008.01548.x" TargetMode="External" /><Relationship Type="http://schemas.openxmlformats.org/officeDocument/2006/relationships/hyperlink" Id="rId72" Target="https://doi.org/10.1111/j.1526-100X.2007.00285.x" TargetMode="External" /><Relationship Type="http://schemas.openxmlformats.org/officeDocument/2006/relationships/hyperlink" Id="rId89" Target="https://doi.org/10.1111/j.1752-1688.2000.tb05717.x" TargetMode="External" /><Relationship Type="http://schemas.openxmlformats.org/officeDocument/2006/relationships/hyperlink" Id="rId105" Target="https://doi.org/10.1111/j.1752-1688.2011.00635.x" TargetMode="External" /><Relationship Type="http://schemas.openxmlformats.org/officeDocument/2006/relationships/hyperlink" Id="rId147" Target="https://doi.org/10.1111/jawr.12032" TargetMode="External" /><Relationship Type="http://schemas.openxmlformats.org/officeDocument/2006/relationships/hyperlink" Id="rId135" Target="https://doi.org/10.1111/jawr.12035" TargetMode="External" /><Relationship Type="http://schemas.openxmlformats.org/officeDocument/2006/relationships/hyperlink" Id="rId63" Target="https://doi.org/10.1146/annurev.ecolsys.35.120202.110122" TargetMode="External" /><Relationship Type="http://schemas.openxmlformats.org/officeDocument/2006/relationships/hyperlink" Id="rId149" Target="https://doi.org/10.1371/journal.pone.0090944" TargetMode="External" /><Relationship Type="http://schemas.openxmlformats.org/officeDocument/2006/relationships/hyperlink" Id="rId102" Target="https://doi.org/10.1371/journal.pone.0130710" TargetMode="External" /><Relationship Type="http://schemas.openxmlformats.org/officeDocument/2006/relationships/hyperlink" Id="rId151" Target="https://doi.org/10.1577/1548-8446(1997)022%3C0006:IOWLUO%3E2.0.CO;2" TargetMode="External" /><Relationship Type="http://schemas.openxmlformats.org/officeDocument/2006/relationships/hyperlink" Id="rId126" Target="https://doi.org/10.1890/11-0077.1" TargetMode="External" /><Relationship Type="http://schemas.openxmlformats.org/officeDocument/2006/relationships/hyperlink" Id="rId82" Target="https://doi.org/10.1899/0887-3593(2004)023%3C0599:BWRSUO%3E2.0.CO;2" TargetMode="External" /><Relationship Type="http://schemas.openxmlformats.org/officeDocument/2006/relationships/hyperlink" Id="rId138"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2018-07-09T21:12:19Z</dcterms:created>
  <dcterms:modified xsi:type="dcterms:W3CDTF">2018-07-09T21:12:19Z</dcterms:modified>
</cp:coreProperties>
</file>