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Phil</w:t>
      </w:r>
      <w:r>
        <w:t xml:space="preserve"> </w:t>
      </w:r>
      <w:r>
        <w:t xml:space="preserve">Markle</w:t>
      </w:r>
      <w:r>
        <w:t xml:space="preserve"> </w:t>
      </w:r>
      <w:r>
        <w:t xml:space="preserve">(</w:t>
      </w:r>
      <w:hyperlink r:id="rId24">
        <w:r>
          <w:rPr>
            <w:rStyle w:val="Hyperlink"/>
          </w:rPr>
          <w:t xml:space="preserve">pmarkle@lacsd.org</w:t>
        </w:r>
      </w:hyperlink>
      <w:r>
        <w:t xml:space="preserve">),</w:t>
      </w:r>
      <w:r>
        <w:t xml:space="preserve"> </w:t>
      </w:r>
      <w:r>
        <w:t xml:space="preserve">Joshua</w:t>
      </w:r>
      <w:r>
        <w:t xml:space="preserve"> </w:t>
      </w:r>
      <w:r>
        <w:t xml:space="preserve">Westfall</w:t>
      </w:r>
      <w:r>
        <w:t xml:space="preserve"> </w:t>
      </w:r>
      <w:r>
        <w:t xml:space="preserve">(</w:t>
      </w:r>
      <w:hyperlink r:id="rId25">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6">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7">
        <w:r>
          <w:rPr>
            <w:rStyle w:val="Hyperlink"/>
          </w:rPr>
          <w:t xml:space="preserve">hill.ryan@epa.gov</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8">
        <w:r>
          <w:rPr>
            <w:rStyle w:val="Hyperlink"/>
          </w:rPr>
          <w:t xml:space="preserve">erics@sccwrp.org</w:t>
        </w:r>
      </w:hyperlink>
      <w:r>
        <w:t xml:space="preserve">)</w:t>
      </w:r>
    </w:p>
    <w:p>
      <w:pPr>
        <w:pStyle w:val="Heading1"/>
      </w:pPr>
      <w:bookmarkStart w:id="29" w:name="abstract"/>
      <w:bookmarkEnd w:id="29"/>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0" w:name="introduction"/>
      <w:bookmarkEnd w:id="30"/>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 “management potential”.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1" w:name="methods"/>
      <w:bookmarkEnd w:id="31"/>
      <w:r>
        <w:t xml:space="preserve">Methods</w:t>
      </w:r>
    </w:p>
    <w:p>
      <w:pPr>
        <w:pStyle w:val="Heading2"/>
      </w:pPr>
      <w:bookmarkStart w:id="32" w:name="study-area-and-data-sources"/>
      <w:bookmarkEnd w:id="32"/>
      <w:r>
        <w:t xml:space="preserve">Study area and data sources</w:t>
      </w:r>
    </w:p>
    <w:p>
      <w:pPr>
        <w:pStyle w:val="FigureWithCaption"/>
      </w:pPr>
      <w:r>
        <w:drawing>
          <wp:inline>
            <wp:extent cx="5943600" cy="3820885"/>
            <wp:effectExtent b="0" l="0" r="0" t="0"/>
            <wp:docPr descr="Figure 1 Land use (left) and distribution of stream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1.png" id="0" name="Picture"/>
                    <pic:cNvPicPr>
                      <a:picLocks noChangeArrowheads="1" noChangeAspect="1"/>
                    </pic:cNvPicPr>
                  </pic:nvPicPr>
                  <pic:blipFill>
                    <a:blip r:embed="rId33"/>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w:t>
      </w:r>
      <w:r>
        <w:t xml:space="preserve"> </w:t>
      </w:r>
      <w:r>
        <w:t xml:space="preserve"> </w:t>
      </w:r>
      <w:r>
        <w:t xml:space="preserve">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w:t>
      </w:r>
      <w:r>
        <w:t xml:space="preserve"> </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w:t>
      </w:r>
      <w:r>
        <w:t xml:space="preserve"> </w:t>
      </w:r>
      <w:r>
        <w:t xml:space="preserve"> </w:t>
      </w:r>
      <w:r>
        <w:t xml:space="preserve">is a surface water framework that maps drainage networks and associated features (e.g., streams, lakes, canals, etc.) in the United States. Stream flow lines in the</w:t>
      </w:r>
      <w:r>
        <w:t xml:space="preserve"> </w:t>
      </w:r>
      <w:r>
        <w:t xml:space="preserve"> </w:t>
      </w:r>
      <w:r>
        <w:t xml:space="preserve">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w:t>
      </w:r>
      <w:r>
        <w:t xml:space="preserve"> </w:t>
      </w:r>
      <w:r>
        <w:t xml:space="preserve"> </w:t>
      </w:r>
      <w:r>
        <w:t xml:space="preserve">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w:t>
      </w:r>
      <w:r>
        <w:t xml:space="preserve"> </w:t>
      </w:r>
      <w:r>
        <w:t xml:space="preserve"> </w:t>
      </w:r>
      <w:r>
        <w:t xml:space="preserve">to leverage the topology of stream connections to estimate cumulative landscape metrics of all reaches.</w:t>
      </w:r>
    </w:p>
    <w:p>
      <w:pPr>
        <w:pStyle w:val="BodyText"/>
      </w:pPr>
      <w:r>
        <w:t xml:space="preserve">The</w:t>
      </w:r>
      <w:r>
        <w:t xml:space="preserve"> </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w:t>
      </w:r>
      <w:r>
        <w:t xml:space="preserve"> </w:t>
      </w:r>
      <w:r>
        <w:t xml:space="preserve"> </w:t>
      </w:r>
      <w:r>
        <w:t xml:space="preserve">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w:t>
      </w:r>
      <w:r>
        <w:t xml:space="preserve"> </w:t>
      </w:r>
      <w:r>
        <w:t xml:space="preserve"> </w:t>
      </w:r>
      <w:r>
        <w:t xml:space="preserve">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w:t>
      </w:r>
      <w:r>
        <w:t xml:space="preserve"> </w:t>
      </w:r>
      <w:r>
        <w:t xml:space="preserve"> </w:t>
      </w:r>
      <w:r>
        <w:t xml:space="preserve">score at a site is based on an observed-to-expected ratio of taxa and a</w:t>
      </w:r>
      <w:r>
        <w:t xml:space="preserve"> </w:t>
      </w:r>
      <w:r>
        <w:t xml:space="preserve"> </w:t>
      </w:r>
      <w:r>
        <w:t xml:space="preserve">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4" w:name="building-and-validating-landscape-models"/>
      <w:bookmarkEnd w:id="34"/>
      <w:r>
        <w:t xml:space="preserve">Building and validating landscape models</w:t>
      </w:r>
    </w:p>
    <w:p>
      <w:pPr>
        <w:pStyle w:val="FirstParagraph"/>
      </w:pPr>
      <w:r>
        <w:t xml:space="preserve">A prediction model of the</w:t>
      </w:r>
      <w:r>
        <w:t xml:space="preserve"> </w:t>
      </w:r>
      <w:r>
        <w:t xml:space="preserve"> </w:t>
      </w:r>
      <w:r>
        <w:t xml:space="preserve">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w:t>
      </w:r>
      <w:r>
        <w:t xml:space="preserve"> </w:t>
      </w:r>
      <w:r>
        <w:t xml:space="preserve"> </w:t>
      </w:r>
      <w:r>
        <w:t xml:space="preserve">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w:t>
      </w:r>
      <w:r>
        <w:t xml:space="preserve"> </w:t>
      </w:r>
      <w:r>
        <w:t xml:space="preserve"> </w:t>
      </w:r>
      <w:r>
        <w:t xml:space="preserve">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w:t>
      </w:r>
      <w:r>
        <w:t xml:space="preserve"> </w:t>
      </w:r>
      <w:r>
        <w:t xml:space="preserve"> </w:t>
      </w:r>
      <w:r>
        <w:t xml:space="preserve">scores in each stream reach from the 5</w:t>
      </w:r>
      <w:r>
        <w:t xml:space="preserve"> </w:t>
      </w:r>
      <w:r>
        <w:t xml:space="preserve">to the 95</w:t>
      </w:r>
      <w:r>
        <w:t xml:space="preserve"> </w:t>
      </w:r>
      <w:r>
        <w:t xml:space="preserve">percentile of expectations at five percent intervals (i.e., 5</w:t>
      </w:r>
      <w:r>
        <w:t xml:space="preserve">, 10</w:t>
      </w:r>
      <w:r>
        <w:t xml:space="preserve">, etc.).</w:t>
      </w:r>
    </w:p>
    <w:p>
      <w:pPr>
        <w:pStyle w:val="BodyText"/>
      </w:pPr>
      <w:r>
        <w:t xml:space="preserve">Landscape estimates for the catchments of all</w:t>
      </w:r>
      <w:r>
        <w:t xml:space="preserve"> </w:t>
      </w:r>
      <w:r>
        <w:t xml:space="preserve"> </w:t>
      </w:r>
      <w:r>
        <w:t xml:space="preserve">stream reaches in California were separated into calibration and validation data.</w:t>
      </w:r>
    </w:p>
    <w:p>
      <w:pPr>
        <w:pStyle w:val="Heading2"/>
      </w:pPr>
      <w:bookmarkStart w:id="35" w:name="san-gabriel-river-watershed-case-study"/>
      <w:bookmarkEnd w:id="35"/>
      <w:r>
        <w:t xml:space="preserve">San Gabriel River watershed case study</w:t>
      </w:r>
    </w:p>
    <w:p>
      <w:pPr>
        <w:pStyle w:val="FirstParagraph"/>
      </w:pPr>
      <w:r>
        <w:t xml:space="preserve">Stream reach and bioassessment data from the</w:t>
      </w:r>
      <w:r>
        <w:t xml:space="preserve"> </w:t>
      </w:r>
      <w:r>
        <w:t xml:space="preserve"> </w:t>
      </w:r>
      <w:r>
        <w:t xml:space="preserve">watershed in southern California were used to develop reach classifications, site performance categories, and management priorities from the landscape models. A strong land use gradient occurs in the</w:t>
      </w:r>
      <w:r>
        <w:t xml:space="preserve"> </w:t>
      </w:r>
      <w:r>
        <w:t xml:space="preserve"> </w:t>
      </w:r>
      <w:r>
        <w:t xml:space="preserve">watershed.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BodyText"/>
      </w:pPr>
      <w:r>
        <w:rPr>
          <w:i/>
        </w:rPr>
        <w:t xml:space="preserve">Figure</w:t>
      </w:r>
      <w:r>
        <w:t xml:space="preserve"> </w:t>
      </w:r>
      <w:r>
        <w:t xml:space="preserve">SGR watershed</w:t>
      </w:r>
    </w:p>
    <w:p>
      <w:pPr>
        <w:pStyle w:val="BodyText"/>
      </w:pPr>
      <w:r>
        <w:t xml:space="preserve">The</w:t>
      </w:r>
      <w:r>
        <w:t xml:space="preserve"> </w:t>
      </w:r>
      <w:r>
        <w:t xml:space="preserve"> </w:t>
      </w:r>
      <w:r>
        <w:t xml:space="preserve">watershed contains a diverse group of stakeholders from local municipalities, water districts, water quality regulatory agencies, consulting groups, and non-government organizations. Collectively, the</w:t>
      </w:r>
      <w:r>
        <w:t xml:space="preserve"> </w:t>
      </w:r>
      <w:r>
        <w:t xml:space="preserve"> </w:t>
      </w:r>
      <w:r>
        <w:t xml:space="preserve">includes stakeholders from these groups that cooperatively work to increase awareness of issues in the</w:t>
      </w:r>
      <w:r>
        <w:t xml:space="preserve"> </w:t>
      </w:r>
      <w:r>
        <w:t xml:space="preserve"> </w:t>
      </w:r>
      <w:r>
        <w:t xml:space="preserve">watershed and work to improve coordination of compliance and ambient monitoring efforts. The stakeholder workgroup included individuals from the</w:t>
      </w:r>
      <w:r>
        <w:t xml:space="preserve"> </w:t>
      </w:r>
      <w:r>
        <w:t xml:space="preserve"> </w:t>
      </w:r>
      <w:r>
        <w:t xml:space="preserve">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6" w:name="reach-classification-site-performance-and-prioritization"/>
      <w:bookmarkEnd w:id="36"/>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w:t>
      </w:r>
      <w:r>
        <w:t xml:space="preserve"> </w:t>
      </w:r>
      <w:r>
        <w:t xml:space="preserve"> </w:t>
      </w:r>
      <w:r>
        <w:t xml:space="preserve">scores at each stream reach in relation to land use were used to define reach classifications. Second, the relationship between observed</w:t>
      </w:r>
      <w:r>
        <w:t xml:space="preserve"> </w:t>
      </w:r>
      <w:r>
        <w:t xml:space="preserve"> </w:t>
      </w:r>
      <w:r>
        <w:t xml:space="preserve">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FigureWithCaption"/>
      </w:pPr>
      <w:r>
        <w:drawing>
          <wp:inline>
            <wp:extent cx="5943600" cy="3962400"/>
            <wp:effectExtent b="0" l="0" r="0" t="0"/>
            <wp:docPr descr="Figure 2 test" title="" id="1" name="Picture"/>
            <a:graphic>
              <a:graphicData uri="http://schemas.openxmlformats.org/drawingml/2006/picture">
                <pic:pic>
                  <pic:nvPicPr>
                    <pic:cNvPr descr="figs/ridges-1.png" id="0" name="Picture"/>
                    <pic:cNvPicPr>
                      <a:picLocks noChangeArrowheads="1" noChangeAspect="1"/>
                    </pic:cNvPicPr>
                  </pic:nvPicPr>
                  <pic:blipFill>
                    <a:blip r:embed="rId37"/>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2 test</w:t>
      </w:r>
    </w:p>
    <w:p>
      <w:pPr>
        <w:pStyle w:val="BodyText"/>
      </w:pPr>
      <w:r>
        <w:t xml:space="preserve">Identifying site priorities began with defining a classification framework for stream reaches to identify the possible or likely extent of biological constraints (</w:t>
      </w:r>
      <w:r>
        <w:t xml:space="preserve">2</w:t>
      </w:r>
      <w:r>
        <w:t xml:space="preserve">). Classifications were developed using the range of</w:t>
      </w:r>
      <w:r>
        <w:t xml:space="preserve"> </w:t>
      </w:r>
      <w:r>
        <w:t xml:space="preserve"> </w:t>
      </w:r>
      <w:r>
        <w:t xml:space="preserve">expectations at a reach relative to a chosen threshold for the</w:t>
      </w:r>
      <w:r>
        <w:t xml:space="preserve"> </w:t>
      </w:r>
      <w:r>
        <w:t xml:space="preserve"> </w:t>
      </w:r>
      <w:r>
        <w:t xml:space="preserve">to define nominally low or high scores. The reach classification was based solely on the intersection of the</w:t>
      </w:r>
      <w:r>
        <w:t xml:space="preserve"> </w:t>
      </w:r>
      <w:r>
        <w:t xml:space="preserve"> </w:t>
      </w:r>
      <w:r>
        <w:t xml:space="preserve">expectations at a reach with chosen</w:t>
      </w:r>
      <w:r>
        <w:t xml:space="preserve"> </w:t>
      </w:r>
      <w:r>
        <w:t xml:space="preserve"> </w:t>
      </w:r>
      <w:r>
        <w:t xml:space="preserve">threshold, where expectations could be below, above, or overlapping the threshold. Stream reaches with a range of</w:t>
      </w:r>
      <w:r>
        <w:t xml:space="preserve"> </w:t>
      </w:r>
      <w:r>
        <w:t xml:space="preserve"> </w:t>
      </w:r>
      <w:r>
        <w:t xml:space="preserve">score expectations entirely below the thresholds were considered likely constrained, whereas those with expectations entirely above were considered likely unconstrained. Reaches with score expectations that included the</w:t>
      </w:r>
      <w:r>
        <w:t xml:space="preserve"> </w:t>
      </w:r>
      <w:r>
        <w:t xml:space="preserve"> </w:t>
      </w:r>
      <w:r>
        <w:t xml:space="preserve">thresholds were considered possibly constrained or possibly unconstrained, where the distinction was based on location of the median expectation of a reach relative to the threshold.</w:t>
      </w:r>
    </w:p>
    <w:p>
      <w:pPr>
        <w:pStyle w:val="BodyText"/>
      </w:pPr>
      <w:r>
        <w:t xml:space="preserve"> </w:t>
      </w:r>
      <w:r>
        <w:t xml:space="preserve">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w:t>
      </w:r>
      <w:r>
        <w:t xml:space="preserve"> </w:t>
      </w:r>
      <w:r>
        <w:t xml:space="preserve"> </w:t>
      </w:r>
      <w:r>
        <w:t xml:space="preserve">scores. This provided a definition of site performance that can be used to understand the observed score relative to the biological context of a reach. Sites with observed scores above the upper limit of the reach expectation (e.g., above the 95</w:t>
      </w:r>
      <w:r>
        <w:t xml:space="preserve"> </w:t>
      </w:r>
      <w:r>
        <w:t xml:space="preserve">percentile of expected scores) were considered "over-performing" and sites below the lower limit were "under-performing". Sites with</w:t>
      </w:r>
      <w:r>
        <w:t xml:space="preserve"> </w:t>
      </w:r>
      <w:r>
        <w:t xml:space="preserve"> </w:t>
      </w:r>
      <w:r>
        <w:t xml:space="preserve">scores within the range of expectations were as "expected".</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w:t>
      </w:r>
      <w:r>
        <w:t xml:space="preserve"> </w:t>
      </w:r>
      <w:r>
        <w:t xml:space="preserve"> </w:t>
      </w:r>
      <w:r>
        <w:t xml:space="preserve">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w:t>
      </w:r>
      <w:r>
        <w:t xml:space="preserve"> </w:t>
      </w:r>
      <w:r>
        <w:t xml:space="preserve"> </w:t>
      </w:r>
      <w:r>
        <w:t xml:space="preserve">threshold. Similarly, overperforming sites above the maximum expected score in a likely constrained reach were additionally defined as being below or above the</w:t>
      </w:r>
      <w:r>
        <w:t xml:space="preserve"> </w:t>
      </w:r>
      <w:r>
        <w:t xml:space="preserve"> </w:t>
      </w:r>
      <w:r>
        <w:t xml:space="preserve">threshold. For possibly constrained and possibly unconstrained reaches, sites that were performing as expected were addtionally defined as being below or above the</w:t>
      </w:r>
      <w:r>
        <w:t xml:space="preserve"> </w:t>
      </w:r>
      <w:r>
        <w:t xml:space="preserve"> </w:t>
      </w:r>
      <w:r>
        <w:t xml:space="preserve">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w:t>
      </w:r>
      <w:r>
        <w:t xml:space="preserve"> </w:t>
      </w:r>
      <w:r>
        <w:t xml:space="preserve"> </w:t>
      </w:r>
      <w:r>
        <w:t xml:space="preserve">score. The observed score column describes where a</w:t>
      </w:r>
      <w:r>
        <w:t xml:space="preserve"> </w:t>
      </w:r>
      <w:r>
        <w:t xml:space="preserve"> </w:t>
      </w:r>
      <w:r>
        <w:t xml:space="preserve">score is observed relative to the lower and upper percentiles (e.g., 5</w:t>
      </w:r>
      <w:r>
        <w:t xml:space="preserve"> </w:t>
      </w:r>
      <w:r>
        <w:t xml:space="preserve">and 95</w:t>
      </w:r>
      <w:r>
        <w:t xml:space="preserve">) of expected scores for a reach and the chosen</w:t>
      </w:r>
      <w:r>
        <w:t xml:space="preserve"> </w:t>
      </w:r>
      <w:r>
        <w:t xml:space="preserve"> </w:t>
      </w:r>
      <w:r>
        <w:t xml:space="preserve">threshold (e.g., 10</w:t>
      </w:r>
      <w:r>
        <w:t xml:space="preserve"> </w:t>
      </w:r>
      <w:r>
        <w:t xml:space="preserve">percentile of scores at reference sites or 0.79) for nominally low or high values.</w:t>
      </w:r>
    </w:p>
    <w:tbl>
      <w:tblPr>
        <w:tblStyle w:val="TableNormal"/>
        <w:tblW w:type="pct" w:w="0.0"/>
        <w:tblLook w:firstRow="1"/>
        <w:tblCaption w:val="Table 1 Possible site types based on stream reach classification, site performance, and observed  score. The observed score column describes where a  score is observed relative to the lower and upper percentiles (e.g., 5 and 95) of expected scores for a reach and the chosen  threshold (e.g., 10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p>
        </w:tc>
        <w:tc>
          <w:p>
            <w:pPr>
              <w:pStyle w:val="Compact"/>
              <w:jc w:val="left"/>
            </w:pPr>
            <w:r>
              <w:t xml:space="preserve">over scoring</w:t>
            </w:r>
          </w:p>
        </w:tc>
        <w:tc>
          <w:p>
            <w:pPr>
              <w:pStyle w:val="Compact"/>
              <w:jc w:val="left"/>
            </w:pPr>
            <m:oMath>
              <m:r>
                <m:t>≥</m:t>
              </m:r>
            </m:oMath>
            <w:r>
              <w:t xml:space="preserve"> </w:t>
            </w:r>
            <w:r>
              <w:t xml:space="preserve">95</w:t>
            </w:r>
            <m:oMath>
              <m:sSup>
                <m:e>
                  <m:r>
                    <m:t/>
                  </m:r>
                </m:e>
                <m:sup>
                  <m:r>
                    <m:t>t</m:t>
                  </m:r>
                  <m:r>
                    <m:t>h</m:t>
                  </m:r>
                </m:sup>
              </m:sSup>
            </m:oMath>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w:t>
            </w:r>
            <m:oMath>
              <m:sSup>
                <m:e>
                  <m:r>
                    <m:t/>
                  </m:r>
                </m:e>
                <m:sup>
                  <m:r>
                    <m:t>t</m:t>
                  </m:r>
                  <m:r>
                    <m:t>h</m:t>
                  </m:r>
                </m:sup>
              </m:sSup>
            </m:oMath>
            <w:r>
              <w:t xml:space="preserve"> </w:t>
            </w:r>
            <w:r>
              <w:t xml:space="preserve">to 95</w:t>
            </w:r>
            <m:oMath>
              <m:sSup>
                <m:e>
                  <m:r>
                    <m:t/>
                  </m:r>
                </m:e>
                <m:sup>
                  <m:r>
                    <m:t>t</m:t>
                  </m:r>
                  <m:r>
                    <m:t>h</m:t>
                  </m:r>
                </m:sup>
              </m:sSup>
            </m:oMath>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w:t>
            </w:r>
            <m:oMath>
              <m:sSup>
                <m:e>
                  <m:r>
                    <m:t/>
                  </m:r>
                </m:e>
                <m:sup>
                  <m:r>
                    <m:t>t</m:t>
                  </m:r>
                  <m:r>
                    <m:t>h</m:t>
                  </m:r>
                </m:sup>
              </m:sSup>
            </m:oMath>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p>
        </w:tc>
        <w:tc>
          <w:p>
            <w:pPr>
              <w:pStyle w:val="Compact"/>
              <w:jc w:val="left"/>
            </w:pPr>
            <w:r>
              <w:t xml:space="preserve">over scoring</w:t>
            </w:r>
          </w:p>
        </w:tc>
        <w:tc>
          <w:p>
            <w:pPr>
              <w:pStyle w:val="Compact"/>
              <w:jc w:val="left"/>
            </w:pPr>
            <m:oMath>
              <m:r>
                <m:t>≥</m:t>
              </m:r>
            </m:oMath>
            <w:r>
              <w:t xml:space="preserve"> </w:t>
            </w:r>
            <w:r>
              <w:t xml:space="preserve">95</w:t>
            </w:r>
            <m:oMath>
              <m:sSup>
                <m:e>
                  <m:r>
                    <m:t/>
                  </m:r>
                </m:e>
                <m:sup>
                  <m:r>
                    <m:t>t</m:t>
                  </m:r>
                  <m:r>
                    <m:t>h</m:t>
                  </m:r>
                </m:sup>
              </m:sSup>
            </m:oMath>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w:t>
            </w:r>
            <m:oMath>
              <m:sSup>
                <m:e>
                  <m:r>
                    <m:t/>
                  </m:r>
                </m:e>
                <m:sup>
                  <m:r>
                    <m:t>t</m:t>
                  </m:r>
                  <m:r>
                    <m:t>h</m:t>
                  </m:r>
                </m:sup>
              </m:sSup>
            </m:oMath>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w:t>
            </w:r>
            <m:oMath>
              <m:sSup>
                <m:e>
                  <m:r>
                    <m:t/>
                  </m:r>
                </m:e>
                <m:sup>
                  <m:r>
                    <m:t>t</m:t>
                  </m:r>
                  <m:r>
                    <m:t>h</m:t>
                  </m:r>
                </m:sup>
              </m:sSup>
            </m:oMath>
            <w:r>
              <w:t xml:space="preserve"> </w:t>
            </w:r>
            <w:r>
              <w:t xml:space="preserve">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w:t>
            </w:r>
            <m:oMath>
              <m:sSup>
                <m:e>
                  <m:r>
                    <m:t/>
                  </m:r>
                </m:e>
                <m:sup>
                  <m:r>
                    <m:t>t</m:t>
                  </m:r>
                  <m:r>
                    <m:t>h</m:t>
                  </m:r>
                </m:sup>
              </m:sSup>
            </m:oMath>
          </w:p>
        </w:tc>
        <w:tc>
          <w:p>
            <w:pPr>
              <w:pStyle w:val="Compact"/>
              <w:jc w:val="left"/>
            </w:pPr>
            <w:r>
              <w:t xml:space="preserve">8</w:t>
            </w:r>
          </w:p>
        </w:tc>
      </w:tr>
      <w:tr>
        <w:tc>
          <w:p>
            <w:pPr>
              <w:pStyle w:val="Compact"/>
              <w:jc w:val="left"/>
            </w:pPr>
          </w:p>
        </w:tc>
        <w:tc>
          <w:p>
            <w:pPr>
              <w:pStyle w:val="Compact"/>
              <w:jc w:val="left"/>
            </w:pPr>
            <w:r>
              <w:t xml:space="preserve">over scoring</w:t>
            </w:r>
          </w:p>
        </w:tc>
        <w:tc>
          <w:p>
            <w:pPr>
              <w:pStyle w:val="Compact"/>
              <w:jc w:val="left"/>
            </w:pPr>
            <m:oMath>
              <m:r>
                <m:t>≥</m:t>
              </m:r>
            </m:oMath>
            <w:r>
              <w:t xml:space="preserve"> </w:t>
            </w:r>
            <w:r>
              <w:t xml:space="preserve">95</w:t>
            </w:r>
            <m:oMath>
              <m:sSup>
                <m:e>
                  <m:r>
                    <m:t/>
                  </m:r>
                </m:e>
                <m:sup>
                  <m:r>
                    <m:t>t</m:t>
                  </m:r>
                  <m:r>
                    <m:t>h</m:t>
                  </m:r>
                </m:sup>
              </m:sSup>
            </m:oMath>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w:t>
            </w:r>
            <m:oMath>
              <m:sSup>
                <m:e>
                  <m:r>
                    <m:t/>
                  </m:r>
                </m:e>
                <m:sup>
                  <m:r>
                    <m:t>t</m:t>
                  </m:r>
                  <m:r>
                    <m:t>h</m:t>
                  </m:r>
                </m:sup>
              </m:sSup>
            </m:oMath>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w:t>
            </w:r>
            <m:oMath>
              <m:sSup>
                <m:e>
                  <m:r>
                    <m:t/>
                  </m:r>
                </m:e>
                <m:sup>
                  <m:r>
                    <m:t>t</m:t>
                  </m:r>
                  <m:r>
                    <m:t>h</m:t>
                  </m:r>
                </m:sup>
              </m:sSup>
            </m:oMath>
            <w:r>
              <w:t xml:space="preserve"> </w:t>
            </w:r>
            <w:r>
              <w:t xml:space="preserve">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w:t>
            </w:r>
            <m:oMath>
              <m:sSup>
                <m:e>
                  <m:r>
                    <m:t/>
                  </m:r>
                </m:e>
                <m:sup>
                  <m:r>
                    <m:t>t</m:t>
                  </m:r>
                  <m:r>
                    <m:t>h</m:t>
                  </m:r>
                </m:sup>
              </m:sSup>
            </m:oMath>
          </w:p>
        </w:tc>
        <w:tc>
          <w:p>
            <w:pPr>
              <w:pStyle w:val="Compact"/>
              <w:jc w:val="left"/>
            </w:pPr>
            <w:r>
              <w:t xml:space="preserve">12</w:t>
            </w:r>
          </w:p>
        </w:tc>
      </w:tr>
      <w:tr>
        <w:tc>
          <w:p>
            <w:pPr>
              <w:pStyle w:val="Compact"/>
              <w:jc w:val="left"/>
            </w:pP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w:t>
            </w:r>
            <m:oMath>
              <m:sSup>
                <m:e>
                  <m:r>
                    <m:t/>
                  </m:r>
                </m:e>
                <m:sup>
                  <m:r>
                    <m:t>t</m:t>
                  </m:r>
                  <m:r>
                    <m:t>h</m:t>
                  </m:r>
                </m:sup>
              </m:sSup>
            </m:oMath>
            <w:r>
              <w:t xml:space="preserve"> </w:t>
            </w:r>
            <w:r>
              <w:t xml:space="preserve">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w:t>
            </w:r>
            <m:oMath>
              <m:sSup>
                <m:e>
                  <m:r>
                    <m:t/>
                  </m:r>
                </m:e>
                <m:sup>
                  <m:r>
                    <m:t>t</m:t>
                  </m:r>
                  <m:r>
                    <m:t>h</m:t>
                  </m:r>
                </m:sup>
              </m:sSup>
            </m:oMath>
            <w:r>
              <w:t xml:space="preserve"> </w:t>
            </w:r>
            <w:r>
              <w:t xml:space="preserve">to 95</w:t>
            </w:r>
            <m:oMath>
              <m:sSup>
                <m:e>
                  <m:r>
                    <m:t/>
                  </m:r>
                </m:e>
                <m:sup>
                  <m:r>
                    <m:t>t</m:t>
                  </m:r>
                  <m:r>
                    <m:t>h</m:t>
                  </m:r>
                </m:sup>
              </m:sSup>
            </m:oMath>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w:t>
            </w:r>
            <m:oMath>
              <m:sSup>
                <m:e>
                  <m:r>
                    <m:t/>
                  </m:r>
                </m:e>
                <m:sup>
                  <m:r>
                    <m:t>t</m:t>
                  </m:r>
                  <m:r>
                    <m:t>h</m:t>
                  </m:r>
                </m:sup>
              </m:sSup>
            </m:oMath>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(Figure). A brief description of the rationale for a site priority was also requested with the feedback.</w:t>
      </w:r>
    </w:p>
    <w:p>
      <w:pPr>
        <w:pStyle w:val="BodyText"/>
      </w:pPr>
      <w:r>
        <w:rPr>
          <w:i/>
        </w:rPr>
        <w:t xml:space="preserve">Figure</w:t>
      </w:r>
      <w:r>
        <w:t xml:space="preserve"> </w:t>
      </w:r>
      <w:r>
        <w:t xml:space="preserve">Site types template figure for prioritization</w:t>
      </w:r>
    </w:p>
    <w:p>
      <w:pPr>
        <w:pStyle w:val="BodyText"/>
      </w:pPr>
      <w:r>
        <w:rPr>
          <w:i/>
        </w:rPr>
        <w:t xml:space="preserve">Figure</w:t>
      </w:r>
      <w:r>
        <w:t xml:space="preserve"> </w:t>
      </w:r>
      <w:r>
        <w:t xml:space="preserve">App screenshot</w:t>
      </w:r>
    </w:p>
    <w:p>
      <w:pPr>
        <w:pStyle w:val="Heading2"/>
      </w:pPr>
      <w:bookmarkStart w:id="38" w:name="sensitivity-analyses"/>
      <w:bookmarkEnd w:id="38"/>
      <w:r>
        <w:t xml:space="preserve">Sensitivity analyses</w:t>
      </w:r>
    </w:p>
    <w:p>
      <w:pPr>
        <w:pStyle w:val="FirstParagraph"/>
      </w:pPr>
      <w:r>
        <w:t xml:space="preserve">Stream reach classifications and site performance categories depend on the range of score expectations from the landscape model and the</w:t>
      </w:r>
      <w:r>
        <w:t xml:space="preserve"> </w:t>
      </w:r>
      <w:r>
        <w:t xml:space="preserve"> </w:t>
      </w:r>
      <w:r>
        <w:t xml:space="preserve">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w:t>
      </w:r>
      <w:r>
        <w:t xml:space="preserve"> </w:t>
      </w:r>
      <w:r>
        <w:t xml:space="preserve">and 95</w:t>
      </w:r>
      <w:r>
        <w:t xml:space="preserve"> </w:t>
      </w:r>
      <w:r>
        <w:t xml:space="preserve">percentile of expected scores at a reach are used as a default range in which a high degree of certainty in the model output is assumed. The ability to reduce this range (e.g., 25</w:t>
      </w:r>
      <w:r>
        <w:t xml:space="preserve"> </w:t>
      </w:r>
      <w:r>
        <w:t xml:space="preserve">to 75</w:t>
      </w:r>
      <w:r>
        <w:t xml:space="preserve"> </w:t>
      </w:r>
      <w:r>
        <w:t xml:space="preserve">percentile) to assume less certainty in the model is provided. The</w:t>
      </w:r>
      <w:r>
        <w:t xml:space="preserve"> </w:t>
      </w:r>
      <w:r>
        <w:t xml:space="preserve"> </w:t>
      </w:r>
      <w:r>
        <w:t xml:space="preserve">threshold can also be changed to assess effects of relaxing or increasing flexibility in a potential definition of a regulatory standard. A threshold of 0.79 is used by default as a measure of the 10</w:t>
      </w:r>
      <w:r>
        <w:t xml:space="preserve"> </w:t>
      </w:r>
      <w:r>
        <w:t xml:space="preserve">percentile of scores at all reference (non-impacted) sites that were used to calibrate the</w:t>
      </w:r>
      <w:r>
        <w:t xml:space="preserve"> </w:t>
      </w:r>
      <w:r>
        <w:t xml:space="preserve"> </w:t>
      </w:r>
      <w:r>
        <w:t xml:space="preserve">index. This value can be increased to examine effects of a more stringent threshold or decreased for a more relaxed threshold. The combined effects of changing both the certainty in the model and the</w:t>
      </w:r>
      <w:r>
        <w:t xml:space="preserve"> </w:t>
      </w:r>
      <w:r>
        <w:t xml:space="preserve"> </w:t>
      </w:r>
      <w:r>
        <w:t xml:space="preserve">threshold were evaluated to estimate the changes in stream miles in each classification and the number of sites in each priority type.</w:t>
      </w:r>
    </w:p>
    <w:p>
      <w:pPr>
        <w:pStyle w:val="Heading2"/>
      </w:pPr>
      <w:bookmarkStart w:id="39" w:name="unclassified-reaches"/>
      <w:bookmarkEnd w:id="39"/>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w:t>
      </w:r>
      <w:r>
        <w:t xml:space="preserve"> </w:t>
      </w:r>
      <w:r>
        <w:t xml:space="preserve"> </w:t>
      </w:r>
      <w:r>
        <w:t xml:space="preserve">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 'typically' urban and agriculture reaches that relies on the range of expectations for reaches with similar land use by region.</w:t>
      </w:r>
    </w:p>
    <w:p>
      <w:pPr>
        <w:pStyle w:val="Heading1"/>
      </w:pPr>
      <w:bookmarkStart w:id="40" w:name="results"/>
      <w:bookmarkEnd w:id="40"/>
      <w:r>
        <w:t xml:space="preserve">Results</w:t>
      </w:r>
    </w:p>
    <w:p>
      <w:pPr>
        <w:pStyle w:val="Heading3"/>
      </w:pPr>
      <w:bookmarkStart w:id="41" w:name="state-wide-patterns"/>
      <w:bookmarkEnd w:id="41"/>
      <w:r>
        <w:t xml:space="preserve">State-wide patterns</w:t>
      </w:r>
    </w:p>
    <w:p>
      <w:pPr>
        <w:numPr>
          <w:numId w:val="1003"/>
          <w:ilvl w:val="0"/>
        </w:numPr>
      </w:pPr>
      <w:r>
        <w:t xml:space="preserve">Where does the model perform well, how does performance vary with validation and calibration datasets.</w:t>
      </w:r>
    </w:p>
    <w:p>
      <w:pPr>
        <w:numPr>
          <w:numId w:val="1003"/>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2" w:name="case-study"/>
      <w:bookmarkEnd w:id="42"/>
      <w:r>
        <w:t xml:space="preserve">Case study</w:t>
      </w:r>
    </w:p>
    <w:p>
      <w:pPr>
        <w:numPr>
          <w:numId w:val="1004"/>
          <w:ilvl w:val="0"/>
        </w:numPr>
      </w:pPr>
      <w:r>
        <w:t xml:space="preserve">Extent, classification, prioritization</w:t>
      </w:r>
    </w:p>
    <w:p>
      <w:pPr>
        <w:numPr>
          <w:numId w:val="1004"/>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BodyText"/>
      </w:pPr>
      <w:r>
        <w:rPr>
          <w:i/>
        </w:rPr>
        <w:t xml:space="preserve">Tables</w:t>
      </w:r>
      <w:r>
        <w:t xml:space="preserve"> </w:t>
      </w:r>
      <w:r>
        <w:t xml:space="preserve">Priority table(s) from stakeholder group</w:t>
      </w:r>
    </w:p>
    <w:p>
      <w:pPr>
        <w:pStyle w:val="Heading3"/>
      </w:pPr>
      <w:bookmarkStart w:id="43" w:name="sensitivity-analysis"/>
      <w:bookmarkEnd w:id="43"/>
      <w:r>
        <w:t xml:space="preserve">Sensitivity analysis</w:t>
      </w:r>
    </w:p>
    <w:p>
      <w:pPr>
        <w:numPr>
          <w:numId w:val="1005"/>
          <w:ilvl w:val="0"/>
        </w:numPr>
      </w:pPr>
      <w:r>
        <w:t xml:space="preserve">Statewide results - reach classification, site performance</w:t>
      </w:r>
    </w:p>
    <w:p>
      <w:pPr>
        <w:numPr>
          <w:numId w:val="1005"/>
          <w:ilvl w:val="0"/>
        </w:numPr>
      </w:pPr>
      <w:r>
        <w:t xml:space="preserve">SGR application - where do priorities change related to which variables the model is most sensitive to? Do overall patterns remain?</w:t>
      </w:r>
    </w:p>
    <w:p>
      <w:pPr>
        <w:pStyle w:val="FirstParagraph"/>
      </w:pPr>
      <w:r>
        <w:rPr>
          <w:i/>
        </w:rPr>
        <w:t xml:space="preserve">Table</w:t>
      </w:r>
      <w:r>
        <w:t xml:space="preserve"> </w:t>
      </w:r>
      <w:r>
        <w:t xml:space="preserve">Sensitivity results</w:t>
      </w:r>
    </w:p>
    <w:p>
      <w:pPr>
        <w:pStyle w:val="Heading3"/>
      </w:pPr>
      <w:bookmarkStart w:id="44" w:name="unclassified-reaches-1"/>
      <w:bookmarkEnd w:id="44"/>
      <w:r>
        <w:t xml:space="preserve">Unclassified reaches</w:t>
      </w:r>
    </w:p>
    <w:p>
      <w:pPr>
        <w:numPr>
          <w:numId w:val="1006"/>
          <w:ilvl w:val="0"/>
        </w:numPr>
      </w:pPr>
      <w:r>
        <w:t xml:space="preserve">Extent of typical ag, typical urban statewide</w:t>
      </w:r>
    </w:p>
    <w:p>
      <w:pPr>
        <w:numPr>
          <w:numId w:val="1006"/>
          <w:ilvl w:val="0"/>
        </w:numPr>
      </w:pPr>
      <w:r>
        <w:t xml:space="preserve">Framework for assigning unclassified reach to a class</w:t>
      </w:r>
    </w:p>
    <w:p>
      <w:pPr>
        <w:numPr>
          <w:numId w:val="1006"/>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5" w:name="discussion"/>
      <w:bookmarkEnd w:id="45"/>
      <w:r>
        <w:t xml:space="preserve">Discussion</w:t>
      </w:r>
    </w:p>
    <w:p>
      <w:pPr>
        <w:pStyle w:val="Compact"/>
        <w:numPr>
          <w:numId w:val="1007"/>
          <w:ilvl w:val="0"/>
        </w:numPr>
      </w:pPr>
      <w:r>
        <w:t xml:space="preserve">What is the value of identifying constrained channels?</w:t>
      </w:r>
    </w:p>
    <w:p>
      <w:pPr>
        <w:pStyle w:val="Compact"/>
        <w:numPr>
          <w:numId w:val="1008"/>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8"/>
          <w:ilvl w:val="1"/>
        </w:numPr>
      </w:pPr>
      <w:r>
        <w:t xml:space="preserve">Use of more data to develop context of assessment</w:t>
      </w:r>
    </w:p>
    <w:p>
      <w:pPr>
        <w:pStyle w:val="Compact"/>
        <w:numPr>
          <w:numId w:val="1008"/>
          <w:ilvl w:val="1"/>
        </w:numPr>
      </w:pPr>
      <w:r>
        <w:t xml:space="preserve">Targeted management for desired outcomes</w:t>
      </w:r>
    </w:p>
    <w:p>
      <w:pPr>
        <w:pStyle w:val="Compact"/>
        <w:numPr>
          <w:numId w:val="1008"/>
          <w:ilvl w:val="1"/>
        </w:numPr>
      </w:pPr>
      <w:r>
        <w:t xml:space="preserve">Informing decisions about future monitoring (i.e., prioritize future monitoring locations)</w:t>
      </w:r>
    </w:p>
    <w:p>
      <w:pPr>
        <w:pStyle w:val="Compact"/>
        <w:numPr>
          <w:numId w:val="1007"/>
          <w:ilvl w:val="0"/>
        </w:numPr>
      </w:pPr>
      <w:r>
        <w:t xml:space="preserve">What is useful about our approach compared to alternatives?</w:t>
      </w:r>
    </w:p>
    <w:p>
      <w:pPr>
        <w:pStyle w:val="Compact"/>
        <w:numPr>
          <w:numId w:val="1009"/>
          <w:ilvl w:val="1"/>
        </w:numPr>
      </w:pPr>
      <w:r>
        <w:t xml:space="preserve">Field-based methods to identify constrained channels vs. landscape modelling</w:t>
      </w:r>
    </w:p>
    <w:p>
      <w:pPr>
        <w:pStyle w:val="Compact"/>
        <w:numPr>
          <w:numId w:val="1009"/>
          <w:ilvl w:val="1"/>
        </w:numPr>
      </w:pPr>
      <w:r>
        <w:t xml:space="preserve">Related directly to biological condition and regulatory standards</w:t>
      </w:r>
    </w:p>
    <w:p>
      <w:pPr>
        <w:pStyle w:val="Compact"/>
        <w:numPr>
          <w:numId w:val="1009"/>
          <w:ilvl w:val="1"/>
        </w:numPr>
      </w:pPr>
      <w:r>
        <w:t xml:space="preserve">Results are widely corraborated by other landscape studies - land use is big determinant of macroinvert assemblage</w:t>
      </w:r>
    </w:p>
    <w:p>
      <w:pPr>
        <w:pStyle w:val="Compact"/>
        <w:numPr>
          <w:numId w:val="1007"/>
          <w:ilvl w:val="0"/>
        </w:numPr>
      </w:pPr>
      <w:r>
        <w:t xml:space="preserve">What contributed to our success in defining priorities?</w:t>
      </w:r>
    </w:p>
    <w:p>
      <w:pPr>
        <w:pStyle w:val="Compact"/>
        <w:numPr>
          <w:numId w:val="1010"/>
          <w:ilvl w:val="1"/>
        </w:numPr>
      </w:pPr>
      <w:r>
        <w:t xml:space="preserve">Stakeholder involvement guided process, contributed to achieving goals</w:t>
      </w:r>
    </w:p>
    <w:p>
      <w:pPr>
        <w:pStyle w:val="Compact"/>
        <w:numPr>
          <w:numId w:val="1010"/>
          <w:ilvl w:val="1"/>
        </w:numPr>
      </w:pPr>
      <w:r>
        <w:t xml:space="preserve">An interactive/iterative approach was used - we provided tools to facilitate (web apps) and we did not assume priorities</w:t>
      </w:r>
    </w:p>
    <w:p>
      <w:pPr>
        <w:pStyle w:val="Compact"/>
        <w:numPr>
          <w:numId w:val="1007"/>
          <w:ilvl w:val="0"/>
        </w:numPr>
      </w:pPr>
      <w:r>
        <w:t xml:space="preserve">Caveats of our aproach</w:t>
      </w:r>
    </w:p>
    <w:p>
      <w:pPr>
        <w:pStyle w:val="Compact"/>
        <w:numPr>
          <w:numId w:val="1011"/>
          <w:ilvl w:val="1"/>
        </w:numPr>
      </w:pPr>
      <w:r>
        <w:t xml:space="preserve">What do priorities really mean? Depends on your interests, needs, values, etc.</w:t>
      </w:r>
    </w:p>
    <w:p>
      <w:pPr>
        <w:pStyle w:val="Compact"/>
        <w:numPr>
          <w:numId w:val="1011"/>
          <w:ilvl w:val="1"/>
        </w:numPr>
      </w:pPr>
      <w:r>
        <w:t xml:space="preserve">Constrained may not always mean constrained - CSCI vs other biological indicators</w:t>
      </w:r>
    </w:p>
    <w:p>
      <w:pPr>
        <w:pStyle w:val="Compact"/>
        <w:numPr>
          <w:numId w:val="1011"/>
          <w:ilvl w:val="1"/>
        </w:numPr>
      </w:pPr>
      <w:r>
        <w:t xml:space="preserve">Site-specific approaches are warranted in certain cases</w:t>
      </w:r>
    </w:p>
    <w:p>
      <w:pPr>
        <w:pStyle w:val="Compact"/>
        <w:numPr>
          <w:numId w:val="1011"/>
          <w:ilvl w:val="1"/>
        </w:numPr>
      </w:pPr>
      <w:r>
        <w:t xml:space="preserve">Changing certainty or CSCI treshold - mechanistic effects and implications. Don't cook the books.</w:t>
      </w:r>
    </w:p>
    <w:p>
      <w:pPr>
        <w:pStyle w:val="Compact"/>
        <w:numPr>
          <w:numId w:val="1007"/>
          <w:ilvl w:val="0"/>
        </w:numPr>
      </w:pPr>
      <w:r>
        <w:t xml:space="preserve">Future work</w:t>
      </w:r>
    </w:p>
    <w:p>
      <w:pPr>
        <w:pStyle w:val="Compact"/>
        <w:numPr>
          <w:numId w:val="1012"/>
          <w:ilvl w:val="1"/>
        </w:numPr>
      </w:pPr>
      <w:r>
        <w:t xml:space="preserve">Ability to link with other assessment tools besides CSCI</w:t>
      </w:r>
    </w:p>
    <w:p>
      <w:pPr>
        <w:pStyle w:val="Compact"/>
        <w:numPr>
          <w:numId w:val="1012"/>
          <w:ilvl w:val="1"/>
        </w:numPr>
      </w:pPr>
      <w:r>
        <w:t xml:space="preserve">Link with engineered channels study</w:t>
      </w:r>
    </w:p>
    <w:p>
      <w:pPr>
        <w:pStyle w:val="Compact"/>
        <w:numPr>
          <w:numId w:val="1012"/>
          <w:ilvl w:val="1"/>
        </w:numPr>
      </w:pPr>
      <w:r>
        <w:t xml:space="preserve">Priorities statewide</w:t>
      </w:r>
    </w:p>
    <w:p>
      <w:pPr>
        <w:pStyle w:val="Compact"/>
        <w:numPr>
          <w:numId w:val="1012"/>
          <w:ilvl w:val="1"/>
        </w:numPr>
      </w:pPr>
      <w:r>
        <w:t xml:space="preserve">Application to larger regions possible (national-scale), or how it can be applied in other areas</w:t>
      </w:r>
    </w:p>
    <w:p>
      <w:pPr>
        <w:pStyle w:val="Heading1"/>
      </w:pPr>
      <w:bookmarkStart w:id="46" w:name="supplement"/>
      <w:bookmarkEnd w:id="46"/>
      <w:r>
        <w:t xml:space="preserve">Supplement</w:t>
      </w:r>
    </w:p>
    <w:p>
      <w:pPr>
        <w:pStyle w:val="FirstParagraph"/>
      </w:pPr>
      <w:r>
        <w:t xml:space="preserve">Online application.</w:t>
      </w:r>
    </w:p>
    <w:p>
      <w:pPr>
        <w:pStyle w:val="Heading1"/>
      </w:pPr>
      <w:bookmarkStart w:id="47" w:name="references"/>
      <w:bookmarkEnd w:id="47"/>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48">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49">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0">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1">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2">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3">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4">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5">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56">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57">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58">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59">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bdd5d9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8b4e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54" Target="https://CRAN.R-project.org/package=quantregForest" TargetMode="External" /><Relationship Type="http://schemas.openxmlformats.org/officeDocument/2006/relationships/hyperlink" Id="rId48" Target="https://doi.org/10.1007/s10661-008-0256-z" TargetMode="External" /><Relationship Type="http://schemas.openxmlformats.org/officeDocument/2006/relationships/hyperlink" Id="rId57" Target="https://doi.org/10.1007/s10661-010-1385-8" TargetMode="External" /><Relationship Type="http://schemas.openxmlformats.org/officeDocument/2006/relationships/hyperlink" Id="rId49" Target="https://doi.org/10.1016/j.ecolind.2013.07.006" TargetMode="External" /><Relationship Type="http://schemas.openxmlformats.org/officeDocument/2006/relationships/hyperlink" Id="rId53" Target="https://doi.org/10.1016/j.scitotenv.2015.07.083" TargetMode="External" /><Relationship Type="http://schemas.openxmlformats.org/officeDocument/2006/relationships/hyperlink" Id="rId55" Target="https://doi.org/10.1016/j.watres.2004.09.002" TargetMode="External" /><Relationship Type="http://schemas.openxmlformats.org/officeDocument/2006/relationships/hyperlink" Id="rId58" Target="https://doi.org/10.1046/j.1365-2427.2001.00758.x" TargetMode="External" /><Relationship Type="http://schemas.openxmlformats.org/officeDocument/2006/relationships/hyperlink" Id="rId50" Target="https://doi.org/10.1111/1752-1688.12372" TargetMode="External" /><Relationship Type="http://schemas.openxmlformats.org/officeDocument/2006/relationships/hyperlink" Id="rId56" Target="https://doi.org/10.1111/gec3.12039" TargetMode="External" /><Relationship Type="http://schemas.openxmlformats.org/officeDocument/2006/relationships/hyperlink" Id="rId59" Target="https://doi.org/10.1111/j.1365-2664.2008.01548.x" TargetMode="External" /><Relationship Type="http://schemas.openxmlformats.org/officeDocument/2006/relationships/hyperlink" Id="rId52" Target="https://doi.org/10.1111/j.1752-1688.2011.00635.x" TargetMode="External" /><Relationship Type="http://schemas.openxmlformats.org/officeDocument/2006/relationships/hyperlink" Id="rId51" Target="https://doi.org/10.1371/journal.pone.0130710" TargetMode="External" /><Relationship Type="http://schemas.openxmlformats.org/officeDocument/2006/relationships/hyperlink" Id="rId28"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1" Target="mailto:marcusb@sccwrp.org" TargetMode="External" /><Relationship Type="http://schemas.openxmlformats.org/officeDocument/2006/relationships/hyperlink" Id="rId26" Target="mailto:peter.ode@wildlife.ca.gov" TargetMode="External" /><Relationship Type="http://schemas.openxmlformats.org/officeDocument/2006/relationships/hyperlink" Id="rId24"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4" Target="https://CRAN.R-project.org/package=quantregForest" TargetMode="External" /><Relationship Type="http://schemas.openxmlformats.org/officeDocument/2006/relationships/hyperlink" Id="rId48" Target="https://doi.org/10.1007/s10661-008-0256-z" TargetMode="External" /><Relationship Type="http://schemas.openxmlformats.org/officeDocument/2006/relationships/hyperlink" Id="rId57" Target="https://doi.org/10.1007/s10661-010-1385-8" TargetMode="External" /><Relationship Type="http://schemas.openxmlformats.org/officeDocument/2006/relationships/hyperlink" Id="rId49" Target="https://doi.org/10.1016/j.ecolind.2013.07.006" TargetMode="External" /><Relationship Type="http://schemas.openxmlformats.org/officeDocument/2006/relationships/hyperlink" Id="rId53" Target="https://doi.org/10.1016/j.scitotenv.2015.07.083" TargetMode="External" /><Relationship Type="http://schemas.openxmlformats.org/officeDocument/2006/relationships/hyperlink" Id="rId55" Target="https://doi.org/10.1016/j.watres.2004.09.002" TargetMode="External" /><Relationship Type="http://schemas.openxmlformats.org/officeDocument/2006/relationships/hyperlink" Id="rId58" Target="https://doi.org/10.1046/j.1365-2427.2001.00758.x" TargetMode="External" /><Relationship Type="http://schemas.openxmlformats.org/officeDocument/2006/relationships/hyperlink" Id="rId50" Target="https://doi.org/10.1111/1752-1688.12372" TargetMode="External" /><Relationship Type="http://schemas.openxmlformats.org/officeDocument/2006/relationships/hyperlink" Id="rId56" Target="https://doi.org/10.1111/gec3.12039" TargetMode="External" /><Relationship Type="http://schemas.openxmlformats.org/officeDocument/2006/relationships/hyperlink" Id="rId59" Target="https://doi.org/10.1111/j.1365-2664.2008.01548.x" TargetMode="External" /><Relationship Type="http://schemas.openxmlformats.org/officeDocument/2006/relationships/hyperlink" Id="rId52" Target="https://doi.org/10.1111/j.1752-1688.2011.00635.x" TargetMode="External" /><Relationship Type="http://schemas.openxmlformats.org/officeDocument/2006/relationships/hyperlink" Id="rId51" Target="https://doi.org/10.1371/journal.pone.0130710" TargetMode="External" /><Relationship Type="http://schemas.openxmlformats.org/officeDocument/2006/relationships/hyperlink" Id="rId28"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1" Target="mailto:marcusb@sccwrp.org" TargetMode="External" /><Relationship Type="http://schemas.openxmlformats.org/officeDocument/2006/relationships/hyperlink" Id="rId26" Target="mailto:peter.ode@wildlife.ca.gov" TargetMode="External" /><Relationship Type="http://schemas.openxmlformats.org/officeDocument/2006/relationships/hyperlink" Id="rId24"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Phil Markle (pmarkle@lacsd.org), Joshua Westfall (jwestfall@lacsd.org), Peter D. Ode (peter.ode@wildlife.ca.gov), Ryan Hill (hill.ryan@epa.gov), Eric D. Stein (erics@sccwrp.org)</dc:creator>
  <dcterms:created xsi:type="dcterms:W3CDTF">2018-03-18T19:29:37Z</dcterms:created>
  <dcterms:modified xsi:type="dcterms:W3CDTF">2018-03-18T19:29:37Z</dcterms:modified>
</cp:coreProperties>
</file>