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46.png" ContentType="image/png"/>
  <Override PartName="/word/media/rId40.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5">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6">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7">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8">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9">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0">
        <w:r>
          <w:rPr>
            <w:rStyle w:val="Hyperlink"/>
          </w:rPr>
          <w:t xml:space="preserve">erics@sccwrp.org</w:t>
        </w:r>
      </w:hyperlink>
      <w:r>
        <w:t xml:space="preserve">)</w:t>
      </w:r>
    </w:p>
    <w:p>
      <w:pPr>
        <w:pStyle w:val="Heading1"/>
      </w:pPr>
      <w:bookmarkStart w:id="31" w:name="abstract"/>
      <w:bookmarkEnd w:id="31"/>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2" w:name="introduction"/>
      <w:bookmarkEnd w:id="32"/>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 “management potential”.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3" w:name="methods"/>
      <w:bookmarkEnd w:id="33"/>
      <w:r>
        <w:t xml:space="preserve">Methods</w:t>
      </w:r>
    </w:p>
    <w:p>
      <w:pPr>
        <w:pStyle w:val="Heading2"/>
      </w:pPr>
      <w:bookmarkStart w:id="34" w:name="study-area-and-data-sources"/>
      <w:bookmarkEnd w:id="34"/>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6" w:name="building-and-validating-landscape-models"/>
      <w:bookmarkEnd w:id="36"/>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7" w:name="san-gabriel-river-watershed-case-study"/>
      <w:bookmarkEnd w:id="37"/>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FigureWithCaption"/>
      </w:pPr>
      <w:r>
        <w:drawing>
          <wp:inline>
            <wp:extent cx="3669832" cy="5504749"/>
            <wp:effectExtent b="0" l="0" r="0" t="0"/>
            <wp:docPr descr="Figure 2 test" title="" id="1" name="Picture"/>
            <a:graphic>
              <a:graphicData uri="http://schemas.openxmlformats.org/drawingml/2006/picture">
                <pic:pic>
                  <pic:nvPicPr>
                    <pic:cNvPr descr="figs/sgrshd.png" id="0" name="Picture"/>
                    <pic:cNvPicPr>
                      <a:picLocks noChangeArrowheads="1" noChangeAspect="1"/>
                    </pic:cNvPicPr>
                  </pic:nvPicPr>
                  <pic:blipFill>
                    <a:blip r:embed="rId38"/>
                    <a:stretch>
                      <a:fillRect/>
                    </a:stretch>
                  </pic:blipFill>
                  <pic:spPr bwMode="auto">
                    <a:xfrm>
                      <a:off x="0" y="0"/>
                      <a:ext cx="3669832" cy="5504749"/>
                    </a:xfrm>
                    <a:prstGeom prst="rect">
                      <a:avLst/>
                    </a:prstGeom>
                    <a:noFill/>
                    <a:ln w="9525">
                      <a:noFill/>
                      <a:headEnd/>
                      <a:tailEnd/>
                    </a:ln>
                  </pic:spPr>
                </pic:pic>
              </a:graphicData>
            </a:graphic>
          </wp:inline>
        </w:drawing>
      </w:r>
    </w:p>
    <w:p>
      <w:pPr>
        <w:pStyle w:val="ImageCaption"/>
      </w:pPr>
      <w:r>
        <w:t xml:space="preserve">Figure 2 test</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3</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 "over-performing" and sites below the lower limit were "under-performing". Sites with CSCI scores within the range of expectations were as "expected".</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A brief description of the rationale for a site priority was also requested with the feedback. The final priorities were generalized into three categories to recommend actions in addition to baseline monitoring and maintenance. The final priorities also assumed that existing information available for each site was "true" following established practices to account for uncertainty or variation between assessments. A consensus was reached for the following definitions of each action:</w:t>
      </w:r>
    </w:p>
    <w:p>
      <w:pPr>
        <w:pStyle w:val="Compact"/>
        <w:numPr>
          <w:numId w:val="1003"/>
          <w:ilvl w:val="0"/>
        </w:numPr>
      </w:pPr>
      <w:r>
        <w:t xml:space="preserve">Investigate: Additional monitoring or review of supplementary data (e.g., aerial imagery);</w:t>
      </w:r>
    </w:p>
    <w:p>
      <w:pPr>
        <w:pStyle w:val="Compact"/>
        <w:numPr>
          <w:numId w:val="1003"/>
          <w:ilvl w:val="0"/>
        </w:numPr>
      </w:pPr>
      <w:r>
        <w:t xml:space="preserve">Protect: Additional scrutiny of proposed development and/or projects;</w:t>
      </w:r>
    </w:p>
    <w:p>
      <w:pPr>
        <w:pStyle w:val="Compact"/>
        <w:numPr>
          <w:numId w:val="1003"/>
          <w:ilvl w:val="0"/>
        </w:numPr>
      </w:pPr>
      <w:r>
        <w:t xml:space="preserve">Restore: Targeted action for causal assessment and/or restoration funds.</w:t>
      </w:r>
    </w:p>
    <w:p>
      <w:pPr>
        <w:pStyle w:val="FirstParagraph"/>
      </w:pPr>
      <w:r>
        <w:t xml:space="preserve">Each site type was ranked as high, medium, or low priority for each action. No priority assigned to an action for a stream type was indication that baseline monitoring and maintenance was sufficient for a site type.</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 'typically' 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4"/>
          <w:ilvl w:val="0"/>
        </w:numPr>
      </w:pPr>
      <w:r>
        <w:t xml:space="preserve">Where does the model perform well, how does performance vary with validation and calibration datasets.</w:t>
      </w:r>
    </w:p>
    <w:p>
      <w:pPr>
        <w:numPr>
          <w:numId w:val="1004"/>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5"/>
          <w:ilvl w:val="0"/>
        </w:numPr>
      </w:pPr>
      <w:r>
        <w:t xml:space="preserve">Extent, classification, prioritization</w:t>
      </w:r>
    </w:p>
    <w:p>
      <w:pPr>
        <w:numPr>
          <w:numId w:val="1005"/>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FigureWithCaption"/>
      </w:pPr>
      <w:r>
        <w:drawing>
          <wp:inline>
            <wp:extent cx="5943600" cy="3820885"/>
            <wp:effectExtent b="0" l="0" r="0" t="0"/>
            <wp:docPr descr="Figure 4 Template provided to stakeholders for priorization of recommended actions for each stream type. The stream types (Table 1)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4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4 Template provided to stakeholders for priorization of recommended actions for each stream type. The stream types (Table</w:t>
      </w:r>
      <w:r>
        <w:t xml:space="preserve"> </w:t>
      </w:r>
      <w:r>
        <w:t xml:space="preserve">1</w:t>
      </w:r>
      <w:r>
        <w:t xml:space="preserve">)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Heading3"/>
      </w:pPr>
      <w:bookmarkStart w:id="47" w:name="sensitivity-analysis"/>
      <w:bookmarkEnd w:id="47"/>
      <w:r>
        <w:t xml:space="preserve">Sensitivity analysis</w:t>
      </w:r>
    </w:p>
    <w:p>
      <w:pPr>
        <w:numPr>
          <w:numId w:val="1006"/>
          <w:ilvl w:val="0"/>
        </w:numPr>
      </w:pPr>
      <w:r>
        <w:t xml:space="preserve">Statewide results - reach classification, site performance</w:t>
      </w:r>
    </w:p>
    <w:p>
      <w:pPr>
        <w:numPr>
          <w:numId w:val="1006"/>
          <w:ilvl w:val="0"/>
        </w:numPr>
      </w:pPr>
      <w:r>
        <w:t xml:space="preserve">SGR application - where do priorities change related to which variables the model is most sensitive to? Do overall patterns remain? Maybe not do this.</w:t>
      </w:r>
    </w:p>
    <w:p>
      <w:pPr>
        <w:pStyle w:val="FirstParagraph"/>
      </w:pPr>
      <w:r>
        <w:rPr>
          <w:i/>
        </w:rPr>
        <w:t xml:space="preserve">Table</w:t>
      </w:r>
      <w:r>
        <w:t xml:space="preserve"> </w:t>
      </w:r>
      <w:r>
        <w:t xml:space="preserve">Sensitivity results</w:t>
      </w:r>
    </w:p>
    <w:p>
      <w:pPr>
        <w:pStyle w:val="Heading3"/>
      </w:pPr>
      <w:bookmarkStart w:id="48" w:name="unclassified-reaches-1"/>
      <w:bookmarkEnd w:id="48"/>
      <w:r>
        <w:t xml:space="preserve">Unclassified reaches</w:t>
      </w:r>
    </w:p>
    <w:p>
      <w:pPr>
        <w:numPr>
          <w:numId w:val="1007"/>
          <w:ilvl w:val="0"/>
        </w:numPr>
      </w:pPr>
      <w:r>
        <w:t xml:space="preserve">Extent of typical ag, typical urban statewide</w:t>
      </w:r>
    </w:p>
    <w:p>
      <w:pPr>
        <w:numPr>
          <w:numId w:val="1007"/>
          <w:ilvl w:val="0"/>
        </w:numPr>
      </w:pPr>
      <w:r>
        <w:t xml:space="preserve">Framework for assigning unclassified reach to a class</w:t>
      </w:r>
    </w:p>
    <w:p>
      <w:pPr>
        <w:numPr>
          <w:numId w:val="1007"/>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9" w:name="discussion"/>
      <w:bookmarkEnd w:id="49"/>
      <w:r>
        <w:t xml:space="preserve">Discussion</w:t>
      </w:r>
    </w:p>
    <w:p>
      <w:pPr>
        <w:pStyle w:val="Compact"/>
        <w:numPr>
          <w:numId w:val="1008"/>
          <w:ilvl w:val="0"/>
        </w:numPr>
      </w:pPr>
      <w:r>
        <w:t xml:space="preserve">What is the value of identifying constrained channels?</w:t>
      </w:r>
    </w:p>
    <w:p>
      <w:pPr>
        <w:pStyle w:val="Compact"/>
        <w:numPr>
          <w:numId w:val="1009"/>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9"/>
          <w:ilvl w:val="1"/>
        </w:numPr>
      </w:pPr>
      <w:r>
        <w:t xml:space="preserve">Use of more data to develop context of assessment</w:t>
      </w:r>
    </w:p>
    <w:p>
      <w:pPr>
        <w:pStyle w:val="Compact"/>
        <w:numPr>
          <w:numId w:val="1009"/>
          <w:ilvl w:val="1"/>
        </w:numPr>
      </w:pPr>
      <w:r>
        <w:t xml:space="preserve">Targeted management for desired outcomes</w:t>
      </w:r>
    </w:p>
    <w:p>
      <w:pPr>
        <w:pStyle w:val="Compact"/>
        <w:numPr>
          <w:numId w:val="1009"/>
          <w:ilvl w:val="1"/>
        </w:numPr>
      </w:pPr>
      <w:r>
        <w:t xml:space="preserve">Informing decisions about future monitoring (i.e., prioritize future monitoring locations)</w:t>
      </w:r>
    </w:p>
    <w:p>
      <w:pPr>
        <w:pStyle w:val="Compact"/>
        <w:numPr>
          <w:numId w:val="1009"/>
          <w:ilvl w:val="1"/>
        </w:numPr>
      </w:pPr>
      <w:r>
        <w:t xml:space="preserve">Listing implications, perhaps with a subheader, "Implications for determining biological impairments". We should enlist Chad to help with this—after presenting him with LACSD’s proposal.</w:t>
      </w:r>
    </w:p>
    <w:p>
      <w:pPr>
        <w:pStyle w:val="Compact"/>
        <w:numPr>
          <w:numId w:val="1008"/>
          <w:ilvl w:val="0"/>
        </w:numPr>
      </w:pPr>
      <w:r>
        <w:t xml:space="preserve">What is useful about our approach compared to alternatives?</w:t>
      </w:r>
    </w:p>
    <w:p>
      <w:pPr>
        <w:pStyle w:val="Compact"/>
        <w:numPr>
          <w:numId w:val="1010"/>
          <w:ilvl w:val="1"/>
        </w:numPr>
      </w:pPr>
      <w:r>
        <w:t xml:space="preserve">Field-based methods to identify constrained channels vs. landscape modelling</w:t>
      </w:r>
    </w:p>
    <w:p>
      <w:pPr>
        <w:pStyle w:val="Compact"/>
        <w:numPr>
          <w:numId w:val="1010"/>
          <w:ilvl w:val="1"/>
        </w:numPr>
      </w:pPr>
      <w:r>
        <w:t xml:space="preserve">Related directly to biological condition and regulatory standards</w:t>
      </w:r>
    </w:p>
    <w:p>
      <w:pPr>
        <w:pStyle w:val="Compact"/>
        <w:numPr>
          <w:numId w:val="1010"/>
          <w:ilvl w:val="1"/>
        </w:numPr>
      </w:pPr>
      <w:r>
        <w:t xml:space="preserve">Results are widely corraborated by other landscape studies - land use is big determinant of macroinvert assemblage</w:t>
      </w:r>
    </w:p>
    <w:p>
      <w:pPr>
        <w:pStyle w:val="Compact"/>
        <w:numPr>
          <w:numId w:val="1008"/>
          <w:ilvl w:val="0"/>
        </w:numPr>
      </w:pPr>
      <w:r>
        <w:t xml:space="preserve">What contributed to our success in defining priorities?</w:t>
      </w:r>
    </w:p>
    <w:p>
      <w:pPr>
        <w:pStyle w:val="Compact"/>
        <w:numPr>
          <w:numId w:val="1011"/>
          <w:ilvl w:val="1"/>
        </w:numPr>
      </w:pPr>
      <w:r>
        <w:t xml:space="preserve">Stakeholder involvement guided process, contributed to achieving goals</w:t>
      </w:r>
    </w:p>
    <w:p>
      <w:pPr>
        <w:pStyle w:val="Compact"/>
        <w:numPr>
          <w:numId w:val="1011"/>
          <w:ilvl w:val="1"/>
        </w:numPr>
      </w:pPr>
      <w:r>
        <w:t xml:space="preserve">An interactive/iterative approach was used - we provided tools to facilitate (web apps) and we did not assume priorities</w:t>
      </w:r>
    </w:p>
    <w:p>
      <w:pPr>
        <w:pStyle w:val="Compact"/>
        <w:numPr>
          <w:numId w:val="1008"/>
          <w:ilvl w:val="0"/>
        </w:numPr>
      </w:pPr>
      <w:r>
        <w:t xml:space="preserve">Caveats of our aproach</w:t>
      </w:r>
    </w:p>
    <w:p>
      <w:pPr>
        <w:pStyle w:val="Compact"/>
        <w:numPr>
          <w:numId w:val="1012"/>
          <w:ilvl w:val="1"/>
        </w:numPr>
      </w:pPr>
      <w:r>
        <w:t xml:space="preserve">This analysis doesn’t truly tell us if a site can be fixed or if the conditions are truly constrained (key message, need to mention in intro)</w:t>
      </w:r>
    </w:p>
    <w:p>
      <w:pPr>
        <w:pStyle w:val="Compact"/>
        <w:numPr>
          <w:numId w:val="1012"/>
          <w:ilvl w:val="1"/>
        </w:numPr>
      </w:pPr>
      <w:r>
        <w:t xml:space="preserve">What do priorities really mean? Depends on your interests, needs, values, etc.</w:t>
      </w:r>
    </w:p>
    <w:p>
      <w:pPr>
        <w:pStyle w:val="Compact"/>
        <w:numPr>
          <w:numId w:val="1012"/>
          <w:ilvl w:val="1"/>
        </w:numPr>
      </w:pPr>
      <w:r>
        <w:t xml:space="preserve">Constrained may not always mean constrained - CSCI vs other biological indicators</w:t>
      </w:r>
    </w:p>
    <w:p>
      <w:pPr>
        <w:pStyle w:val="Compact"/>
        <w:numPr>
          <w:numId w:val="1012"/>
          <w:ilvl w:val="1"/>
        </w:numPr>
      </w:pPr>
      <w:r>
        <w:t xml:space="preserve">Site-specific approaches are warranted in certain cases</w:t>
      </w:r>
    </w:p>
    <w:p>
      <w:pPr>
        <w:pStyle w:val="Compact"/>
        <w:numPr>
          <w:numId w:val="1012"/>
          <w:ilvl w:val="1"/>
        </w:numPr>
      </w:pPr>
      <w:r>
        <w:t xml:space="preserve">Changing certainty or CSCI treshold - mechanistic effects and implications. Don't cook the books.</w:t>
      </w:r>
    </w:p>
    <w:p>
      <w:pPr>
        <w:pStyle w:val="Compact"/>
        <w:numPr>
          <w:numId w:val="1008"/>
          <w:ilvl w:val="0"/>
        </w:numPr>
      </w:pPr>
      <w:r>
        <w:t xml:space="preserve">Future work</w:t>
      </w:r>
    </w:p>
    <w:p>
      <w:pPr>
        <w:pStyle w:val="Compact"/>
        <w:numPr>
          <w:numId w:val="1013"/>
          <w:ilvl w:val="1"/>
        </w:numPr>
      </w:pPr>
      <w:r>
        <w:t xml:space="preserve">Ability to link with other assessment tools besides CSCI</w:t>
      </w:r>
    </w:p>
    <w:p>
      <w:pPr>
        <w:pStyle w:val="Compact"/>
        <w:numPr>
          <w:numId w:val="1013"/>
          <w:ilvl w:val="1"/>
        </w:numPr>
      </w:pPr>
      <w:r>
        <w:t xml:space="preserve">Link with engineered channels study</w:t>
      </w:r>
    </w:p>
    <w:p>
      <w:pPr>
        <w:pStyle w:val="Compact"/>
        <w:numPr>
          <w:numId w:val="1013"/>
          <w:ilvl w:val="1"/>
        </w:numPr>
      </w:pPr>
      <w:r>
        <w:t xml:space="preserve">Priorities statewide</w:t>
      </w:r>
    </w:p>
    <w:p>
      <w:pPr>
        <w:pStyle w:val="Compact"/>
        <w:numPr>
          <w:numId w:val="1013"/>
          <w:ilvl w:val="1"/>
        </w:numPr>
      </w:pPr>
      <w:r>
        <w:t xml:space="preserve">Application to larger regions possible (national-scale), or how it can be applied in other areas</w:t>
      </w:r>
    </w:p>
    <w:p>
      <w:pPr>
        <w:pStyle w:val="Heading1"/>
      </w:pPr>
      <w:bookmarkStart w:id="50" w:name="supplement"/>
      <w:bookmarkEnd w:id="50"/>
      <w:r>
        <w:t xml:space="preserve">Supplement</w:t>
      </w:r>
    </w:p>
    <w:p>
      <w:pPr>
        <w:pStyle w:val="FirstParagraph"/>
      </w:pPr>
      <w:r>
        <w:t xml:space="preserve">Online application.</w:t>
      </w:r>
    </w:p>
    <w:p>
      <w:pPr>
        <w:pStyle w:val="Heading1"/>
      </w:pPr>
      <w:bookmarkStart w:id="51" w:name="references"/>
      <w:bookmarkEnd w:id="51"/>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2">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3">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4">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5">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6">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7">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8">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9">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60">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1">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2">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3">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4104a9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98d4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D. Ode (peter.ode@wildlife.ca.gov), Ryan Hill (hill.ryan@epa.gov), Chad Loflen (Chad.Loflen@waterboards.ca.gov), Martha Sutula (marthas@sccwrp.org), Eric D. Stein (erics@sccwrp.org)</dc:creator>
  <dcterms:created xsi:type="dcterms:W3CDTF">2018-03-23T15:45:49Z</dcterms:created>
  <dcterms:modified xsi:type="dcterms:W3CDTF">2018-03-23T15:45:49Z</dcterms:modified>
</cp:coreProperties>
</file>