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1131" w:rsidRDefault="00CB7AEE">
      <w:pPr>
        <w:pStyle w:val="Title"/>
      </w:pPr>
      <w:r>
        <w:t>Prioritizing management goals for stream biological integrity within the developed landscape context</w:t>
      </w:r>
    </w:p>
    <w:p w:rsidR="00DC1131" w:rsidRDefault="00CB7AEE">
      <w:pPr>
        <w:pStyle w:val="Author"/>
      </w:pPr>
      <w:r>
        <w:t>Marcus W. Beck (</w:t>
      </w:r>
      <w:hyperlink r:id="rId7">
        <w:r>
          <w:rPr>
            <w:rStyle w:val="Hyperlink"/>
          </w:rPr>
          <w:t>marcusb@sccwrp.org</w:t>
        </w:r>
      </w:hyperlink>
      <w:r>
        <w:t>), Raphael D. Mazor (</w:t>
      </w:r>
      <w:hyperlink r:id="rId8">
        <w:r>
          <w:rPr>
            <w:rStyle w:val="Hyperlink"/>
          </w:rPr>
          <w:t>raphaelm@sccwrp.org</w:t>
        </w:r>
      </w:hyperlink>
      <w:r>
        <w:t>), Scott Johnson (</w:t>
      </w:r>
      <w:hyperlink r:id="rId9">
        <w:r>
          <w:rPr>
            <w:rStyle w:val="Hyperlink"/>
          </w:rPr>
          <w:t>scott@aquaticbioassay.com</w:t>
        </w:r>
      </w:hyperlink>
      <w:r>
        <w:t>), Karin Wisenbaker (</w:t>
      </w:r>
      <w:hyperlink r:id="rId10">
        <w:r>
          <w:rPr>
            <w:rStyle w:val="Hyperlink"/>
          </w:rPr>
          <w:t>karin@aquaticbioassay.com</w:t>
        </w:r>
      </w:hyperlink>
      <w:r>
        <w:t>), Joshua Westfall (</w:t>
      </w:r>
      <w:hyperlink r:id="rId11">
        <w:r>
          <w:rPr>
            <w:rStyle w:val="Hyperlink"/>
          </w:rPr>
          <w:t>jwestfall@lacsd.org</w:t>
        </w:r>
      </w:hyperlink>
      <w:r>
        <w:t>), Peter R. Ode (</w:t>
      </w:r>
      <w:hyperlink r:id="rId12">
        <w:r>
          <w:rPr>
            <w:rStyle w:val="Hyperlink"/>
          </w:rPr>
          <w:t>peter.ode@wildlife.ca.gov</w:t>
        </w:r>
      </w:hyperlink>
      <w:r>
        <w:t>), Ryan Hill (</w:t>
      </w:r>
      <w:hyperlink r:id="rId13">
        <w:r>
          <w:rPr>
            <w:rStyle w:val="Hyperlink"/>
          </w:rPr>
          <w:t>hill.ryan@epa.gov</w:t>
        </w:r>
      </w:hyperlink>
      <w:r>
        <w:t>), Chad Loflen (</w:t>
      </w:r>
      <w:hyperlink r:id="rId14">
        <w:r>
          <w:rPr>
            <w:rStyle w:val="Hyperlink"/>
          </w:rPr>
          <w:t>Chad.Loflen@waterboards.ca.gov</w:t>
        </w:r>
      </w:hyperlink>
      <w:r>
        <w:t>), Martha Sutula (</w:t>
      </w:r>
      <w:hyperlink r:id="rId15">
        <w:r>
          <w:rPr>
            <w:rStyle w:val="Hyperlink"/>
          </w:rPr>
          <w:t>marthas@sccwrp.org</w:t>
        </w:r>
      </w:hyperlink>
      <w:r>
        <w:t>), Eric D. Stein (</w:t>
      </w:r>
      <w:hyperlink r:id="rId16">
        <w:r>
          <w:rPr>
            <w:rStyle w:val="Hyperlink"/>
          </w:rPr>
          <w:t>erics@sccwrp.org</w:t>
        </w:r>
      </w:hyperlink>
      <w:r>
        <w:t>)</w:t>
      </w:r>
    </w:p>
    <w:p w:rsidR="00DC1131" w:rsidRDefault="00CB7AEE">
      <w:pPr>
        <w:pStyle w:val="FirstParagraph"/>
      </w:pPr>
      <w:r>
        <w:t>Version Date: Wed Jul 11 14:17:15 2018 -0700</w:t>
      </w:r>
    </w:p>
    <w:p w:rsidR="00DC1131" w:rsidRDefault="00CB7AEE">
      <w:pPr>
        <w:pStyle w:val="Heading1"/>
      </w:pPr>
      <w:bookmarkStart w:id="0" w:name="abstract"/>
      <w:r>
        <w:t>Abstract</w:t>
      </w:r>
      <w:bookmarkEnd w:id="0"/>
    </w:p>
    <w:p w:rsidR="00DC1131" w:rsidRDefault="00CB7AEE">
      <w:pPr>
        <w:pStyle w:val="FirstParagraph"/>
      </w:pPr>
      <w:r>
        <w:t>Stream management goals may be difficult or impossible to achieve where large-scale, historic alteration of the landscape (e.g., urbanization) presents challenges to attaining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unmitigated landscape alteration. We developed a statewide model and applied the results at a local scale to classify sites and prioritize different management actions using guidance from a local stakeholder group from the San Gabriel River Regional Monitoring Program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had biological conditions that were constrained by landscape alteration,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limits to achieving biological integrity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rsidR="00DC1131" w:rsidRDefault="00CB7AEE">
      <w:pPr>
        <w:pStyle w:val="Heading1"/>
      </w:pPr>
      <w:bookmarkStart w:id="1" w:name="introduction"/>
      <w:r>
        <w:t>Introduction</w:t>
      </w:r>
      <w:bookmarkEnd w:id="1"/>
    </w:p>
    <w:p w:rsidR="00DC1131" w:rsidRDefault="00CB7AEE">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w:t>
      </w:r>
      <w:r>
        <w:lastRenderedPageBreak/>
        <w:t xml:space="preserve">information. The reference condition concept that is built into many biological indices is an explicit means of evaluating observed condition relative to unaltered habitats for a particular region (Reynoldson et al. </w:t>
      </w:r>
      <w:hyperlink w:anchor="ref-Reynoldson97">
        <w:r>
          <w:rPr>
            <w:rStyle w:val="Hyperlink"/>
          </w:rPr>
          <w:t>1997</w:t>
        </w:r>
      </w:hyperlink>
      <w:r>
        <w:t xml:space="preserve">; Stoddard et al. </w:t>
      </w:r>
      <w:hyperlink w:anchor="ref-Stoddard06">
        <w:r>
          <w:rPr>
            <w:rStyle w:val="Hyperlink"/>
          </w:rPr>
          <w:t>2006</w:t>
        </w:r>
      </w:hyperlink>
      <w:r>
        <w:t xml:space="preserve">). However, in many cases the reference benchmark may not completely describe or account for additional factors that influence biological integrity at spatial and temporal scales that can be effectively managed (Chessman and Royal </w:t>
      </w:r>
      <w:hyperlink w:anchor="ref-Chessman04">
        <w:r>
          <w:rPr>
            <w:rStyle w:val="Hyperlink"/>
          </w:rPr>
          <w:t>2004</w:t>
        </w:r>
      </w:hyperlink>
      <w:r>
        <w:t xml:space="preserve">; Chessman </w:t>
      </w:r>
      <w:hyperlink w:anchor="ref-Chessman14">
        <w:r>
          <w:rPr>
            <w:rStyle w:val="Hyperlink"/>
          </w:rPr>
          <w:t>2014</w:t>
        </w:r>
      </w:hyperlink>
      <w:r>
        <w:t>).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explicable relative to the needs of local stakeholder groups. Explicit information is required to not only synthesize site level bioassessment data at the watershed scale, but also provide an assessment context that is sufficiently interpretable for prioritization.</w:t>
      </w:r>
    </w:p>
    <w:p w:rsidR="00DC1131" w:rsidRDefault="00CB7AEE">
      <w:pPr>
        <w:pStyle w:val="BodyText"/>
      </w:pPr>
      <w:r>
        <w:t xml:space="preserve">The application of bioassessment data to inform management requires understanding the effects of multiple stressors acting at local, catchment, or watershed scales (Novotny et al. </w:t>
      </w:r>
      <w:hyperlink w:anchor="ref-Novotny05">
        <w:r>
          <w:rPr>
            <w:rStyle w:val="Hyperlink"/>
          </w:rPr>
          <w:t>2005</w:t>
        </w:r>
      </w:hyperlink>
      <w:r>
        <w:t xml:space="preserve">; Townsend, Uhlmann, and Matthaei </w:t>
      </w:r>
      <w:hyperlink w:anchor="ref-Townsend08">
        <w:r>
          <w:rPr>
            <w:rStyle w:val="Hyperlink"/>
          </w:rPr>
          <w:t>2008</w:t>
        </w:r>
      </w:hyperlink>
      <w:r>
        <w:t xml:space="preserve">; Leps et al. </w:t>
      </w:r>
      <w:hyperlink w:anchor="ref-Leps15">
        <w:r>
          <w:rPr>
            <w:rStyle w:val="Hyperlink"/>
          </w:rPr>
          <w:t>2015</w:t>
        </w:r>
      </w:hyperlink>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 (USEPA </w:t>
      </w:r>
      <w:hyperlink w:anchor="ref-USEPA16">
        <w:r>
          <w:rPr>
            <w:rStyle w:val="Hyperlink"/>
          </w:rPr>
          <w:t>2016</w:t>
        </w:r>
      </w:hyperlink>
      <w:r>
        <w:t xml:space="preserve">). These immediate and proximate causes of poor biological condition are often linked to landscape-level alterations that occur in the watershed. Consistent and empirical links between land use thresholds and poor biotic integrity have been identified in many cases (Allan, Erickson, and Fay </w:t>
      </w:r>
      <w:hyperlink w:anchor="ref-Allan97">
        <w:r>
          <w:rPr>
            <w:rStyle w:val="Hyperlink"/>
          </w:rPr>
          <w:t>1997</w:t>
        </w:r>
      </w:hyperlink>
      <w:r>
        <w:t xml:space="preserve">; Wang et al. </w:t>
      </w:r>
      <w:hyperlink w:anchor="ref-Wang97">
        <w:r>
          <w:rPr>
            <w:rStyle w:val="Hyperlink"/>
          </w:rPr>
          <w:t>1997</w:t>
        </w:r>
      </w:hyperlink>
      <w:r>
        <w:t xml:space="preserve">; Clapcott et al. </w:t>
      </w:r>
      <w:hyperlink w:anchor="ref-Clapcott11">
        <w:r>
          <w:rPr>
            <w:rStyle w:val="Hyperlink"/>
          </w:rPr>
          <w:t>2011</w:t>
        </w:r>
      </w:hyperlink>
      <w:r>
        <w:t>). Mechanistic linkages between land use and degraded biological condition have been described (e.g., Allan (</w:t>
      </w:r>
      <w:hyperlink w:anchor="ref-Allan04">
        <w:r>
          <w:rPr>
            <w:rStyle w:val="Hyperlink"/>
          </w:rPr>
          <w:t>2004</w:t>
        </w:r>
      </w:hyperlink>
      <w:r>
        <w:t>), Riseng et al. (</w:t>
      </w:r>
      <w:hyperlink w:anchor="ref-Riseng11">
        <w:r>
          <w:rPr>
            <w:rStyle w:val="Hyperlink"/>
          </w:rPr>
          <w:t>2011</w:t>
        </w:r>
      </w:hyperlink>
      <w:r>
        <w:t>)), but the precise link between land use and instream condition is not clear for other causal pathways (e.g., Cormier et al. (</w:t>
      </w:r>
      <w:hyperlink w:anchor="ref-Cormier13">
        <w:r>
          <w:rPr>
            <w:rStyle w:val="Hyperlink"/>
          </w:rPr>
          <w:t>2013</w:t>
        </w:r>
      </w:hyperlink>
      <w:r>
        <w:t>)). Regardless, land use has long been used as a proxy for environmental condition and an associative link can be sufficient to predict condition as a function of watershed activities.</w:t>
      </w:r>
    </w:p>
    <w:p w:rsidR="00DC1131" w:rsidRDefault="00CB7AEE">
      <w:pPr>
        <w:pStyle w:val="BodyText"/>
      </w:pPr>
      <w:r>
        <w:t xml:space="preserve">In developed urban and agricultural landscapes, the majority of stream miles are in poor biotic condition and in need of some level of management (USGS </w:t>
      </w:r>
      <w:hyperlink w:anchor="ref-USGS99">
        <w:r>
          <w:rPr>
            <w:rStyle w:val="Hyperlink"/>
          </w:rPr>
          <w:t>1999</w:t>
        </w:r>
      </w:hyperlink>
      <w:r>
        <w:t xml:space="preserve">; </w:t>
      </w:r>
      <w:proofErr w:type="spellStart"/>
      <w:r>
        <w:t>Finkenbine</w:t>
      </w:r>
      <w:proofErr w:type="spellEnd"/>
      <w:r>
        <w:t xml:space="preserve">, Atwater, and Mavinic </w:t>
      </w:r>
      <w:hyperlink w:anchor="ref-Finkenbine00">
        <w:r>
          <w:rPr>
            <w:rStyle w:val="Hyperlink"/>
          </w:rPr>
          <w:t>2000</w:t>
        </w:r>
      </w:hyperlink>
      <w:r>
        <w:t xml:space="preserve">; Morgan and Cushman </w:t>
      </w:r>
      <w:hyperlink w:anchor="ref-Morgan05">
        <w:r>
          <w:rPr>
            <w:rStyle w:val="Hyperlink"/>
          </w:rPr>
          <w:t>2005</w:t>
        </w:r>
      </w:hyperlink>
      <w:r>
        <w:t xml:space="preserve">). Conventional approaches to protect and restore biological integrity have commonly focused on direct improvements at the site-level to mitigate instream stressors (Carline and Walsh </w:t>
      </w:r>
      <w:hyperlink w:anchor="ref-Carline07">
        <w:r>
          <w:rPr>
            <w:rStyle w:val="Hyperlink"/>
          </w:rPr>
          <w:t>2007</w:t>
        </w:r>
      </w:hyperlink>
      <w:r>
        <w:t xml:space="preserve">; Lester and Boulton </w:t>
      </w:r>
      <w:hyperlink w:anchor="ref-Lester08">
        <w:r>
          <w:rPr>
            <w:rStyle w:val="Hyperlink"/>
          </w:rPr>
          <w:t>2008</w:t>
        </w:r>
      </w:hyperlink>
      <w:r>
        <w:t xml:space="preserve">; Roni and Beechi </w:t>
      </w:r>
      <w:hyperlink w:anchor="ref-Roni12">
        <w:r>
          <w:rPr>
            <w:rStyle w:val="Hyperlink"/>
          </w:rPr>
          <w:t>2012</w:t>
        </w:r>
      </w:hyperlink>
      <w:r>
        <w:t xml:space="preserve">; Loflen et al. </w:t>
      </w:r>
      <w:hyperlink w:anchor="ref-Loflen16">
        <w:r>
          <w:rPr>
            <w:rStyle w:val="Hyperlink"/>
          </w:rPr>
          <w:t>2016</w:t>
        </w:r>
      </w:hyperlink>
      <w:r>
        <w:t xml:space="preserve">), whereas upstream preventative measures have been incentivized or enforced through regulation. Although these approaches can lead to improvements in ecological condition, there is no universal remedy for achieving biological integrity in streams. Restoring streams in urban or agricultural settings can be costly and it may be unreasonable to set regional reference conditions as a restoration target (Kenney et al. </w:t>
      </w:r>
      <w:hyperlink w:anchor="ref-Kenney12">
        <w:r>
          <w:rPr>
            <w:rStyle w:val="Hyperlink"/>
          </w:rPr>
          <w:t>2012</w:t>
        </w:r>
      </w:hyperlink>
      <w:r>
        <w:t xml:space="preserve">; Shoredits and Clayton </w:t>
      </w:r>
      <w:hyperlink w:anchor="ref-Shoredits13">
        <w:r>
          <w:rPr>
            <w:rStyle w:val="Hyperlink"/>
          </w:rPr>
          <w:t>2013</w:t>
        </w:r>
      </w:hyperlink>
      <w:r>
        <w:t>).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modified as a concrete-lined channel and recreational uses that apply nationally are suspended under high flow conditions (C</w:t>
      </w:r>
      <w:r w:rsidR="00223F93">
        <w:t>W</w:t>
      </w:r>
      <w:r w:rsidR="00B03DFE">
        <w:t>Q</w:t>
      </w:r>
      <w:r w:rsidR="00223F93">
        <w:t xml:space="preserve">B </w:t>
      </w:r>
      <w:hyperlink w:anchor="ref-CRWQCB14">
        <w:r>
          <w:rPr>
            <w:rStyle w:val="Hyperlink"/>
          </w:rPr>
          <w:t>2014</w:t>
        </w:r>
      </w:hyperlink>
      <w:r>
        <w:t>). Other states have recommended a tiered aquatic life use or alternative use designations to account for baseline shifts in ecosystem condition from environmental modification (F</w:t>
      </w:r>
      <w:r w:rsidR="00223F93">
        <w:t xml:space="preserve">DEP </w:t>
      </w:r>
      <w:hyperlink w:anchor="ref-FLDEP11">
        <w:r>
          <w:rPr>
            <w:rStyle w:val="Hyperlink"/>
          </w:rPr>
          <w:t>2011</w:t>
        </w:r>
      </w:hyperlink>
      <w:r>
        <w:t xml:space="preserve">; USEPA </w:t>
      </w:r>
      <w:hyperlink w:anchor="ref-USEPA13">
        <w:r>
          <w:rPr>
            <w:rStyle w:val="Hyperlink"/>
          </w:rPr>
          <w:t>2013</w:t>
        </w:r>
      </w:hyperlink>
      <w:r>
        <w:t xml:space="preserve">; MBI </w:t>
      </w:r>
      <w:hyperlink w:anchor="ref-MBI16">
        <w:r>
          <w:rPr>
            <w:rStyle w:val="Hyperlink"/>
          </w:rPr>
          <w:t>2016</w:t>
        </w:r>
      </w:hyperlink>
      <w:r>
        <w:t>).</w:t>
      </w:r>
    </w:p>
    <w:p w:rsidR="00DC1131" w:rsidRDefault="00CB7AEE">
      <w:pPr>
        <w:pStyle w:val="BodyText"/>
      </w:pPr>
      <w:r>
        <w:lastRenderedPageBreak/>
        <w:t xml:space="preserve">Developing an expectation of biological condition as a function of historic and unmitigated alteration of the landscape could help prioritize where management actions are most likely to achieve intended outcomes, or conversely, where landscape alteration could limit management success in achieving biological integrity. Understanding limits to biological potential is a fundamental concept in bioassessment that has recieved some attention. Methods for factor-ceiling analysis have been explored in a bioassessment context to characterize environmental factors that limit assemblage composition (Chessman, Muschal, and Royal </w:t>
      </w:r>
      <w:hyperlink w:anchor="ref-Chessman08">
        <w:r>
          <w:rPr>
            <w:rStyle w:val="Hyperlink"/>
          </w:rPr>
          <w:t>2008</w:t>
        </w:r>
      </w:hyperlink>
      <w:r>
        <w:t xml:space="preserve">; Chessman </w:t>
      </w:r>
      <w:hyperlink w:anchor="ref-Chessman14">
        <w:r>
          <w:rPr>
            <w:rStyle w:val="Hyperlink"/>
          </w:rPr>
          <w:t>2014</w:t>
        </w:r>
      </w:hyperlink>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 (Waite </w:t>
      </w:r>
      <w:hyperlink w:anchor="ref-Waite13">
        <w:r>
          <w:rPr>
            <w:rStyle w:val="Hyperlink"/>
          </w:rPr>
          <w:t>2013</w:t>
        </w:r>
      </w:hyperlink>
      <w:r>
        <w:t xml:space="preserve">; Waite et al. </w:t>
      </w:r>
      <w:hyperlink w:anchor="ref-Waite14">
        <w:r>
          <w:rPr>
            <w:rStyle w:val="Hyperlink"/>
          </w:rPr>
          <w:t>2014</w:t>
        </w:r>
      </w:hyperlink>
      <w:r>
        <w:t>). Applying these concepts in a predictive framework could facilitate an expectation of bioassessment and management potential relative to a site-specific context.</w:t>
      </w:r>
    </w:p>
    <w:p w:rsidR="00DC1131" w:rsidRDefault="00CB7AEE">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 (Vølstad et al. </w:t>
      </w:r>
      <w:hyperlink w:anchor="ref-Volstad04">
        <w:r>
          <w:rPr>
            <w:rStyle w:val="Hyperlink"/>
          </w:rPr>
          <w:t>2004</w:t>
        </w:r>
      </w:hyperlink>
      <w:r>
        <w:t xml:space="preserve">; Carlisle, Falcone, and Meador </w:t>
      </w:r>
      <w:hyperlink w:anchor="ref-Carlisle09">
        <w:r>
          <w:rPr>
            <w:rStyle w:val="Hyperlink"/>
          </w:rPr>
          <w:t>2009</w:t>
        </w:r>
      </w:hyperlink>
      <w:r>
        <w:t xml:space="preserve">; Brown et al. </w:t>
      </w:r>
      <w:hyperlink w:anchor="ref-Brown12">
        <w:r>
          <w:rPr>
            <w:rStyle w:val="Hyperlink"/>
          </w:rPr>
          <w:t>2012</w:t>
        </w:r>
      </w:hyperlink>
      <w:r>
        <w:t xml:space="preserve">; Hill et al. </w:t>
      </w:r>
      <w:hyperlink w:anchor="ref-Hill17">
        <w:r>
          <w:rPr>
            <w:rStyle w:val="Hyperlink"/>
          </w:rPr>
          <w:t>2017</w:t>
        </w:r>
      </w:hyperlink>
      <w:r>
        <w:t xml:space="preserve">), with the general purpose of characterizing condition at unsampled locations. Macroinvertebrate communities can respond predictably to landscape alteration (Sponseller, Benfield, and Valett </w:t>
      </w:r>
      <w:hyperlink w:anchor="ref-Sponseller01">
        <w:r>
          <w:rPr>
            <w:rStyle w:val="Hyperlink"/>
          </w:rPr>
          <w:t>2001</w:t>
        </w:r>
      </w:hyperlink>
      <w:r>
        <w:t xml:space="preserve">; Waite </w:t>
      </w:r>
      <w:hyperlink w:anchor="ref-Waite13">
        <w:r>
          <w:rPr>
            <w:rStyle w:val="Hyperlink"/>
          </w:rPr>
          <w:t>2013</w:t>
        </w:r>
      </w:hyperlink>
      <w:r>
        <w:t>) and association of biological condition with landscape metrics that describe these changes could be used to predict a range of expectations for biotic integrity as related to observed watershed development.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rsidR="00DC1131" w:rsidRDefault="00CB7AEE">
      <w:pPr>
        <w:pStyle w:val="BodyText"/>
      </w:pPr>
      <w:r>
        <w:t>The goal of this study is to present the development of a landscape model to classify and prioritize stream monitoring sites and demonstrate its application to estimate the potential of achieving biological integrity in California streams relative to unmitigated landscape alteration. This model is presented as a screening tool for exploring different priorities and is not intended for developing regulatory designations nor determining if a site can attain designated uses. The specific objectives were to 1) demonstrate development of a landscape model to predict expected ranges of biotic condition, 2) classify stream segments into biological constraint categories using modelling expectations, 3) assess the extent of stream classes and explore the sensitivity of the classifications to decision points in the model output, and 4) prioritize potential management decisions by comparing expectations to observed bioassessment scores. The model was developed and applied to all streams and rivers in California, specifically focusing on the potential of urban and agricultural land use to impact biological condition. We include a case study that demonstrates how the statewide model can be used to classify and prioritize in a regional context using guidance from a local stakeholder group from a heavily urbanized watershed where obstacles for achieving biological integrity have been encountered. An interactive software tool, the Stream Classification and Priority Explorer (SCAPE), is also described that was developed to help choose management priorities using the landscape model.</w:t>
      </w:r>
    </w:p>
    <w:p w:rsidR="00DC1131" w:rsidRDefault="00CB7AEE">
      <w:pPr>
        <w:pStyle w:val="Heading1"/>
      </w:pPr>
      <w:bookmarkStart w:id="2" w:name="methods"/>
      <w:r>
        <w:lastRenderedPageBreak/>
        <w:t>Methods</w:t>
      </w:r>
      <w:bookmarkEnd w:id="2"/>
    </w:p>
    <w:p w:rsidR="00DC1131" w:rsidRDefault="00CB7AEE">
      <w:pPr>
        <w:pStyle w:val="Heading2"/>
      </w:pPr>
      <w:bookmarkStart w:id="3" w:name="study-area-and-data-sources"/>
      <w:r>
        <w:t>Study area and data sources</w:t>
      </w:r>
      <w:bookmarkEnd w:id="3"/>
    </w:p>
    <w:p w:rsidR="00DC1131" w:rsidRDefault="00CB7AEE">
      <w:pPr>
        <w:pStyle w:val="FirstParagraph"/>
      </w:pPr>
      <w:r>
        <w:t>The landscape model was developed for California using land use data, stream hydrography, and biological assessments. California covers 424,000 km</w:t>
      </w:r>
      <w:r w:rsidR="00DF6997" w:rsidRPr="00DF6997">
        <w:rPr>
          <w:vertAlign w:val="superscript"/>
        </w:rPr>
        <w:t>2</w:t>
      </w:r>
      <w:r>
        <w:t xml:space="preserve"> of land with extreme variation in altitude, geology, and climate (Figure 1, left). Temperate rainforests occur in the north, deserts and plateaus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 (Howard and Revenga </w:t>
      </w:r>
      <w:hyperlink w:anchor="ref-Howard09">
        <w:r>
          <w:rPr>
            <w:rStyle w:val="Hyperlink"/>
          </w:rPr>
          <w:t>2000</w:t>
        </w:r>
      </w:hyperlink>
      <w:r>
        <w:t xml:space="preserve">; Howard et al. </w:t>
      </w:r>
      <w:hyperlink w:anchor="ref-Howard15">
        <w:r>
          <w:rPr>
            <w:rStyle w:val="Hyperlink"/>
          </w:rPr>
          <w:t>2015</w:t>
        </w:r>
      </w:hyperlink>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Landscape alteration has been relatively recent, with one estimate showing that developed lands have increased in California by 38% from 1973 to 2000 (Sleeter et al. </w:t>
      </w:r>
      <w:hyperlink w:anchor="ref-Sleeter11">
        <w:r>
          <w:rPr>
            <w:rStyle w:val="Hyperlink"/>
          </w:rPr>
          <w:t>2011</w:t>
        </w:r>
      </w:hyperlink>
      <w:r>
        <w:t>). Development prior to the late-1990s occurred before requirements in stormwater controls were implemented in California.</w:t>
      </w:r>
    </w:p>
    <w:p w:rsidR="00DC1131" w:rsidRDefault="00CB7AEE">
      <w:pPr>
        <w:pStyle w:val="BodyText"/>
      </w:pPr>
      <w:r>
        <w:t xml:space="preserve">Stream data from the National Hydrography Dataset Plus (NHD-plus) (McKay et al. </w:t>
      </w:r>
      <w:hyperlink w:anchor="ref-McKay12">
        <w:r>
          <w:rPr>
            <w:rStyle w:val="Hyperlink"/>
          </w:rPr>
          <w:t>2012</w:t>
        </w:r>
      </w:hyperlink>
      <w:r>
        <w:t xml:space="preserve">) 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 “segment” is defined in the context of NHD-Plus flowlines and is not necessarily a strictly defined hydro-geomorphological feature. Hydrography data were combined with landscape metrics available from the StreamCat Dataset (Hill et al. </w:t>
      </w:r>
      <w:hyperlink w:anchor="ref-Hill16">
        <w:r>
          <w:rPr>
            <w:rStyle w:val="Hyperlink"/>
          </w:rPr>
          <w:t>2016</w:t>
        </w:r>
      </w:hyperlink>
      <w:r>
        <w:t xml:space="preserve">) to estimate land use at the catchment (i.e., nearby landscape flowing directly into a stream segment) and the entire upstream watershed for each segment. Many of the metrics in StreamCat were derived from the 2006 National Land Cover Database (Fry et al. </w:t>
      </w:r>
      <w:hyperlink w:anchor="ref-Fry11">
        <w:r>
          <w:rPr>
            <w:rStyle w:val="Hyperlink"/>
          </w:rPr>
          <w:t>2011</w:t>
        </w:r>
      </w:hyperlink>
      <w:r>
        <w:t>).</w:t>
      </w:r>
    </w:p>
    <w:p w:rsidR="00DC1131" w:rsidRDefault="00CB7AEE">
      <w:pPr>
        <w:pStyle w:val="BodyText"/>
      </w:pPr>
      <w:r>
        <w:t xml:space="preserve">The California Stream Condition Index (CSCI) (Mazor et al. </w:t>
      </w:r>
      <w:hyperlink w:anchor="ref-Mazor16">
        <w:r>
          <w:rPr>
            <w:rStyle w:val="Hyperlink"/>
          </w:rPr>
          <w:t>2016</w:t>
        </w:r>
      </w:hyperlink>
      <w:r>
        <w:t xml:space="preserve">) was used as a measure of biological condition in California streams. The CSCI is a predictive index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 (Moss et al. </w:t>
      </w:r>
      <w:hyperlink w:anchor="ref-Moss87">
        <w:r>
          <w:rPr>
            <w:rStyle w:val="Hyperlink"/>
          </w:rPr>
          <w:t>1987</w:t>
        </w:r>
      </w:hyperlink>
      <w:r>
        <w:t xml:space="preserve">; Cao et al. </w:t>
      </w:r>
      <w:hyperlink w:anchor="ref-Cao07">
        <w:r>
          <w:rPr>
            <w:rStyle w:val="Hyperlink"/>
          </w:rPr>
          <w:t>2007</w:t>
        </w:r>
      </w:hyperlink>
      <w:r>
        <w:t xml:space="preserve">). The index score at a site can vary from 0 to ~ 1.4, with higher values indicating less deviation from reference state. Because the index was developed to minimize the influence of natural gradients, the index scores have consistent meaning across the state (Mazor et al. </w:t>
      </w:r>
      <w:hyperlink w:anchor="ref-Mazor16">
        <w:r>
          <w:rPr>
            <w:rStyle w:val="Hyperlink"/>
          </w:rPr>
          <w:t>2016</w:t>
        </w:r>
      </w:hyperlink>
      <w:r>
        <w:t>). A CSCI threshold of 0.79, based on the tenth percentile of scores at all reference calibration sites, has been used to identify stream degradation by state regulatory agencies (</w:t>
      </w:r>
      <w:r w:rsidR="00B03DFE">
        <w:t>SDWQB</w:t>
      </w:r>
      <w:r>
        <w:t xml:space="preserve"> </w:t>
      </w:r>
      <w:hyperlink w:anchor="ref-SDWB16">
        <w:r>
          <w:rPr>
            <w:rStyle w:val="Hyperlink"/>
          </w:rPr>
          <w:t>2016</w:t>
        </w:r>
      </w:hyperlink>
      <w:r>
        <w:t>). Benthic macroinvertebrate data were used to calculate 6270 individual CSCI scores at nearly 3400 unique sites between 2000 and 2016 (Figure 1, right). Field data were collected during base flow conditions typically between May and July following methods in Ode et al. (</w:t>
      </w:r>
      <w:hyperlink w:anchor="ref-Ode16">
        <w:r>
          <w:rPr>
            <w:rStyle w:val="Hyperlink"/>
          </w:rPr>
          <w:t>2016</w:t>
        </w:r>
      </w:hyperlink>
      <w:r>
        <w:t>).</w:t>
      </w:r>
    </w:p>
    <w:p w:rsidR="00DC1131" w:rsidRDefault="00CB7AEE">
      <w:pPr>
        <w:pStyle w:val="Heading2"/>
      </w:pPr>
      <w:bookmarkStart w:id="4" w:name="building-and-validating-the-landscape-mo"/>
      <w:r>
        <w:lastRenderedPageBreak/>
        <w:t>Building and validating the landscape model</w:t>
      </w:r>
      <w:bookmarkEnd w:id="4"/>
    </w:p>
    <w:p w:rsidR="00DC1131" w:rsidRDefault="00CB7AEE">
      <w:pPr>
        <w:pStyle w:val="FirstParagraph"/>
      </w:pPr>
      <w:r>
        <w:t xml:space="preserve">A prediction model was developed to estimate likely ranges of CSCI scores associated with urban and agricultural land use gradients, collectively defined as altered and developed landscapes. Measures of land use development were quantified for riparian, catchment, and watershed areas of each stream segment in California using the StreamCat dataset (Hill et al. </w:t>
      </w:r>
      <w:hyperlink w:anchor="ref-Hill16">
        <w:r>
          <w:rPr>
            <w:rStyle w:val="Hyperlink"/>
          </w:rPr>
          <w:t>2016</w:t>
        </w:r>
      </w:hyperlink>
      <w:r>
        <w:t>). CSCI scores were modelled using estimates of canal/ditch density, imperviousness, road density/crossings, and urban and agricultural land use for each stream segment (Table S1). These variables were chosen specifically to model scores only in relation to potential impacts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effects for the chosen variables were also not explicitly evaluated. Within these limits, we considered deviation of observed scores from model predictions to be diagnostic of human activity not related to anthropogenic stressors that can be measured on the landscape, in addition to potential model error. Methods for evaluating predictive performance of the model is described below.</w:t>
      </w:r>
    </w:p>
    <w:p w:rsidR="00DC1131" w:rsidRDefault="00CB7AEE">
      <w:pPr>
        <w:pStyle w:val="BodyText"/>
      </w:pPr>
      <w:r>
        <w:t xml:space="preserve">The model was developed using quantile regression forests to estimate ranges of likely CSCI scores in different landscapes (Meinshausen </w:t>
      </w:r>
      <w:hyperlink w:anchor="ref-Meinshausen06">
        <w:r>
          <w:rPr>
            <w:rStyle w:val="Hyperlink"/>
          </w:rPr>
          <w:t>2006</w:t>
        </w:r>
      </w:hyperlink>
      <w:r>
        <w:t xml:space="preserve">, </w:t>
      </w:r>
      <w:hyperlink w:anchor="ref-Meinshausen17">
        <w:r>
          <w:rPr>
            <w:rStyle w:val="Hyperlink"/>
          </w:rPr>
          <w:t>2017</w:t>
        </w:r>
      </w:hyperlink>
      <w:r>
        <w:t xml:space="preserve">). Random forests are an ensemble learning approach to predictive modelling that aggregates information from a large number of regression trees and have been used extensively in bioassessment applications (Carlisle, Falcone, and Meador </w:t>
      </w:r>
      <w:hyperlink w:anchor="ref-Carlisle09">
        <w:r>
          <w:rPr>
            <w:rStyle w:val="Hyperlink"/>
          </w:rPr>
          <w:t>2009</w:t>
        </w:r>
      </w:hyperlink>
      <w:r>
        <w:t xml:space="preserve">; Chen et al. </w:t>
      </w:r>
      <w:hyperlink w:anchor="ref-Chen14">
        <w:r>
          <w:rPr>
            <w:rStyle w:val="Hyperlink"/>
          </w:rPr>
          <w:t>2014</w:t>
        </w:r>
      </w:hyperlink>
      <w:r>
        <w:t xml:space="preserve">; Mazor et al. </w:t>
      </w:r>
      <w:hyperlink w:anchor="ref-Mazor16">
        <w:r>
          <w:rPr>
            <w:rStyle w:val="Hyperlink"/>
          </w:rPr>
          <w:t>2016</w:t>
        </w:r>
      </w:hyperlink>
      <w:r>
        <w:t xml:space="preserve">; Fox et al. </w:t>
      </w:r>
      <w:hyperlink w:anchor="ref-Fox17">
        <w:r>
          <w:rPr>
            <w:rStyle w:val="Hyperlink"/>
          </w:rPr>
          <w:t>2017</w:t>
        </w:r>
      </w:hyperlink>
      <w:r>
        <w:t xml:space="preserve">). Random forest models provide robust predictions by evaluating complex, non-linear relationships and interactions between variables relative to more commonly-used modelling approaches (Breiman </w:t>
      </w:r>
      <w:hyperlink w:anchor="ref-Breiman01">
        <w:r>
          <w:rPr>
            <w:rStyle w:val="Hyperlink"/>
          </w:rPr>
          <w:t>2001</w:t>
        </w:r>
      </w:hyperlink>
      <w:r>
        <w:t xml:space="preserve">; Hastie, Tibshirani, and Friedman </w:t>
      </w:r>
      <w:hyperlink w:anchor="ref-Hastie09">
        <w:r>
          <w:rPr>
            <w:rStyle w:val="Hyperlink"/>
          </w:rPr>
          <w:t>2009</w:t>
        </w:r>
      </w:hyperlink>
      <w:r>
        <w:t xml:space="preserve">). Quantile models, such as quantile regression forests, evaluate the conditional response across the range of values that are expected, in contrast to conventional models that provide only an estimate of the mean response (Cade and Noon </w:t>
      </w:r>
      <w:hyperlink w:anchor="ref-Cade03">
        <w:r>
          <w:rPr>
            <w:rStyle w:val="Hyperlink"/>
          </w:rPr>
          <w:t>2003</w:t>
        </w:r>
      </w:hyperlink>
      <w:r>
        <w:t>). This modelling approach allows use of predictions to describe where bioassessment targets are unlikely to be met or conversely where streams are unlikely to be impacted by placing bounds on the range of expectations relative to unmitigated landscape alteration. Quantile regression forests were used to predict CSCI scores in each stream segment at five percent intervals (i.e., 5th, 10th, etc.) from the 5th to 95th percentile of expectations.</w:t>
      </w:r>
    </w:p>
    <w:p w:rsidR="00DC1131" w:rsidRDefault="00CB7AEE">
      <w:pPr>
        <w:pStyle w:val="BodyText"/>
      </w:pPr>
      <w:r>
        <w:t xml:space="preserve">We stratified sample data to ensure sufficient representation of landscape gradients in each ecoregion and across percentiles of catchment imperviousness (Figure 1).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w:t>
      </w:r>
      <w:r>
        <w:lastRenderedPageBreak/>
        <w:t>landscape model and potential for bias which may vary depending on different land use gradients across the state.</w:t>
      </w:r>
    </w:p>
    <w:p w:rsidR="00DC1131" w:rsidRDefault="00CB7AEE">
      <w:pPr>
        <w:pStyle w:val="Heading2"/>
      </w:pPr>
      <w:bookmarkStart w:id="5" w:name="statewide-application-of-the-landscape-m"/>
      <w:r>
        <w:t>Statewide application of the landscape model</w:t>
      </w:r>
      <w:bookmarkEnd w:id="5"/>
    </w:p>
    <w:p w:rsidR="00DC1131" w:rsidRDefault="00CB7AEE">
      <w:pPr>
        <w:pStyle w:val="FirstParagraph"/>
      </w:pPr>
      <w:r>
        <w:t>We applied the landscape model statewide and in major regions of California to estimate the extent of streams in different constraint classes. Here and throughout, constrained is defined as a biological community that is impacted by large-scale, historic, and unmitigated alteration of the landscape. Consequently, achieving biological integrity in constrained communities may present management challenges given that many stressors in altered landscapes originate at spatial or temporal scales that are typically beyond the scope of most management applications or where resources for mitigation may be prohibitive. Using the model results, each stream segment was assigned to one of four classes, ordered by increasing constraints (Table 1):</w:t>
      </w:r>
    </w:p>
    <w:p w:rsidR="00DC1131" w:rsidRDefault="00CB7AEE">
      <w:pPr>
        <w:pStyle w:val="Compact"/>
        <w:numPr>
          <w:ilvl w:val="0"/>
          <w:numId w:val="15"/>
        </w:numPr>
      </w:pPr>
      <w:r>
        <w:t>Likely unconstrained</w:t>
      </w:r>
    </w:p>
    <w:p w:rsidR="00DC1131" w:rsidRDefault="00CB7AEE">
      <w:pPr>
        <w:pStyle w:val="Compact"/>
        <w:numPr>
          <w:ilvl w:val="0"/>
          <w:numId w:val="15"/>
        </w:numPr>
      </w:pPr>
      <w:r>
        <w:t>Possibly unconstrained</w:t>
      </w:r>
    </w:p>
    <w:p w:rsidR="00DC1131" w:rsidRDefault="00CB7AEE">
      <w:pPr>
        <w:pStyle w:val="Compact"/>
        <w:numPr>
          <w:ilvl w:val="0"/>
          <w:numId w:val="15"/>
        </w:numPr>
      </w:pPr>
      <w:r>
        <w:t>Possibly constrained</w:t>
      </w:r>
    </w:p>
    <w:p w:rsidR="00DC1131" w:rsidRDefault="00CB7AEE">
      <w:pPr>
        <w:pStyle w:val="Compact"/>
        <w:numPr>
          <w:ilvl w:val="0"/>
          <w:numId w:val="15"/>
        </w:numPr>
      </w:pPr>
      <w:r>
        <w:t>Likely constrained</w:t>
      </w:r>
    </w:p>
    <w:p w:rsidR="00DC1131" w:rsidRDefault="00CB7AEE">
      <w:pPr>
        <w:pStyle w:val="FirstParagraph"/>
      </w:pPr>
      <w:r>
        <w:t>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rsidR="00DC1131" w:rsidRDefault="00CB7AEE">
      <w:pPr>
        <w:pStyle w:val="Compact"/>
        <w:numPr>
          <w:ilvl w:val="0"/>
          <w:numId w:val="16"/>
        </w:numPr>
      </w:pPr>
      <w:r>
        <w:t>The selected range of CSCI expectations at a segment from the model(Figure 2a,b), chosen as the 10th to 90th percentile of model predictions.</w:t>
      </w:r>
    </w:p>
    <w:p w:rsidR="00DC1131" w:rsidRDefault="00CB7AEE">
      <w:pPr>
        <w:pStyle w:val="Compact"/>
        <w:numPr>
          <w:ilvl w:val="0"/>
          <w:numId w:val="16"/>
        </w:numPr>
      </w:pPr>
      <w:r>
        <w:t xml:space="preserve">The CSCI threshold used for comparison with the modelled expectations (Figure 2c), chosen as 0.79 following previous examples (Mazor et al. </w:t>
      </w:r>
      <w:hyperlink w:anchor="ref-Mazor16">
        <w:r>
          <w:rPr>
            <w:rStyle w:val="Hyperlink"/>
          </w:rPr>
          <w:t>2016</w:t>
        </w:r>
      </w:hyperlink>
      <w:r>
        <w:t xml:space="preserve">; </w:t>
      </w:r>
      <w:r w:rsidR="00B03DFE">
        <w:t>SDWQB</w:t>
      </w:r>
      <w:r>
        <w:t xml:space="preserve"> </w:t>
      </w:r>
      <w:hyperlink w:anchor="ref-SDWB16">
        <w:r>
          <w:rPr>
            <w:rStyle w:val="Hyperlink"/>
          </w:rPr>
          <w:t>2016</w:t>
        </w:r>
      </w:hyperlink>
      <w:r>
        <w:t>).</w:t>
      </w:r>
    </w:p>
    <w:p w:rsidR="00DC1131" w:rsidRDefault="00CB7AEE">
      <w:pPr>
        <w:pStyle w:val="FirstParagraph"/>
      </w:pPr>
      <w:r>
        <w:t>Stream segments with the range of CSCI score expectations entirely below the threshold were considered likely constrained, whereas those with expectations entirely above were considered likely unconstrained (Figure 2c). Segments with score expectations that overlapped the CSCI threshold were considered possibly constrained or possibly unconstrained, where distinction between the two was based on location of the median expectation of a segment relative to the threshold (Table 1).</w:t>
      </w:r>
    </w:p>
    <w:p w:rsidR="00DC1131" w:rsidRDefault="00CB7AEE">
      <w:pPr>
        <w:pStyle w:val="BodyText"/>
      </w:pPr>
      <w:r>
        <w:t>CSCI scores from biomonitoring data were then compared to the stream segment classification to identify a “relative site score” (Figure 2d). This comparison is a fundamental product of the landscape model that can be used to evaluate if a site is scoring above, below, or within the range of scores that are expected given the observed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 “over-scoring” and sites below the lower limit (e.g., 10th percentile) were considered “under-scoring”. If neither “over-scoring” nor “under-scoring”, the relative site score was considered as “expected” within the context of the landscape model.</w:t>
      </w:r>
    </w:p>
    <w:p w:rsidR="00DC1131" w:rsidRDefault="00CB7AEE">
      <w:pPr>
        <w:pStyle w:val="Heading2"/>
      </w:pPr>
      <w:bookmarkStart w:id="6" w:name="landscape-factors-associated-with-constr"/>
      <w:r>
        <w:lastRenderedPageBreak/>
        <w:t>Landscape factors associated with constraints</w:t>
      </w:r>
      <w:bookmarkEnd w:id="6"/>
    </w:p>
    <w:p w:rsidR="00DC1131" w:rsidRDefault="00CB7AEE">
      <w:pPr>
        <w:pStyle w:val="FirstParagraph"/>
      </w:pPr>
      <w:r>
        <w:t xml:space="preserve">Factors explaining variation between constrained and unconstrained stream segments were evaluated for the major regions in California (Figure 1). Only a select subset of variables in StreamCat were used to develop the landscape model, with the purpose of describing long-term and broad scale impacts on biointegrity from landscape alteration. Additional measures in StreamCat were evaluated to provide insight into alternative factors within each region that were associated with constraints on stream integrity. The full suite of landscape and geological variables in StreamCat at the riparian and watershed scale were used to model variation among segment classes using random forest models (Breiman </w:t>
      </w:r>
      <w:hyperlink w:anchor="ref-Breiman01">
        <w:r>
          <w:rPr>
            <w:rStyle w:val="Hyperlink"/>
          </w:rPr>
          <w:t>2001</w:t>
        </w:r>
      </w:hyperlink>
      <w:r>
        <w:t>).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was critical for developing management priorities described below.</w:t>
      </w:r>
    </w:p>
    <w:p w:rsidR="00DC1131" w:rsidRDefault="00CB7AEE">
      <w:pPr>
        <w:pStyle w:val="Heading2"/>
      </w:pPr>
      <w:bookmarkStart w:id="7" w:name="sensitivity-analysis-of-segment-classifi"/>
      <w:r>
        <w:t>Sensitivity analysis of segment classifications</w:t>
      </w:r>
      <w:bookmarkEnd w:id="7"/>
    </w:p>
    <w:p w:rsidR="00DC1131" w:rsidRDefault="00CB7AEE">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 2b) and the CSCI threshold for evaluating the overlap extent (Figure 2c).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 1, right) (Mazor et al. </w:t>
      </w:r>
      <w:hyperlink w:anchor="ref-Mazor16">
        <w:r>
          <w:rPr>
            <w:rStyle w:val="Hyperlink"/>
          </w:rPr>
          <w:t>2016</w:t>
        </w:r>
      </w:hyperlink>
      <w:r>
        <w:t>). The percentage of stream segments in each class statewide and by major regions were estimated for each of the twenty-four scenarios (width by threshold combinations) to evaluate sensitivity to changes in the decision points.</w:t>
      </w:r>
    </w:p>
    <w:p w:rsidR="00DC1131" w:rsidRDefault="00CB7AEE">
      <w:pPr>
        <w:pStyle w:val="Heading2"/>
      </w:pPr>
      <w:bookmarkStart w:id="8" w:name="defining-management-priorities-in-the-sa"/>
      <w:r>
        <w:t>Defining management priorities in the San Gabriel River watershed</w:t>
      </w:r>
      <w:bookmarkEnd w:id="8"/>
    </w:p>
    <w:p w:rsidR="00DC1131" w:rsidRDefault="00CB7AEE">
      <w:pPr>
        <w:pStyle w:val="FirstParagraph"/>
      </w:pPr>
      <w:r>
        <w:t>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rsidR="00DC1131" w:rsidRDefault="00CB7AEE">
      <w:pPr>
        <w:pStyle w:val="BodyText"/>
      </w:pPr>
      <w:r>
        <w:t xml:space="preserve">A strong land-use gradient occurs in the SGR watershed that creates challenges for managing stream condition (Figure 3a). The upper watershed in the San Gabriel mountains is primarily undeveloped or protected for recreational use, whereas the lower watershed is in a heavily urbanized region of Los Angeles County. The SGR is dammed at four locations in the upper watershed for flood control. Spreading grounds are present in the middle of the watershed for </w:t>
      </w:r>
      <w:r>
        <w:lastRenderedPageBreak/>
        <w:t>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rsidR="00DC1131" w:rsidRDefault="00CB7AEE">
      <w:pPr>
        <w:pStyle w:val="BodyText"/>
      </w:pPr>
      <w:r>
        <w:t>Pioritizing among the many sites that require some management intervention was a critical objective of the stakeholder group in applying the landscape model. Stakeholders identified their relevant priorities by evaluating the different site types that were possible from the landscape model relative to the stream classes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 S2). The priorities defined by the group were generalized into three categories:</w:t>
      </w:r>
    </w:p>
    <w:p w:rsidR="00DC1131" w:rsidRDefault="00CB7AEE">
      <w:pPr>
        <w:pStyle w:val="Compact"/>
        <w:numPr>
          <w:ilvl w:val="0"/>
          <w:numId w:val="17"/>
        </w:numPr>
      </w:pPr>
      <w:r>
        <w:t>Investigate: Suggest additional monitoring or review of supplementary data (e.g., field visits, review aerial imagery) to characterize why a site is scoring above or below an expectation, or above or below a biological objective given the expectation;</w:t>
      </w:r>
    </w:p>
    <w:p w:rsidR="00DC1131" w:rsidRDefault="00CB7AEE">
      <w:pPr>
        <w:pStyle w:val="Compact"/>
        <w:numPr>
          <w:ilvl w:val="0"/>
          <w:numId w:val="17"/>
        </w:numPr>
      </w:pPr>
      <w:r>
        <w:t>Protect: Require additional scrutiny of any proposed development and/or projects for sites that score above the expectation;</w:t>
      </w:r>
    </w:p>
    <w:p w:rsidR="00DC1131" w:rsidRDefault="00CB7AEE">
      <w:pPr>
        <w:pStyle w:val="Compact"/>
        <w:numPr>
          <w:ilvl w:val="0"/>
          <w:numId w:val="17"/>
        </w:numPr>
      </w:pPr>
      <w:r>
        <w:t>Restore: Pursue targeted action for causal assessment and/or restoration activity for sites that score below the expectation.</w:t>
      </w:r>
    </w:p>
    <w:p w:rsidR="00DC1131" w:rsidRDefault="00CB7AEE">
      <w:pPr>
        <w:pStyle w:val="FirstParagraph"/>
      </w:pPr>
      <w:r>
        <w:t>A template that showed the possible site scores relative to the segment classifications was given to the stakeholders (Figure S3, left side). The three priorities were then assigned a low, medium, or high importance for the scoring possibilities that could occur from the landscape model (Figure S3, right side). The assignments were made with the explicit recognition that any priority recommendations were in addition to baseline monitoring and maintenance that is currently provided by existing management programs (S</w:t>
      </w:r>
      <w:r w:rsidR="00AA5043">
        <w:t xml:space="preserve">WAMP </w:t>
      </w:r>
      <w:hyperlink w:anchor="ref-SWAMP17">
        <w:r>
          <w:rPr>
            <w:rStyle w:val="Hyperlink"/>
          </w:rPr>
          <w:t>2017</w:t>
        </w:r>
      </w:hyperlink>
      <w:r>
        <w:t>). The final assignments were then mapped to each monitoring site in the watershed. This allowed the stakeholders to view how different management actions in the watershed were prioritized based on the relative site score for each segment classification provided by the landscape model.</w:t>
      </w:r>
    </w:p>
    <w:p w:rsidR="00DC1131" w:rsidRDefault="00CB7AEE">
      <w:pPr>
        <w:pStyle w:val="BodyText"/>
      </w:pPr>
      <w:r>
        <w:t xml:space="preserve">The interactive and online Stream Classification and Priority Explorer (SCAPE) tool was created for the stakeholder group to facilitate the recommendation of management actions for each site type (Figure S1, </w:t>
      </w:r>
      <w:hyperlink r:id="rId17">
        <w:r>
          <w:rPr>
            <w:rStyle w:val="Hyperlink"/>
          </w:rPr>
          <w:t>http://shiny.sccwrp.org/scape/</w:t>
        </w:r>
      </w:hyperlink>
      <w:r>
        <w:t xml:space="preserve">)(Beck </w:t>
      </w:r>
      <w:hyperlink w:anchor="ref-Beck18c">
        <w:r>
          <w:rPr>
            <w:rStyle w:val="Hyperlink"/>
          </w:rPr>
          <w:t>2018</w:t>
        </w:r>
      </w:hyperlink>
      <w:r>
        <w:t>). This application provided maps of the extent and type of classifications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rsidR="00DC1131" w:rsidRDefault="00CB7AEE">
      <w:pPr>
        <w:pStyle w:val="Heading1"/>
      </w:pPr>
      <w:bookmarkStart w:id="9" w:name="results"/>
      <w:r>
        <w:lastRenderedPageBreak/>
        <w:t>Results</w:t>
      </w:r>
      <w:bookmarkEnd w:id="9"/>
    </w:p>
    <w:p w:rsidR="00DC1131" w:rsidRDefault="00CB7AEE">
      <w:pPr>
        <w:pStyle w:val="Heading2"/>
      </w:pPr>
      <w:bookmarkStart w:id="10" w:name="model-performance"/>
      <w:r>
        <w:t>Model performance</w:t>
      </w:r>
      <w:bookmarkEnd w:id="10"/>
    </w:p>
    <w:p w:rsidR="00DC1131" w:rsidRDefault="00CB7AEE">
      <w:pPr>
        <w:pStyle w:val="FirstParagraph"/>
      </w:pPr>
      <w:r>
        <w:t>The landscape model was used to predict an expected range of CSCI scores for 138716 stream segments in California (Figure 4, left).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 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rsidR="00DC1131" w:rsidRDefault="00CB7AEE">
      <w:pPr>
        <w:pStyle w:val="BodyText"/>
      </w:pPr>
      <w:r>
        <w:t>Overall, the model performed well in regions with a mix of urban, agricultural, and open land, such as the South Coast, whereas performance was weakest in regions without strong development gradients, such as the Sierra Nevada and North Coast regions (Table 2, Figure S2).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and North Coast regions, where timber harvesting, rather than urban or agricultural development, is the most widespread stressor.</w:t>
      </w:r>
    </w:p>
    <w:p w:rsidR="00DC1131" w:rsidRDefault="00CB7AEE">
      <w:pPr>
        <w:pStyle w:val="Heading2"/>
      </w:pPr>
      <w:bookmarkStart w:id="11" w:name="statewide-patterns"/>
      <w:r>
        <w:t>Statewide patterns</w:t>
      </w:r>
      <w:bookmarkEnd w:id="11"/>
    </w:p>
    <w:p w:rsidR="00DC1131" w:rsidRDefault="00CB7AEE">
      <w:pPr>
        <w:pStyle w:val="FirstParagraph"/>
      </w:pPr>
      <w:r>
        <w:t>Statewide patterns in stream constraints were apparent from the results of the landscape model that were consistent with land use (Figure 4, right). A majority of stream segments statewide were classified as possibly constrained (11% of all stream length) or possibly unconstrained (46%), whereas a minority were likely constrained (4%) or likely unconstrained (39%) (Table 3).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(Figure 4, right). Stream segments were more likely to be unconstrained in regions with less development, with areas in the North Coast and the Sierra Nevada region visible on the map.</w:t>
      </w:r>
    </w:p>
    <w:p w:rsidR="00DC1131" w:rsidRDefault="00CB7AEE">
      <w:pPr>
        <w:pStyle w:val="BodyText"/>
      </w:pPr>
      <w:r>
        <w:t xml:space="preserve">Relative CSCI scores compared to segment expectations were as expected for 80% of the sampled locations statewide, whereas a much smaller percentage of sites were equally under or </w:t>
      </w:r>
      <w:r>
        <w:lastRenderedPageBreak/>
        <w:t>over scoring (Table 4). Similar patterns were observed within regions, although a slightly larger percentage of sites in the Central Valley were under scoring compared to the other regions.</w:t>
      </w:r>
    </w:p>
    <w:p w:rsidR="00DC1131" w:rsidRDefault="00CB7AEE">
      <w:pPr>
        <w:pStyle w:val="Heading2"/>
      </w:pPr>
      <w:bookmarkStart w:id="12" w:name="associated-drivers-of-biological-constra"/>
      <w:r>
        <w:t>Associated drivers of biological constraints and sensitivity analysis</w:t>
      </w:r>
      <w:bookmarkEnd w:id="12"/>
    </w:p>
    <w:p w:rsidR="00DC1131" w:rsidRDefault="00CB7AEE">
      <w:pPr>
        <w:pStyle w:val="FirstParagraph"/>
      </w:pPr>
      <w:r>
        <w:t>Importance measures from random forest models identified key variables that were associated with differences between constrained and unconstrained segments between each region (Figure S4, see Figure S5 for importance measures of the selected variables in Table S1 that were used to develop the statewide landscape model). Relative magnitudes of the importance measures between regions confirmed the estimates of model performance, such that regions where the model performed well (e.g., South Coast, Central Valley) had higher importance measures overall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rsidR="00DC1131" w:rsidRDefault="00CB7AEE">
      <w:pPr>
        <w:pStyle w:val="BodyText"/>
      </w:pPr>
      <w:r>
        <w:t>Sensitivity analyses underscored the potential impact of key decision points of the landscape model on estimates of the extent of streams in each class (Figure 7). Decreasing the certainty of predictions from the landscape model by choosing a narrower range of scores (5th-95th to 45th-55th) increased the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rsidR="00DC1131" w:rsidRDefault="00CB7AEE">
      <w:pPr>
        <w:pStyle w:val="Heading2"/>
      </w:pPr>
      <w:bookmarkStart w:id="13" w:name="san-gabriel-river-case-study"/>
      <w:r>
        <w:t>San Gabriel River Case study</w:t>
      </w:r>
      <w:bookmarkEnd w:id="13"/>
    </w:p>
    <w:p w:rsidR="00DC1131" w:rsidRDefault="00CB7AEE">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 3a). Application of the landscape model results to the CSCI scores provided a context of expectations consistent with the strong land use gradient in the watershed (Figure 5). Stream segments in the upper watershed were a mix of </w:t>
      </w:r>
      <w:r>
        <w:lastRenderedPageBreak/>
        <w:t>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 5b).</w:t>
      </w:r>
    </w:p>
    <w:p w:rsidR="00DC1131" w:rsidRDefault="00CB7AEE">
      <w:pPr>
        <w:pStyle w:val="BodyText"/>
      </w:pPr>
      <w:r>
        <w:t>Using a CSCI threshold based on the 10th percentile of reference calibration sites (i.e., 0.79, Mazor et al. (</w:t>
      </w:r>
      <w:hyperlink w:anchor="ref-Mazor16">
        <w:r>
          <w:rPr>
            <w:rStyle w:val="Hyperlink"/>
          </w:rPr>
          <w:t>2016</w:t>
        </w:r>
      </w:hyperlink>
      <w:r>
        <w:t>))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(Figure 6, top). One of the under-scoring sites in the likely unconstrained class was below the CSCI threshold (Figure 5). One site scoring as expected in the possibly unconstrained class was below the chosen CSCI threshold, whereas none of the constrained (possibly or likely) sites were above the threshold.</w:t>
      </w:r>
    </w:p>
    <w:p w:rsidR="00DC1131" w:rsidRDefault="00CB7AEE">
      <w:pPr>
        <w:pStyle w:val="BodyText"/>
      </w:pPr>
      <w:r>
        <w:t>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(Figure 6, bottom).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rsidR="00DC1131" w:rsidRDefault="00CB7AEE">
      <w:pPr>
        <w:pStyle w:val="Heading1"/>
      </w:pPr>
      <w:bookmarkStart w:id="14" w:name="discussion"/>
      <w:r>
        <w:t>Discussion</w:t>
      </w:r>
      <w:bookmarkEnd w:id="14"/>
    </w:p>
    <w:p w:rsidR="00DC1131" w:rsidRDefault="00CB7AEE">
      <w:pPr>
        <w:pStyle w:val="FirstParagraph"/>
      </w:pPr>
      <w:r>
        <w:t>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more likely to be achieved.</w:t>
      </w:r>
    </w:p>
    <w:p w:rsidR="00DC1131" w:rsidRDefault="00CB7AEE">
      <w:pPr>
        <w:pStyle w:val="BodyText"/>
      </w:pPr>
      <w:r>
        <w:t xml:space="preserve">Results from our analysis could be used for managing the biological integrity of streams under state or federal water quality mandates (e.g. “biological objectives” under the Clean Water Act). Regulatory management involves the protection of sites meeting biological objectives and the </w:t>
      </w:r>
      <w:r>
        <w:lastRenderedPageBreak/>
        <w:t>restoration of sites that do not meet biological objectives. The selection of appropriate regulatory management actions for streams requires the consideration of the physical and chemical condition of streams concurrent with biological monitoring results. The landscape model could be used to evaluate sites that are or are not meeting biological objectives relative to their modeled condition. This could be used to guide and provide flexibility in the selection of regulatory actions at specific sites or watershed scales (e.g., hydrologic subareas), and to further prioritize where and when actions should take place based on the time and spatial scale needed for protection or restoration actions. For example, for sites that meet biological objectives but where the models predict they can or should not (e.g., Figure S3, segment types 5, 9, 10, or 13), regulatory actions may be associated with protecting that condition and could be implemented in the short-term to prevent degradation. This flexibility is not to exclude sites from consideration that are less likely to achieve biological objectives, but rather to facilitate the decision-making process through a more transparent application of the model in a regulatory context.</w:t>
      </w:r>
    </w:p>
    <w:p w:rsidR="00DC1131" w:rsidRDefault="00CB7AEE">
      <w:pPr>
        <w:pStyle w:val="Heading2"/>
      </w:pPr>
      <w:bookmarkStart w:id="15" w:name="the-landscape-model-is-a-tool-for-explor"/>
      <w:r>
        <w:t>The landscape model is a tool for exploring options</w:t>
      </w:r>
      <w:bookmarkEnd w:id="15"/>
    </w:p>
    <w:p w:rsidR="00DC1131" w:rsidRDefault="00CB7AEE">
      <w:pPr>
        <w:pStyle w:val="FirstParagraph"/>
      </w:pPr>
      <w:r>
        <w:t>The primary objective of developing the landscape model was to provide a screening tool for exploring biological constraints to facilitate a discussion of management options relative to site contexts. This model by itself is not intended for direct application of regulatory designations at individual sites, nor is it fully adequate to assess whether a site can attain a particular use. Instead, the model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rsidR="00DC1131" w:rsidRDefault="00CB7AEE">
      <w:pPr>
        <w:pStyle w:val="BodyText"/>
      </w:pPr>
      <w:r>
        <w:t xml:space="preserve">The ability of the landscape model to predict the range of expected biological condition at a given site reflects an associative link between present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could facilitate the implementation of biological standards, although as indicated, the model is more appropriate in a supporting role for regulation rather than direct application. Landscape models could also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 (Howard et al. </w:t>
      </w:r>
      <w:hyperlink w:anchor="ref-Howard18">
        <w:r>
          <w:rPr>
            <w:rStyle w:val="Hyperlink"/>
          </w:rPr>
          <w:t>2018</w:t>
        </w:r>
      </w:hyperlink>
      <w:r>
        <w:t>). Results from the landscape model could be used to enhance this network by providing supporting information on constraints in an assessment framework.</w:t>
      </w:r>
    </w:p>
    <w:p w:rsidR="00DC1131" w:rsidRDefault="00CB7AEE">
      <w:pPr>
        <w:pStyle w:val="BodyText"/>
      </w:pPr>
      <w:r>
        <w:t>Several states have recommended alternative use designations for applying bioassessment criteria in modified channels (F</w:t>
      </w:r>
      <w:r w:rsidR="00223F93">
        <w:t xml:space="preserve">DEP </w:t>
      </w:r>
      <w:hyperlink w:anchor="ref-FLDEP11">
        <w:r>
          <w:rPr>
            <w:rStyle w:val="Hyperlink"/>
          </w:rPr>
          <w:t>2011</w:t>
        </w:r>
      </w:hyperlink>
      <w:r>
        <w:t xml:space="preserve">; USEPA </w:t>
      </w:r>
      <w:hyperlink w:anchor="ref-USEPA13">
        <w:r>
          <w:rPr>
            <w:rStyle w:val="Hyperlink"/>
          </w:rPr>
          <w:t>2013</w:t>
        </w:r>
      </w:hyperlink>
      <w:r>
        <w:t xml:space="preserve">; MBI </w:t>
      </w:r>
      <w:hyperlink w:anchor="ref-MBI16">
        <w:r>
          <w:rPr>
            <w:rStyle w:val="Hyperlink"/>
          </w:rPr>
          <w:t>2016</w:t>
        </w:r>
      </w:hyperlink>
      <w:r>
        <w:t xml:space="preserve">). Although our results generally support the link between impacted biology and channel modification, defining alternative standards and uses based solely on channel modification may be insufficient. </w:t>
      </w:r>
      <w:r>
        <w:lastRenderedPageBreak/>
        <w:t xml:space="preserve">Constrained channels in rural landscapes (e.g., the mainstem of the Klamath and Russian rivers in the North Coast region) were also identified by the model, as well as many streams in agricultural areas (e.g., Salinas River). In the context of the model, a constrained channel may or may not be engineered, but an engineered channel will typically be constrained given the surrounding land use. Modified channels may also be present in undeveloped landscapes and high bioassessment scores have been observed in armoured streams within national forest lands (Stein et al. </w:t>
      </w:r>
      <w:hyperlink w:anchor="ref-Stein13">
        <w:r>
          <w:rPr>
            <w:rStyle w:val="Hyperlink"/>
          </w:rPr>
          <w:t>2013</w:t>
        </w:r>
      </w:hyperlink>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 (May et al. </w:t>
      </w:r>
      <w:hyperlink w:anchor="ref-May15">
        <w:r>
          <w:rPr>
            <w:rStyle w:val="Hyperlink"/>
          </w:rPr>
          <w:t>2015</w:t>
        </w:r>
      </w:hyperlink>
      <w:r>
        <w:t>).</w:t>
      </w:r>
    </w:p>
    <w:p w:rsidR="00DC1131" w:rsidRDefault="00CB7AEE">
      <w:pPr>
        <w:pStyle w:val="BodyText"/>
      </w:pPr>
      <w:r>
        <w:t>The utility of landscape models in supporting watershed management has applications outside of California. Our use of national geospatial datasets (i.e., NHDPlus, McKay et al. (</w:t>
      </w:r>
      <w:hyperlink w:anchor="ref-McKay12">
        <w:r>
          <w:rPr>
            <w:rStyle w:val="Hyperlink"/>
          </w:rPr>
          <w:t>2012</w:t>
        </w:r>
      </w:hyperlink>
      <w:r>
        <w:t>); StreamCat, Hill et al. (</w:t>
      </w:r>
      <w:hyperlink w:anchor="ref-Hill16">
        <w:r>
          <w:rPr>
            <w:rStyle w:val="Hyperlink"/>
          </w:rPr>
          <w:t>2016</w:t>
        </w:r>
      </w:hyperlink>
      <w:r>
        <w:t>))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 Buss et al. (</w:t>
      </w:r>
      <w:hyperlink w:anchor="ref-Buss14">
        <w:r>
          <w:rPr>
            <w:rStyle w:val="Hyperlink"/>
          </w:rPr>
          <w:t>2014</w:t>
        </w:r>
      </w:hyperlink>
      <w:r>
        <w:t xml:space="preserve">)), O/E assessments (Moss et al. </w:t>
      </w:r>
      <w:hyperlink w:anchor="ref-Moss87">
        <w:r>
          <w:rPr>
            <w:rStyle w:val="Hyperlink"/>
          </w:rPr>
          <w:t>1987</w:t>
        </w:r>
      </w:hyperlink>
      <w:r>
        <w:t xml:space="preserve">), biological condition gradients (Davies and Jackson </w:t>
      </w:r>
      <w:hyperlink w:anchor="ref-Davies06">
        <w:r>
          <w:rPr>
            <w:rStyle w:val="Hyperlink"/>
          </w:rPr>
          <w:t>2006</w:t>
        </w:r>
      </w:hyperlink>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 (Hill et al. </w:t>
      </w:r>
      <w:hyperlink w:anchor="ref-Hill17">
        <w:r>
          <w:rPr>
            <w:rStyle w:val="Hyperlink"/>
          </w:rPr>
          <w:t>2017</w:t>
        </w:r>
      </w:hyperlink>
      <w:r>
        <w:t>).</w:t>
      </w:r>
    </w:p>
    <w:p w:rsidR="00DC1131" w:rsidRDefault="00CB7AEE">
      <w:pPr>
        <w:pStyle w:val="BodyText"/>
      </w:pPr>
      <w:r>
        <w:t>Extension of the landscape models beyond California should also consider landscape stressors that are predictive of biotic condition in other regions. For example, urban and agricultural gradients were sufficient to characterize constraints in many regions of California, whereas Hill et al. (</w:t>
      </w:r>
      <w:hyperlink w:anchor="ref-Hill17">
        <w:r>
          <w:rPr>
            <w:rStyle w:val="Hyperlink"/>
          </w:rPr>
          <w:t>2017</w:t>
        </w:r>
      </w:hyperlink>
      <w:r>
        <w:t>) found that the volume of water stored by dams was an important predictor of biological condition in the Northern Appalachian and Northern Plains regions of the US. In their paper, Hill et al. (</w:t>
      </w:r>
      <w:hyperlink w:anchor="ref-Hill17">
        <w:r>
          <w:rPr>
            <w:rStyle w:val="Hyperlink"/>
          </w:rPr>
          <w:t>2017</w:t>
        </w:r>
      </w:hyperlink>
      <w:r>
        <w:t>) 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rsidR="00DC1131" w:rsidRDefault="00CB7AEE">
      <w:pPr>
        <w:pStyle w:val="Heading1"/>
      </w:pPr>
      <w:bookmarkStart w:id="16" w:name="model-assumptions-and-limitations"/>
      <w:r>
        <w:t>Model assumptions and limitations</w:t>
      </w:r>
      <w:bookmarkEnd w:id="16"/>
    </w:p>
    <w:p w:rsidR="00DC1131" w:rsidRDefault="00CB7AEE">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w:t>
      </w:r>
      <w:r>
        <w:lastRenderedPageBreak/>
        <w:t xml:space="preserve">adequately capture these impacts outside of urban and agricultural environments. Moreover, poor model performance is compounded by relatively poor performance of the CSCI to capture relevant stressor gradients in these regions (Mazor et al. </w:t>
      </w:r>
      <w:hyperlink w:anchor="ref-Mazor16">
        <w:r>
          <w:rPr>
            <w:rStyle w:val="Hyperlink"/>
          </w:rPr>
          <w:t>2016</w:t>
        </w:r>
      </w:hyperlink>
      <w:r>
        <w:t>). Accurate data for quantifying these potential stressors are much less readily available, but this is an area where investments in improving spatial data could yield significant improvements in further development of bioassessment indices and tools for their interpretation.</w:t>
      </w:r>
    </w:p>
    <w:p w:rsidR="00DC1131" w:rsidRDefault="00CB7AEE">
      <w:pPr>
        <w:pStyle w:val="BodyText"/>
      </w:pPr>
      <w:r>
        <w:t>An additional assumption is that the landscape model and the CSCI can adequately discriminate between intractable constraints on biology that are spatially and temporally pervasive relative to more manageable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rsidR="00DC1131" w:rsidRDefault="00CB7AEE">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 (Stein et al. </w:t>
      </w:r>
      <w:hyperlink w:anchor="ref-Stein13">
        <w:r>
          <w:rPr>
            <w:rStyle w:val="Hyperlink"/>
          </w:rPr>
          <w:t>2013</w:t>
        </w:r>
      </w:hyperlink>
      <w:r>
        <w:t>).</w:t>
      </w:r>
    </w:p>
    <w:p w:rsidR="00DC1131" w:rsidRDefault="00CB7AEE">
      <w:pPr>
        <w:pStyle w:val="BodyText"/>
      </w:pPr>
      <w:r>
        <w:t xml:space="preserve">An additional consideration in using the landscape model is the meaning of biologically constrained in the context of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w:t>
      </w:r>
      <w:r>
        <w:lastRenderedPageBreak/>
        <w:t>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 lines of evidence is needed for a more complete assessment of how condition relates to landscape alteration.</w:t>
      </w:r>
    </w:p>
    <w:p w:rsidR="00DC1131" w:rsidRDefault="00CB7AEE">
      <w:pPr>
        <w:pStyle w:val="Heading2"/>
      </w:pPr>
      <w:bookmarkStart w:id="17" w:name="engagement-of-local-stakeholders-is-crit"/>
      <w:r>
        <w:t>Engagement of local stakeholders is critical for regional application</w:t>
      </w:r>
      <w:bookmarkEnd w:id="17"/>
    </w:p>
    <w:p w:rsidR="00DC1131" w:rsidRDefault="00CB7AEE">
      <w:pPr>
        <w:pStyle w:val="FirstParagraph"/>
      </w:pPr>
      <w:r>
        <w:t>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Localized applications of the statewide model must engage stakeholders in a similar process to develop recommendations that are specific to regional needs.</w:t>
      </w:r>
    </w:p>
    <w:p w:rsidR="00DC1131" w:rsidRDefault="00CB7AEE">
      <w:pPr>
        <w:pStyle w:val="BodyText"/>
      </w:pPr>
      <w:r>
        <w:t>The development of the SCAPE tool was also critical for engaging the stakeholder group.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rsidR="00DC1131" w:rsidRDefault="00CB7AEE">
      <w:pPr>
        <w:pStyle w:val="Heading2"/>
      </w:pPr>
      <w:bookmarkStart w:id="18" w:name="summary"/>
      <w:r>
        <w:t>Summary</w:t>
      </w:r>
      <w:bookmarkEnd w:id="18"/>
    </w:p>
    <w:p w:rsidR="00DC1131" w:rsidRDefault="00CB7AEE">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w:t>
      </w:r>
      <w:r>
        <w:lastRenderedPageBreak/>
        <w:t>a context for biological assessment that provides an expectation of what is likely to be achieved based on current land use development. This can facilitate more targeted management actions that vary depending on the identified context and can also inform decisions on extent and effort for future monitoring locations.</w:t>
      </w:r>
    </w:p>
    <w:p w:rsidR="00DC1131" w:rsidRDefault="00CB7AEE">
      <w:pPr>
        <w:pStyle w:val="Heading1"/>
      </w:pPr>
      <w:bookmarkStart w:id="19" w:name="supplement"/>
      <w:r>
        <w:t>Supplement</w:t>
      </w:r>
      <w:bookmarkEnd w:id="19"/>
    </w:p>
    <w:p w:rsidR="00DC1131" w:rsidRDefault="00CB7AEE">
      <w:pPr>
        <w:pStyle w:val="FirstParagraph"/>
      </w:pPr>
      <w:r>
        <w:t xml:space="preserve">The SCAPE model application website: </w:t>
      </w:r>
      <w:hyperlink r:id="rId18">
        <w:r>
          <w:rPr>
            <w:rStyle w:val="Hyperlink"/>
          </w:rPr>
          <w:t>http://shiny.sccwrp.org/scape/</w:t>
        </w:r>
      </w:hyperlink>
      <w:r>
        <w:t>, full source code accessible at Beck (</w:t>
      </w:r>
      <w:hyperlink w:anchor="ref-Beck18c">
        <w:r>
          <w:rPr>
            <w:rStyle w:val="Hyperlink"/>
          </w:rPr>
          <w:t>2018</w:t>
        </w:r>
      </w:hyperlink>
      <w:r>
        <w:t>). Additional figures and tables are available in Supplement 1. An analysis that demonstrates how biological expectations can be defined for unclassified stream segments is provided in Supplement 2.</w:t>
      </w:r>
    </w:p>
    <w:p w:rsidR="00DC1131" w:rsidRDefault="00CB7AEE">
      <w:pPr>
        <w:pStyle w:val="Heading1"/>
      </w:pPr>
      <w:bookmarkStart w:id="20" w:name="figures"/>
      <w:r>
        <w:t>Figures</w:t>
      </w:r>
      <w:bookmarkEnd w:id="20"/>
    </w:p>
    <w:p w:rsidR="00DC1131" w:rsidRDefault="00CB7AEE">
      <w:r>
        <w:rPr>
          <w:noProof/>
        </w:rPr>
        <w:drawing>
          <wp:inline distT="0" distB="0" distL="0" distR="0">
            <wp:extent cx="5943600" cy="4245428"/>
            <wp:effectExtent l="0" t="0" r="0" b="0"/>
            <wp:docPr id="1" name="Picture"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wp:cNvGraphicFramePr/>
            <a:graphic xmlns:a="http://schemas.openxmlformats.org/drawingml/2006/main">
              <a:graphicData uri="http://schemas.openxmlformats.org/drawingml/2006/picture">
                <pic:pic xmlns:pic="http://schemas.openxmlformats.org/drawingml/2006/picture">
                  <pic:nvPicPr>
                    <pic:cNvPr id="0" name="Picture" descr="figs/calimap.png"/>
                    <pic:cNvPicPr>
                      <a:picLocks noChangeAspect="1" noChangeArrowheads="1"/>
                    </pic:cNvPicPr>
                  </pic:nvPicPr>
                  <pic:blipFill>
                    <a:blip r:embed="rId19"/>
                    <a:stretch>
                      <a:fillRect/>
                    </a:stretch>
                  </pic:blipFill>
                  <pic:spPr bwMode="auto">
                    <a:xfrm>
                      <a:off x="0" y="0"/>
                      <a:ext cx="5943600" cy="4245428"/>
                    </a:xfrm>
                    <a:prstGeom prst="rect">
                      <a:avLst/>
                    </a:prstGeom>
                    <a:noFill/>
                    <a:ln w="9525">
                      <a:noFill/>
                      <a:headEnd/>
                      <a:tailEnd/>
                    </a:ln>
                  </pic:spPr>
                </pic:pic>
              </a:graphicData>
            </a:graphic>
          </wp:inline>
        </w:drawing>
      </w:r>
    </w:p>
    <w:p w:rsidR="00DC1131" w:rsidRDefault="00CB7AEE">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w:t>
      </w:r>
      <w:hyperlink w:anchor="ref-Mazor16">
        <w:r>
          <w:rPr>
            <w:rStyle w:val="Hyperlink"/>
          </w:rPr>
          <w:t>2016</w:t>
        </w:r>
      </w:hyperlink>
      <w:r>
        <w:t xml:space="preserve">). Grey lines are major environmental regions in California defined </w:t>
      </w:r>
      <w:r>
        <w:lastRenderedPageBreak/>
        <w:t>by ecoregional and watershed boundaries, CV: Central Valley, CH: Chaparral, DM: Deserts and Modoc Plateau, NC: North Coast, SN: Sierra Nevada, SC: South Coast.</w:t>
      </w:r>
    </w:p>
    <w:p w:rsidR="00DC1131" w:rsidRDefault="00CB7AEE">
      <w:r>
        <w:rPr>
          <w:noProof/>
        </w:rPr>
        <w:drawing>
          <wp:inline distT="0" distB="0" distL="0" distR="0">
            <wp:extent cx="5943600" cy="4754880"/>
            <wp:effectExtent l="0" t="0" r="0" b="0"/>
            <wp:docPr id="2" name="Picture" descr="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wp:cNvGraphicFramePr/>
            <a:graphic xmlns:a="http://schemas.openxmlformats.org/drawingml/2006/main">
              <a:graphicData uri="http://schemas.openxmlformats.org/drawingml/2006/picture">
                <pic:pic xmlns:pic="http://schemas.openxmlformats.org/drawingml/2006/picture">
                  <pic:nvPicPr>
                    <pic:cNvPr id="0" name="Picture" descr="figs/ridges.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rsidR="00DC1131" w:rsidRDefault="00CB7AEE">
      <w:pPr>
        <w:pStyle w:val="ImageCaption"/>
      </w:pPr>
      <w:r>
        <w:t>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rsidR="00DC1131" w:rsidRDefault="00CB7AEE">
      <w:r>
        <w:rPr>
          <w:noProof/>
        </w:rPr>
        <w:lastRenderedPageBreak/>
        <w:drawing>
          <wp:inline distT="0" distB="0" distL="0" distR="0">
            <wp:extent cx="5504749" cy="7339665"/>
            <wp:effectExtent l="0" t="0" r="0" b="0"/>
            <wp:docPr id="3" name="Picture" descr="Figure 3 San Gabriel River watershed in southern California. Land cover is shown in plot (a) and the predicted median CSCI scores at each stream segment and observed CSCI scores are shown in (b)."/>
            <wp:cNvGraphicFramePr/>
            <a:graphic xmlns:a="http://schemas.openxmlformats.org/drawingml/2006/main">
              <a:graphicData uri="http://schemas.openxmlformats.org/drawingml/2006/picture">
                <pic:pic xmlns:pic="http://schemas.openxmlformats.org/drawingml/2006/picture">
                  <pic:nvPicPr>
                    <pic:cNvPr id="0" name="Picture" descr="figs/sgrshd.png"/>
                    <pic:cNvPicPr>
                      <a:picLocks noChangeAspect="1" noChangeArrowheads="1"/>
                    </pic:cNvPicPr>
                  </pic:nvPicPr>
                  <pic:blipFill>
                    <a:blip r:embed="rId21"/>
                    <a:stretch>
                      <a:fillRect/>
                    </a:stretch>
                  </pic:blipFill>
                  <pic:spPr bwMode="auto">
                    <a:xfrm>
                      <a:off x="0" y="0"/>
                      <a:ext cx="5504749" cy="7339665"/>
                    </a:xfrm>
                    <a:prstGeom prst="rect">
                      <a:avLst/>
                    </a:prstGeom>
                    <a:noFill/>
                    <a:ln w="9525">
                      <a:noFill/>
                      <a:headEnd/>
                      <a:tailEnd/>
                    </a:ln>
                  </pic:spPr>
                </pic:pic>
              </a:graphicData>
            </a:graphic>
          </wp:inline>
        </w:drawing>
      </w:r>
    </w:p>
    <w:p w:rsidR="00DC1131" w:rsidRDefault="00CB7AEE">
      <w:pPr>
        <w:pStyle w:val="ImageCaption"/>
      </w:pPr>
      <w:r>
        <w:t>Figure 3 San Gabriel River watershed in southern California. Land cover is shown in plot (a) and the predicted median CSCI scores at each stream segment and observed CSCI scores are shown in (b).</w:t>
      </w:r>
    </w:p>
    <w:p w:rsidR="00DC1131" w:rsidRDefault="00CB7AEE">
      <w:r>
        <w:rPr>
          <w:noProof/>
        </w:rPr>
        <w:lastRenderedPageBreak/>
        <w:drawing>
          <wp:inline distT="0" distB="0" distL="0" distR="0">
            <wp:extent cx="5943600" cy="4457700"/>
            <wp:effectExtent l="0" t="0" r="0" b="0"/>
            <wp:docPr id="4" name="Picture" descr="Figure 4 Statewide application of the landscape model showing the median predicted CSCI scores for each stream segment (left) and corresponding stream segment classifications (right). Major regional boundaries are also shown (see Figure 1)."/>
            <wp:cNvGraphicFramePr/>
            <a:graphic xmlns:a="http://schemas.openxmlformats.org/drawingml/2006/main">
              <a:graphicData uri="http://schemas.openxmlformats.org/drawingml/2006/picture">
                <pic:pic xmlns:pic="http://schemas.openxmlformats.org/drawingml/2006/picture">
                  <pic:nvPicPr>
                    <pic:cNvPr id="0" name="Picture" descr="figs/calires.png"/>
                    <pic:cNvPicPr>
                      <a:picLocks noChangeAspect="1" noChangeArrowheads="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rsidR="00DC1131" w:rsidRDefault="00CB7AEE">
      <w:pPr>
        <w:pStyle w:val="ImageCaption"/>
      </w:pPr>
      <w:r>
        <w:t>Figure 4 Statewide application of the landscape model showing the median predicted CSCI scores for each stream segment (left) and corresponding stream segment classifications (right). Major regional boundaries are also shown (see Figure 1).</w:t>
      </w:r>
    </w:p>
    <w:p w:rsidR="00DC1131" w:rsidRDefault="00CB7AEE">
      <w:r>
        <w:rPr>
          <w:noProof/>
        </w:rPr>
        <w:lastRenderedPageBreak/>
        <w:drawing>
          <wp:inline distT="0" distB="0" distL="0" distR="0">
            <wp:extent cx="5943600" cy="4622800"/>
            <wp:effectExtent l="0" t="0" r="0" b="0"/>
            <wp:docPr id="5" name="Picture"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wp:cNvGraphicFramePr/>
            <a:graphic xmlns:a="http://schemas.openxmlformats.org/drawingml/2006/main">
              <a:graphicData uri="http://schemas.openxmlformats.org/drawingml/2006/picture">
                <pic:pic xmlns:pic="http://schemas.openxmlformats.org/drawingml/2006/picture">
                  <pic:nvPicPr>
                    <pic:cNvPr id="0" name="Picture" descr="figs/sgrresplo.png"/>
                    <pic:cNvPicPr>
                      <a:picLocks noChangeAspect="1" noChangeArrowheads="1"/>
                    </pic:cNvPicPr>
                  </pic:nvPicPr>
                  <pic:blipFill>
                    <a:blip r:embed="rId23"/>
                    <a:stretch>
                      <a:fillRect/>
                    </a:stretch>
                  </pic:blipFill>
                  <pic:spPr bwMode="auto">
                    <a:xfrm>
                      <a:off x="0" y="0"/>
                      <a:ext cx="5943600" cy="4622800"/>
                    </a:xfrm>
                    <a:prstGeom prst="rect">
                      <a:avLst/>
                    </a:prstGeom>
                    <a:noFill/>
                    <a:ln w="9525">
                      <a:noFill/>
                      <a:headEnd/>
                      <a:tailEnd/>
                    </a:ln>
                  </pic:spPr>
                </pic:pic>
              </a:graphicData>
            </a:graphic>
          </wp:inline>
        </w:drawing>
      </w:r>
    </w:p>
    <w:p w:rsidR="00DC1131" w:rsidRDefault="00CB7AEE">
      <w:pPr>
        <w:pStyle w:val="ImageCaption"/>
      </w:pPr>
      <w:r>
        <w:t>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rsidR="00DC1131" w:rsidRDefault="00CB7AEE">
      <w:r>
        <w:rPr>
          <w:noProof/>
        </w:rPr>
        <w:lastRenderedPageBreak/>
        <w:drawing>
          <wp:inline distT="0" distB="0" distL="0" distR="0">
            <wp:extent cx="5943600" cy="5572125"/>
            <wp:effectExtent l="0" t="0" r="0" b="0"/>
            <wp:docPr id="6" name="Picture"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
            <wp:cNvGraphicFramePr/>
            <a:graphic xmlns:a="http://schemas.openxmlformats.org/drawingml/2006/main">
              <a:graphicData uri="http://schemas.openxmlformats.org/drawingml/2006/picture">
                <pic:pic xmlns:pic="http://schemas.openxmlformats.org/drawingml/2006/picture">
                  <pic:nvPicPr>
                    <pic:cNvPr id="0" name="Picture" descr="figs/sgrresmap.png"/>
                    <pic:cNvPicPr>
                      <a:picLocks noChangeAspect="1" noChangeArrowheads="1"/>
                    </pic:cNvPicPr>
                  </pic:nvPicPr>
                  <pic:blipFill>
                    <a:blip r:embed="rId24"/>
                    <a:stretch>
                      <a:fillRect/>
                    </a:stretch>
                  </pic:blipFill>
                  <pic:spPr bwMode="auto">
                    <a:xfrm>
                      <a:off x="0" y="0"/>
                      <a:ext cx="5943600" cy="5572125"/>
                    </a:xfrm>
                    <a:prstGeom prst="rect">
                      <a:avLst/>
                    </a:prstGeom>
                    <a:noFill/>
                    <a:ln w="9525">
                      <a:noFill/>
                      <a:headEnd/>
                      <a:tailEnd/>
                    </a:ln>
                  </pic:spPr>
                </pic:pic>
              </a:graphicData>
            </a:graphic>
          </wp:inline>
        </w:drawing>
      </w:r>
    </w:p>
    <w:p w:rsidR="00DC1131" w:rsidRDefault="00CB7AEE">
      <w:pPr>
        <w:pStyle w:val="ImageCaption"/>
      </w:pPr>
      <w:r>
        <w:t>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w:t>
      </w:r>
    </w:p>
    <w:p w:rsidR="00DC1131" w:rsidRDefault="00CB7AEE">
      <w:r>
        <w:rPr>
          <w:noProof/>
        </w:rPr>
        <w:lastRenderedPageBreak/>
        <w:drawing>
          <wp:inline distT="0" distB="0" distL="0" distR="0">
            <wp:extent cx="5046020" cy="4587290"/>
            <wp:effectExtent l="0" t="0" r="0" b="0"/>
            <wp:docPr id="7" name="Picture" descr="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wp:cNvGraphicFramePr/>
            <a:graphic xmlns:a="http://schemas.openxmlformats.org/drawingml/2006/main">
              <a:graphicData uri="http://schemas.openxmlformats.org/drawingml/2006/picture">
                <pic:pic xmlns:pic="http://schemas.openxmlformats.org/drawingml/2006/picture">
                  <pic:nvPicPr>
                    <pic:cNvPr id="0" name="Picture" descr="figs/sensplo.png"/>
                    <pic:cNvPicPr>
                      <a:picLocks noChangeAspect="1" noChangeArrowheads="1"/>
                    </pic:cNvPicPr>
                  </pic:nvPicPr>
                  <pic:blipFill>
                    <a:blip r:embed="rId25"/>
                    <a:stretch>
                      <a:fillRect/>
                    </a:stretch>
                  </pic:blipFill>
                  <pic:spPr bwMode="auto">
                    <a:xfrm>
                      <a:off x="0" y="0"/>
                      <a:ext cx="5046020" cy="4587290"/>
                    </a:xfrm>
                    <a:prstGeom prst="rect">
                      <a:avLst/>
                    </a:prstGeom>
                    <a:noFill/>
                    <a:ln w="9525">
                      <a:noFill/>
                      <a:headEnd/>
                      <a:tailEnd/>
                    </a:ln>
                  </pic:spPr>
                </pic:pic>
              </a:graphicData>
            </a:graphic>
          </wp:inline>
        </w:drawing>
      </w:r>
    </w:p>
    <w:p w:rsidR="00DC1131" w:rsidRDefault="00CB7AEE">
      <w:pPr>
        <w:pStyle w:val="ImageCaption"/>
      </w:pPr>
      <w:r>
        <w:t>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rsidR="009526F5" w:rsidRDefault="009526F5">
      <w:pPr>
        <w:pStyle w:val="Heading1"/>
      </w:pPr>
      <w:bookmarkStart w:id="21" w:name="tables"/>
    </w:p>
    <w:p w:rsidR="009526F5" w:rsidRDefault="009526F5" w:rsidP="009526F5">
      <w:pPr>
        <w:pStyle w:val="BodyText"/>
        <w:rPr>
          <w:rFonts w:eastAsiaTheme="majorEastAsia" w:cstheme="majorBidi"/>
          <w:color w:val="000000" w:themeColor="text1"/>
          <w:sz w:val="32"/>
          <w:szCs w:val="32"/>
        </w:rPr>
      </w:pPr>
      <w:r>
        <w:br w:type="page"/>
      </w:r>
    </w:p>
    <w:p w:rsidR="00DC1131" w:rsidRDefault="00CB7AEE">
      <w:pPr>
        <w:pStyle w:val="Heading1"/>
      </w:pPr>
      <w:r>
        <w:lastRenderedPageBreak/>
        <w:t>Tables</w:t>
      </w:r>
      <w:bookmarkEnd w:id="21"/>
    </w:p>
    <w:p w:rsidR="00DC1131" w:rsidRDefault="00CB7AEE">
      <w:pPr>
        <w:pStyle w:val="TableCaption"/>
      </w:pPr>
      <w:r>
        <w:t>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W w:w="0" w:type="pct"/>
        <w:tblLook w:val="07E0" w:firstRow="1" w:lastRow="1" w:firstColumn="1" w:lastColumn="1" w:noHBand="1" w:noVBand="1"/>
      </w:tblPr>
      <w:tblGrid>
        <w:gridCol w:w="2092"/>
        <w:gridCol w:w="5617"/>
        <w:gridCol w:w="1867"/>
      </w:tblGrid>
      <w:tr w:rsidR="00DC1131">
        <w:tc>
          <w:tcPr>
            <w:tcW w:w="0" w:type="auto"/>
            <w:tcBorders>
              <w:bottom w:val="single" w:sz="0" w:space="0" w:color="auto"/>
            </w:tcBorders>
            <w:vAlign w:val="bottom"/>
          </w:tcPr>
          <w:p w:rsidR="00DC1131" w:rsidRDefault="00CB7AEE">
            <w:pPr>
              <w:pStyle w:val="Compact"/>
            </w:pPr>
            <w:r>
              <w:t>Class</w:t>
            </w:r>
          </w:p>
        </w:tc>
        <w:tc>
          <w:tcPr>
            <w:tcW w:w="0" w:type="auto"/>
            <w:tcBorders>
              <w:bottom w:val="single" w:sz="0" w:space="0" w:color="auto"/>
            </w:tcBorders>
            <w:vAlign w:val="bottom"/>
          </w:tcPr>
          <w:p w:rsidR="00DC1131" w:rsidRDefault="00CB7AEE">
            <w:pPr>
              <w:pStyle w:val="Compact"/>
            </w:pPr>
            <w:r>
              <w:t>Definition</w:t>
            </w:r>
          </w:p>
        </w:tc>
        <w:tc>
          <w:tcPr>
            <w:tcW w:w="0" w:type="auto"/>
            <w:tcBorders>
              <w:bottom w:val="single" w:sz="0" w:space="0" w:color="auto"/>
            </w:tcBorders>
            <w:vAlign w:val="bottom"/>
          </w:tcPr>
          <w:p w:rsidR="00DC1131" w:rsidRDefault="00CB7AEE">
            <w:pPr>
              <w:pStyle w:val="Compact"/>
            </w:pPr>
            <w:r>
              <w:t>Example</w:t>
            </w:r>
          </w:p>
        </w:tc>
      </w:tr>
      <w:tr w:rsidR="00DC1131">
        <w:tc>
          <w:tcPr>
            <w:tcW w:w="0" w:type="auto"/>
          </w:tcPr>
          <w:p w:rsidR="00DC1131" w:rsidRDefault="00CB7AEE">
            <w:pPr>
              <w:pStyle w:val="Compact"/>
            </w:pPr>
            <w:r>
              <w:t>Likely unconstrained</w:t>
            </w:r>
          </w:p>
        </w:tc>
        <w:tc>
          <w:tcPr>
            <w:tcW w:w="0" w:type="auto"/>
          </w:tcPr>
          <w:p w:rsidR="00DC1131" w:rsidRDefault="00CB7AEE">
            <w:pPr>
              <w:pStyle w:val="Compact"/>
            </w:pPr>
            <w:r>
              <w:t>Lower bound of prediction interval is above threshold</w:t>
            </w:r>
          </w:p>
        </w:tc>
        <w:tc>
          <w:tcPr>
            <w:tcW w:w="0" w:type="auto"/>
          </w:tcPr>
          <w:p w:rsidR="00DC1131" w:rsidRDefault="00CB7AEE">
            <w:pPr>
              <w:pStyle w:val="Compact"/>
            </w:pPr>
            <w:r>
              <w:t>10th percentile &gt; 0.79</w:t>
            </w:r>
          </w:p>
        </w:tc>
      </w:tr>
      <w:tr w:rsidR="00DC1131">
        <w:tc>
          <w:tcPr>
            <w:tcW w:w="0" w:type="auto"/>
          </w:tcPr>
          <w:p w:rsidR="00DC1131" w:rsidRDefault="00CB7AEE">
            <w:pPr>
              <w:pStyle w:val="Compact"/>
            </w:pPr>
            <w:r>
              <w:t>Possibly unconstrained</w:t>
            </w:r>
          </w:p>
        </w:tc>
        <w:tc>
          <w:tcPr>
            <w:tcW w:w="0" w:type="auto"/>
          </w:tcPr>
          <w:p w:rsidR="00DC1131" w:rsidRDefault="00CB7AEE">
            <w:pPr>
              <w:pStyle w:val="Compact"/>
            </w:pPr>
            <w:r>
              <w:t>Lower bound of prediction interval is below threshold, but median prediction is above</w:t>
            </w:r>
          </w:p>
        </w:tc>
        <w:tc>
          <w:tcPr>
            <w:tcW w:w="0" w:type="auto"/>
          </w:tcPr>
          <w:p w:rsidR="00DC1131" w:rsidRDefault="00CB7AEE">
            <w:pPr>
              <w:pStyle w:val="Compact"/>
            </w:pPr>
            <w:r>
              <w:t>50th percentile &gt; 0.79</w:t>
            </w:r>
          </w:p>
        </w:tc>
      </w:tr>
      <w:tr w:rsidR="00DC1131">
        <w:tc>
          <w:tcPr>
            <w:tcW w:w="0" w:type="auto"/>
          </w:tcPr>
          <w:p w:rsidR="00DC1131" w:rsidRDefault="00CB7AEE">
            <w:pPr>
              <w:pStyle w:val="Compact"/>
            </w:pPr>
            <w:r>
              <w:t>Possibly constrained</w:t>
            </w:r>
          </w:p>
        </w:tc>
        <w:tc>
          <w:tcPr>
            <w:tcW w:w="0" w:type="auto"/>
          </w:tcPr>
          <w:p w:rsidR="00DC1131" w:rsidRDefault="00CB7AEE">
            <w:pPr>
              <w:pStyle w:val="Compact"/>
            </w:pPr>
            <w:r>
              <w:t>Upper bound of prediction interval is above threshold, but median prediction is below</w:t>
            </w:r>
          </w:p>
        </w:tc>
        <w:tc>
          <w:tcPr>
            <w:tcW w:w="0" w:type="auto"/>
          </w:tcPr>
          <w:p w:rsidR="00DC1131" w:rsidRDefault="00CB7AEE">
            <w:pPr>
              <w:pStyle w:val="Compact"/>
            </w:pPr>
            <w:r>
              <w:t>50th percentile &lt; 0.79</w:t>
            </w:r>
          </w:p>
        </w:tc>
      </w:tr>
      <w:tr w:rsidR="00DC1131">
        <w:tc>
          <w:tcPr>
            <w:tcW w:w="0" w:type="auto"/>
          </w:tcPr>
          <w:p w:rsidR="00DC1131" w:rsidRDefault="00CB7AEE">
            <w:pPr>
              <w:pStyle w:val="Compact"/>
            </w:pPr>
            <w:r>
              <w:t>Likely constrained</w:t>
            </w:r>
          </w:p>
        </w:tc>
        <w:tc>
          <w:tcPr>
            <w:tcW w:w="0" w:type="auto"/>
          </w:tcPr>
          <w:p w:rsidR="00DC1131" w:rsidRDefault="00CB7AEE">
            <w:pPr>
              <w:pStyle w:val="Compact"/>
            </w:pPr>
            <w:r>
              <w:t>Upper bound of prediction interval is below threshold</w:t>
            </w:r>
          </w:p>
        </w:tc>
        <w:tc>
          <w:tcPr>
            <w:tcW w:w="0" w:type="auto"/>
          </w:tcPr>
          <w:p w:rsidR="00DC1131" w:rsidRDefault="00CB7AEE">
            <w:pPr>
              <w:pStyle w:val="Compact"/>
            </w:pPr>
            <w:r>
              <w:t>90th percentile &lt; 0.79</w:t>
            </w:r>
          </w:p>
        </w:tc>
      </w:tr>
    </w:tbl>
    <w:p w:rsidR="00DC1131" w:rsidRDefault="00CB7AEE">
      <w:pPr>
        <w:pStyle w:val="TableCaption"/>
      </w:pPr>
      <w:r>
        <w:t>Table 2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W w:w="0" w:type="pct"/>
        <w:tblLook w:val="07E0" w:firstRow="1" w:lastRow="1" w:firstColumn="1" w:lastColumn="1" w:noHBand="1" w:noVBand="1"/>
      </w:tblPr>
      <w:tblGrid>
        <w:gridCol w:w="936"/>
        <w:gridCol w:w="1163"/>
        <w:gridCol w:w="696"/>
        <w:gridCol w:w="1276"/>
        <w:gridCol w:w="1276"/>
        <w:gridCol w:w="636"/>
        <w:gridCol w:w="870"/>
        <w:gridCol w:w="1069"/>
        <w:gridCol w:w="763"/>
      </w:tblGrid>
      <w:tr w:rsidR="00DC1131">
        <w:tc>
          <w:tcPr>
            <w:tcW w:w="0" w:type="auto"/>
            <w:tcBorders>
              <w:bottom w:val="single" w:sz="0" w:space="0" w:color="auto"/>
            </w:tcBorders>
            <w:vAlign w:val="bottom"/>
          </w:tcPr>
          <w:p w:rsidR="00DC1131" w:rsidRDefault="00CB7AEE">
            <w:pPr>
              <w:pStyle w:val="Compact"/>
            </w:pPr>
            <w:r>
              <w:t>Dataset</w:t>
            </w:r>
          </w:p>
        </w:tc>
        <w:tc>
          <w:tcPr>
            <w:tcW w:w="0" w:type="auto"/>
            <w:tcBorders>
              <w:bottom w:val="single" w:sz="0" w:space="0" w:color="auto"/>
            </w:tcBorders>
            <w:vAlign w:val="bottom"/>
          </w:tcPr>
          <w:p w:rsidR="00DC1131" w:rsidRDefault="00CB7AEE">
            <w:pPr>
              <w:pStyle w:val="Compact"/>
            </w:pPr>
            <w:r>
              <w:t>Location</w:t>
            </w:r>
          </w:p>
        </w:tc>
        <w:tc>
          <w:tcPr>
            <w:tcW w:w="0" w:type="auto"/>
            <w:tcBorders>
              <w:bottom w:val="single" w:sz="0" w:space="0" w:color="auto"/>
            </w:tcBorders>
            <w:vAlign w:val="bottom"/>
          </w:tcPr>
          <w:p w:rsidR="00DC1131" w:rsidRDefault="00CB7AEE">
            <w:pPr>
              <w:pStyle w:val="Compact"/>
              <w:jc w:val="right"/>
            </w:pPr>
            <w:r>
              <w:t>n</w:t>
            </w:r>
          </w:p>
        </w:tc>
        <w:tc>
          <w:tcPr>
            <w:tcW w:w="0" w:type="auto"/>
            <w:tcBorders>
              <w:bottom w:val="single" w:sz="0" w:space="0" w:color="auto"/>
            </w:tcBorders>
            <w:vAlign w:val="bottom"/>
          </w:tcPr>
          <w:p w:rsidR="00DC1131" w:rsidRDefault="00CB7AEE">
            <w:pPr>
              <w:pStyle w:val="Compact"/>
            </w:pPr>
            <w:r>
              <w:t>Observed</w:t>
            </w:r>
          </w:p>
        </w:tc>
        <w:tc>
          <w:tcPr>
            <w:tcW w:w="0" w:type="auto"/>
            <w:tcBorders>
              <w:bottom w:val="single" w:sz="0" w:space="0" w:color="auto"/>
            </w:tcBorders>
            <w:vAlign w:val="bottom"/>
          </w:tcPr>
          <w:p w:rsidR="00DC1131" w:rsidRDefault="00CB7AEE">
            <w:pPr>
              <w:pStyle w:val="Compact"/>
            </w:pPr>
            <w:r>
              <w:t>Predicted</w:t>
            </w:r>
          </w:p>
        </w:tc>
        <w:tc>
          <w:tcPr>
            <w:tcW w:w="0" w:type="auto"/>
            <w:tcBorders>
              <w:bottom w:val="single" w:sz="0" w:space="0" w:color="auto"/>
            </w:tcBorders>
            <w:vAlign w:val="bottom"/>
          </w:tcPr>
          <w:p w:rsidR="00DC1131" w:rsidRDefault="00CB7AEE">
            <w:pPr>
              <w:pStyle w:val="Compact"/>
            </w:pPr>
            <w:r>
              <w:t>r</w:t>
            </w:r>
          </w:p>
        </w:tc>
        <w:tc>
          <w:tcPr>
            <w:tcW w:w="0" w:type="auto"/>
            <w:tcBorders>
              <w:bottom w:val="single" w:sz="0" w:space="0" w:color="auto"/>
            </w:tcBorders>
            <w:vAlign w:val="bottom"/>
          </w:tcPr>
          <w:p w:rsidR="00DC1131" w:rsidRDefault="00CB7AEE">
            <w:pPr>
              <w:pStyle w:val="Compact"/>
            </w:pPr>
            <w:r>
              <w:t>RMSE</w:t>
            </w:r>
          </w:p>
        </w:tc>
        <w:tc>
          <w:tcPr>
            <w:tcW w:w="0" w:type="auto"/>
            <w:tcBorders>
              <w:bottom w:val="single" w:sz="0" w:space="0" w:color="auto"/>
            </w:tcBorders>
            <w:vAlign w:val="bottom"/>
          </w:tcPr>
          <w:p w:rsidR="00DC1131" w:rsidRDefault="00CB7AEE">
            <w:pPr>
              <w:pStyle w:val="Compact"/>
            </w:pPr>
            <w:r>
              <w:t>Intercept</w:t>
            </w:r>
          </w:p>
        </w:tc>
        <w:tc>
          <w:tcPr>
            <w:tcW w:w="0" w:type="auto"/>
            <w:tcBorders>
              <w:bottom w:val="single" w:sz="0" w:space="0" w:color="auto"/>
            </w:tcBorders>
            <w:vAlign w:val="bottom"/>
          </w:tcPr>
          <w:p w:rsidR="00DC1131" w:rsidRDefault="00CB7AEE">
            <w:pPr>
              <w:pStyle w:val="Compact"/>
            </w:pPr>
            <w:r>
              <w:t>Slope</w:t>
            </w:r>
          </w:p>
        </w:tc>
      </w:tr>
      <w:tr w:rsidR="00DC1131">
        <w:tc>
          <w:tcPr>
            <w:tcW w:w="0" w:type="auto"/>
          </w:tcPr>
          <w:p w:rsidR="00DC1131" w:rsidRDefault="00CB7AEE">
            <w:pPr>
              <w:pStyle w:val="Compact"/>
            </w:pPr>
            <w:r>
              <w:t>Cal</w:t>
            </w:r>
          </w:p>
        </w:tc>
        <w:tc>
          <w:tcPr>
            <w:tcW w:w="0" w:type="auto"/>
          </w:tcPr>
          <w:p w:rsidR="00DC1131" w:rsidRDefault="00CB7AEE">
            <w:pPr>
              <w:pStyle w:val="Compact"/>
            </w:pPr>
            <w:r>
              <w:t>Statewide</w:t>
            </w:r>
          </w:p>
        </w:tc>
        <w:tc>
          <w:tcPr>
            <w:tcW w:w="0" w:type="auto"/>
          </w:tcPr>
          <w:p w:rsidR="00DC1131" w:rsidRDefault="00CB7AEE">
            <w:pPr>
              <w:pStyle w:val="Compact"/>
              <w:jc w:val="right"/>
            </w:pPr>
            <w:r>
              <w:t>1965</w:t>
            </w:r>
          </w:p>
        </w:tc>
        <w:tc>
          <w:tcPr>
            <w:tcW w:w="0" w:type="auto"/>
          </w:tcPr>
          <w:p w:rsidR="00DC1131" w:rsidRDefault="00CB7AEE">
            <w:pPr>
              <w:pStyle w:val="Compact"/>
            </w:pPr>
            <w:r>
              <w:t>0.82 (0.26)</w:t>
            </w:r>
          </w:p>
        </w:tc>
        <w:tc>
          <w:tcPr>
            <w:tcW w:w="0" w:type="auto"/>
          </w:tcPr>
          <w:p w:rsidR="00DC1131" w:rsidRDefault="00CB7AEE">
            <w:pPr>
              <w:pStyle w:val="Compact"/>
            </w:pPr>
            <w:r>
              <w:t>0.83 (0.20)</w:t>
            </w:r>
          </w:p>
        </w:tc>
        <w:tc>
          <w:tcPr>
            <w:tcW w:w="0" w:type="auto"/>
          </w:tcPr>
          <w:p w:rsidR="00DC1131" w:rsidRDefault="00CB7AEE">
            <w:pPr>
              <w:pStyle w:val="Compact"/>
            </w:pPr>
            <w:r>
              <w:t>0.75</w:t>
            </w:r>
          </w:p>
        </w:tc>
        <w:tc>
          <w:tcPr>
            <w:tcW w:w="0" w:type="auto"/>
          </w:tcPr>
          <w:p w:rsidR="00DC1131" w:rsidRDefault="00CB7AEE">
            <w:pPr>
              <w:pStyle w:val="Compact"/>
            </w:pPr>
            <w:r>
              <w:t>0.17</w:t>
            </w:r>
          </w:p>
        </w:tc>
        <w:tc>
          <w:tcPr>
            <w:tcW w:w="0" w:type="auto"/>
          </w:tcPr>
          <w:p w:rsidR="00DC1131" w:rsidRDefault="00CB7AEE">
            <w:pPr>
              <w:pStyle w:val="Compact"/>
            </w:pPr>
            <w:r>
              <w:t>0.34</w:t>
            </w:r>
          </w:p>
        </w:tc>
        <w:tc>
          <w:tcPr>
            <w:tcW w:w="0" w:type="auto"/>
          </w:tcPr>
          <w:p w:rsidR="00DC1131" w:rsidRDefault="00CB7AEE">
            <w:pPr>
              <w:pStyle w:val="Compact"/>
            </w:pPr>
            <w:r>
              <w:t>0.60</w:t>
            </w:r>
          </w:p>
        </w:tc>
      </w:tr>
      <w:tr w:rsidR="00DC1131">
        <w:tc>
          <w:tcPr>
            <w:tcW w:w="0" w:type="auto"/>
          </w:tcPr>
          <w:p w:rsidR="00DC1131" w:rsidRDefault="00DC1131">
            <w:pPr>
              <w:pStyle w:val="Compact"/>
            </w:pPr>
          </w:p>
        </w:tc>
        <w:tc>
          <w:tcPr>
            <w:tcW w:w="0" w:type="auto"/>
          </w:tcPr>
          <w:p w:rsidR="00DC1131" w:rsidRDefault="00CB7AEE">
            <w:pPr>
              <w:pStyle w:val="Compact"/>
            </w:pPr>
            <w:r>
              <w:t>CH</w:t>
            </w:r>
          </w:p>
        </w:tc>
        <w:tc>
          <w:tcPr>
            <w:tcW w:w="0" w:type="auto"/>
          </w:tcPr>
          <w:p w:rsidR="00DC1131" w:rsidRDefault="00CB7AEE">
            <w:pPr>
              <w:pStyle w:val="Compact"/>
              <w:jc w:val="right"/>
            </w:pPr>
            <w:r>
              <w:t>512</w:t>
            </w:r>
          </w:p>
        </w:tc>
        <w:tc>
          <w:tcPr>
            <w:tcW w:w="0" w:type="auto"/>
          </w:tcPr>
          <w:p w:rsidR="00DC1131" w:rsidRDefault="00CB7AEE">
            <w:pPr>
              <w:pStyle w:val="Compact"/>
            </w:pPr>
            <w:r>
              <w:t>0.76 (0.27)</w:t>
            </w:r>
          </w:p>
        </w:tc>
        <w:tc>
          <w:tcPr>
            <w:tcW w:w="0" w:type="auto"/>
          </w:tcPr>
          <w:p w:rsidR="00DC1131" w:rsidRDefault="00CB7AEE">
            <w:pPr>
              <w:pStyle w:val="Compact"/>
            </w:pPr>
            <w:r>
              <w:t>0.79 (0.21)</w:t>
            </w:r>
          </w:p>
        </w:tc>
        <w:tc>
          <w:tcPr>
            <w:tcW w:w="0" w:type="auto"/>
          </w:tcPr>
          <w:p w:rsidR="00DC1131" w:rsidRDefault="00CB7AEE">
            <w:pPr>
              <w:pStyle w:val="Compact"/>
            </w:pPr>
            <w:r>
              <w:t>0.71</w:t>
            </w:r>
          </w:p>
        </w:tc>
        <w:tc>
          <w:tcPr>
            <w:tcW w:w="0" w:type="auto"/>
          </w:tcPr>
          <w:p w:rsidR="00DC1131" w:rsidRDefault="00CB7AEE">
            <w:pPr>
              <w:pStyle w:val="Compact"/>
            </w:pPr>
            <w:r>
              <w:t>0.19</w:t>
            </w:r>
          </w:p>
        </w:tc>
        <w:tc>
          <w:tcPr>
            <w:tcW w:w="0" w:type="auto"/>
          </w:tcPr>
          <w:p w:rsidR="00DC1131" w:rsidRDefault="00CB7AEE">
            <w:pPr>
              <w:pStyle w:val="Compact"/>
            </w:pPr>
            <w:r>
              <w:t>0.38</w:t>
            </w:r>
          </w:p>
        </w:tc>
        <w:tc>
          <w:tcPr>
            <w:tcW w:w="0" w:type="auto"/>
          </w:tcPr>
          <w:p w:rsidR="00DC1131" w:rsidRDefault="00CB7AEE">
            <w:pPr>
              <w:pStyle w:val="Compact"/>
            </w:pPr>
            <w:r>
              <w:t>0.54</w:t>
            </w:r>
          </w:p>
        </w:tc>
      </w:tr>
      <w:tr w:rsidR="00DC1131">
        <w:tc>
          <w:tcPr>
            <w:tcW w:w="0" w:type="auto"/>
          </w:tcPr>
          <w:p w:rsidR="00DC1131" w:rsidRDefault="00DC1131">
            <w:pPr>
              <w:pStyle w:val="Compact"/>
            </w:pPr>
          </w:p>
        </w:tc>
        <w:tc>
          <w:tcPr>
            <w:tcW w:w="0" w:type="auto"/>
          </w:tcPr>
          <w:p w:rsidR="00DC1131" w:rsidRDefault="00CB7AEE">
            <w:pPr>
              <w:pStyle w:val="Compact"/>
            </w:pPr>
            <w:r>
              <w:t>CV</w:t>
            </w:r>
          </w:p>
        </w:tc>
        <w:tc>
          <w:tcPr>
            <w:tcW w:w="0" w:type="auto"/>
          </w:tcPr>
          <w:p w:rsidR="00DC1131" w:rsidRDefault="00CB7AEE">
            <w:pPr>
              <w:pStyle w:val="Compact"/>
              <w:jc w:val="right"/>
            </w:pPr>
            <w:r>
              <w:t>116</w:t>
            </w:r>
          </w:p>
        </w:tc>
        <w:tc>
          <w:tcPr>
            <w:tcW w:w="0" w:type="auto"/>
          </w:tcPr>
          <w:p w:rsidR="00DC1131" w:rsidRDefault="00CB7AEE">
            <w:pPr>
              <w:pStyle w:val="Compact"/>
            </w:pPr>
            <w:r>
              <w:t>0.51 (0.18)</w:t>
            </w:r>
          </w:p>
        </w:tc>
        <w:tc>
          <w:tcPr>
            <w:tcW w:w="0" w:type="auto"/>
          </w:tcPr>
          <w:p w:rsidR="00DC1131" w:rsidRDefault="00CB7AEE">
            <w:pPr>
              <w:pStyle w:val="Compact"/>
            </w:pPr>
            <w:r>
              <w:t>0.57 (0.15)</w:t>
            </w:r>
          </w:p>
        </w:tc>
        <w:tc>
          <w:tcPr>
            <w:tcW w:w="0" w:type="auto"/>
          </w:tcPr>
          <w:p w:rsidR="00DC1131" w:rsidRDefault="00CB7AEE">
            <w:pPr>
              <w:pStyle w:val="Compact"/>
            </w:pPr>
            <w:r>
              <w:t>0.66</w:t>
            </w:r>
          </w:p>
        </w:tc>
        <w:tc>
          <w:tcPr>
            <w:tcW w:w="0" w:type="auto"/>
          </w:tcPr>
          <w:p w:rsidR="00DC1131" w:rsidRDefault="00CB7AEE">
            <w:pPr>
              <w:pStyle w:val="Compact"/>
            </w:pPr>
            <w:r>
              <w:t>0.15</w:t>
            </w:r>
          </w:p>
        </w:tc>
        <w:tc>
          <w:tcPr>
            <w:tcW w:w="0" w:type="auto"/>
          </w:tcPr>
          <w:p w:rsidR="00DC1131" w:rsidRDefault="00CB7AEE">
            <w:pPr>
              <w:pStyle w:val="Compact"/>
            </w:pPr>
            <w:r>
              <w:t>0.29</w:t>
            </w:r>
          </w:p>
        </w:tc>
        <w:tc>
          <w:tcPr>
            <w:tcW w:w="0" w:type="auto"/>
          </w:tcPr>
          <w:p w:rsidR="00DC1131" w:rsidRDefault="00CB7AEE">
            <w:pPr>
              <w:pStyle w:val="Compact"/>
            </w:pPr>
            <w:r>
              <w:t>0.54</w:t>
            </w:r>
          </w:p>
        </w:tc>
      </w:tr>
      <w:tr w:rsidR="00DC1131">
        <w:tc>
          <w:tcPr>
            <w:tcW w:w="0" w:type="auto"/>
          </w:tcPr>
          <w:p w:rsidR="00DC1131" w:rsidRDefault="00DC1131">
            <w:pPr>
              <w:pStyle w:val="Compact"/>
            </w:pPr>
          </w:p>
        </w:tc>
        <w:tc>
          <w:tcPr>
            <w:tcW w:w="0" w:type="auto"/>
          </w:tcPr>
          <w:p w:rsidR="00DC1131" w:rsidRDefault="00CB7AEE">
            <w:pPr>
              <w:pStyle w:val="Compact"/>
            </w:pPr>
            <w:r>
              <w:t>DM</w:t>
            </w:r>
          </w:p>
        </w:tc>
        <w:tc>
          <w:tcPr>
            <w:tcW w:w="0" w:type="auto"/>
          </w:tcPr>
          <w:p w:rsidR="00DC1131" w:rsidRDefault="00CB7AEE">
            <w:pPr>
              <w:pStyle w:val="Compact"/>
              <w:jc w:val="right"/>
            </w:pPr>
            <w:r>
              <w:t>86</w:t>
            </w:r>
          </w:p>
        </w:tc>
        <w:tc>
          <w:tcPr>
            <w:tcW w:w="0" w:type="auto"/>
          </w:tcPr>
          <w:p w:rsidR="00DC1131" w:rsidRDefault="00CB7AEE">
            <w:pPr>
              <w:pStyle w:val="Compact"/>
            </w:pPr>
            <w:r>
              <w:t>0.87 (0.22)</w:t>
            </w:r>
          </w:p>
        </w:tc>
        <w:tc>
          <w:tcPr>
            <w:tcW w:w="0" w:type="auto"/>
          </w:tcPr>
          <w:p w:rsidR="00DC1131" w:rsidRDefault="00CB7AEE">
            <w:pPr>
              <w:pStyle w:val="Compact"/>
            </w:pPr>
            <w:r>
              <w:t>0.91 (0.14)</w:t>
            </w:r>
          </w:p>
        </w:tc>
        <w:tc>
          <w:tcPr>
            <w:tcW w:w="0" w:type="auto"/>
          </w:tcPr>
          <w:p w:rsidR="00DC1131" w:rsidRDefault="00CB7AEE">
            <w:pPr>
              <w:pStyle w:val="Compact"/>
            </w:pPr>
            <w:r>
              <w:t>0.50</w:t>
            </w:r>
          </w:p>
        </w:tc>
        <w:tc>
          <w:tcPr>
            <w:tcW w:w="0" w:type="auto"/>
          </w:tcPr>
          <w:p w:rsidR="00DC1131" w:rsidRDefault="00CB7AEE">
            <w:pPr>
              <w:pStyle w:val="Compact"/>
            </w:pPr>
            <w:r>
              <w:t>0.20</w:t>
            </w:r>
          </w:p>
        </w:tc>
        <w:tc>
          <w:tcPr>
            <w:tcW w:w="0" w:type="auto"/>
          </w:tcPr>
          <w:p w:rsidR="00DC1131" w:rsidRDefault="00CB7AEE">
            <w:pPr>
              <w:pStyle w:val="Compact"/>
            </w:pPr>
            <w:r>
              <w:t>0.63</w:t>
            </w:r>
          </w:p>
        </w:tc>
        <w:tc>
          <w:tcPr>
            <w:tcW w:w="0" w:type="auto"/>
          </w:tcPr>
          <w:p w:rsidR="00DC1131" w:rsidRDefault="00CB7AEE">
            <w:pPr>
              <w:pStyle w:val="Compact"/>
            </w:pPr>
            <w:r>
              <w:t>0.31</w:t>
            </w:r>
          </w:p>
        </w:tc>
      </w:tr>
      <w:tr w:rsidR="00DC1131">
        <w:tc>
          <w:tcPr>
            <w:tcW w:w="0" w:type="auto"/>
          </w:tcPr>
          <w:p w:rsidR="00DC1131" w:rsidRDefault="00DC1131">
            <w:pPr>
              <w:pStyle w:val="Compact"/>
            </w:pPr>
          </w:p>
        </w:tc>
        <w:tc>
          <w:tcPr>
            <w:tcW w:w="0" w:type="auto"/>
          </w:tcPr>
          <w:p w:rsidR="00DC1131" w:rsidRDefault="00CB7AEE">
            <w:pPr>
              <w:pStyle w:val="Compact"/>
            </w:pPr>
            <w:r>
              <w:t>NC</w:t>
            </w:r>
          </w:p>
        </w:tc>
        <w:tc>
          <w:tcPr>
            <w:tcW w:w="0" w:type="auto"/>
          </w:tcPr>
          <w:p w:rsidR="00DC1131" w:rsidRDefault="00CB7AEE">
            <w:pPr>
              <w:pStyle w:val="Compact"/>
              <w:jc w:val="right"/>
            </w:pPr>
            <w:r>
              <w:t>208</w:t>
            </w:r>
          </w:p>
        </w:tc>
        <w:tc>
          <w:tcPr>
            <w:tcW w:w="0" w:type="auto"/>
          </w:tcPr>
          <w:p w:rsidR="00DC1131" w:rsidRDefault="00CB7AEE">
            <w:pPr>
              <w:pStyle w:val="Compact"/>
            </w:pPr>
            <w:r>
              <w:t>0.92 (0.20)</w:t>
            </w:r>
          </w:p>
        </w:tc>
        <w:tc>
          <w:tcPr>
            <w:tcW w:w="0" w:type="auto"/>
          </w:tcPr>
          <w:p w:rsidR="00DC1131" w:rsidRDefault="00CB7AEE">
            <w:pPr>
              <w:pStyle w:val="Compact"/>
            </w:pPr>
            <w:r>
              <w:t>0.94 (0.13)</w:t>
            </w:r>
          </w:p>
        </w:tc>
        <w:tc>
          <w:tcPr>
            <w:tcW w:w="0" w:type="auto"/>
          </w:tcPr>
          <w:p w:rsidR="00DC1131" w:rsidRDefault="00CB7AEE">
            <w:pPr>
              <w:pStyle w:val="Compact"/>
            </w:pPr>
            <w:r>
              <w:t>0.55</w:t>
            </w:r>
          </w:p>
        </w:tc>
        <w:tc>
          <w:tcPr>
            <w:tcW w:w="0" w:type="auto"/>
          </w:tcPr>
          <w:p w:rsidR="00DC1131" w:rsidRDefault="00CB7AEE">
            <w:pPr>
              <w:pStyle w:val="Compact"/>
            </w:pPr>
            <w:r>
              <w:t>0.17</w:t>
            </w:r>
          </w:p>
        </w:tc>
        <w:tc>
          <w:tcPr>
            <w:tcW w:w="0" w:type="auto"/>
          </w:tcPr>
          <w:p w:rsidR="00DC1131" w:rsidRDefault="00CB7AEE">
            <w:pPr>
              <w:pStyle w:val="Compact"/>
            </w:pPr>
            <w:r>
              <w:t>0.61</w:t>
            </w:r>
          </w:p>
        </w:tc>
        <w:tc>
          <w:tcPr>
            <w:tcW w:w="0" w:type="auto"/>
          </w:tcPr>
          <w:p w:rsidR="00DC1131" w:rsidRDefault="00CB7AEE">
            <w:pPr>
              <w:pStyle w:val="Compact"/>
            </w:pPr>
            <w:r>
              <w:t>0.36</w:t>
            </w:r>
          </w:p>
        </w:tc>
      </w:tr>
      <w:tr w:rsidR="00DC1131">
        <w:tc>
          <w:tcPr>
            <w:tcW w:w="0" w:type="auto"/>
          </w:tcPr>
          <w:p w:rsidR="00DC1131" w:rsidRDefault="00DC1131">
            <w:pPr>
              <w:pStyle w:val="Compact"/>
            </w:pPr>
          </w:p>
        </w:tc>
        <w:tc>
          <w:tcPr>
            <w:tcW w:w="0" w:type="auto"/>
          </w:tcPr>
          <w:p w:rsidR="00DC1131" w:rsidRDefault="00CB7AEE">
            <w:pPr>
              <w:pStyle w:val="Compact"/>
            </w:pPr>
            <w:r>
              <w:t>SC</w:t>
            </w:r>
          </w:p>
        </w:tc>
        <w:tc>
          <w:tcPr>
            <w:tcW w:w="0" w:type="auto"/>
          </w:tcPr>
          <w:p w:rsidR="00DC1131" w:rsidRDefault="00CB7AEE">
            <w:pPr>
              <w:pStyle w:val="Compact"/>
              <w:jc w:val="right"/>
            </w:pPr>
            <w:r>
              <w:t>631</w:t>
            </w:r>
          </w:p>
        </w:tc>
        <w:tc>
          <w:tcPr>
            <w:tcW w:w="0" w:type="auto"/>
          </w:tcPr>
          <w:p w:rsidR="00DC1131" w:rsidRDefault="00CB7AEE">
            <w:pPr>
              <w:pStyle w:val="Compact"/>
            </w:pPr>
            <w:r>
              <w:t>0.79 (0.24)</w:t>
            </w:r>
          </w:p>
        </w:tc>
        <w:tc>
          <w:tcPr>
            <w:tcW w:w="0" w:type="auto"/>
          </w:tcPr>
          <w:p w:rsidR="00DC1131" w:rsidRDefault="00CB7AEE">
            <w:pPr>
              <w:pStyle w:val="Compact"/>
            </w:pPr>
            <w:r>
              <w:t>0.78 (0.21)</w:t>
            </w:r>
          </w:p>
        </w:tc>
        <w:tc>
          <w:tcPr>
            <w:tcW w:w="0" w:type="auto"/>
          </w:tcPr>
          <w:p w:rsidR="00DC1131" w:rsidRDefault="00CB7AEE">
            <w:pPr>
              <w:pStyle w:val="Compact"/>
            </w:pPr>
            <w:r>
              <w:t>0.75</w:t>
            </w:r>
          </w:p>
        </w:tc>
        <w:tc>
          <w:tcPr>
            <w:tcW w:w="0" w:type="auto"/>
          </w:tcPr>
          <w:p w:rsidR="00DC1131" w:rsidRDefault="00CB7AEE">
            <w:pPr>
              <w:pStyle w:val="Compact"/>
            </w:pPr>
            <w:r>
              <w:t>0.16</w:t>
            </w:r>
          </w:p>
        </w:tc>
        <w:tc>
          <w:tcPr>
            <w:tcW w:w="0" w:type="auto"/>
          </w:tcPr>
          <w:p w:rsidR="00DC1131" w:rsidRDefault="00CB7AEE">
            <w:pPr>
              <w:pStyle w:val="Compact"/>
            </w:pPr>
            <w:r>
              <w:t>0.27</w:t>
            </w:r>
          </w:p>
        </w:tc>
        <w:tc>
          <w:tcPr>
            <w:tcW w:w="0" w:type="auto"/>
          </w:tcPr>
          <w:p w:rsidR="00DC1131" w:rsidRDefault="00CB7AEE">
            <w:pPr>
              <w:pStyle w:val="Compact"/>
            </w:pPr>
            <w:r>
              <w:t>0.65</w:t>
            </w:r>
          </w:p>
        </w:tc>
      </w:tr>
      <w:tr w:rsidR="00DC1131">
        <w:tc>
          <w:tcPr>
            <w:tcW w:w="0" w:type="auto"/>
          </w:tcPr>
          <w:p w:rsidR="00DC1131" w:rsidRDefault="00DC1131">
            <w:pPr>
              <w:pStyle w:val="Compact"/>
            </w:pPr>
          </w:p>
        </w:tc>
        <w:tc>
          <w:tcPr>
            <w:tcW w:w="0" w:type="auto"/>
          </w:tcPr>
          <w:p w:rsidR="00DC1131" w:rsidRDefault="00CB7AEE">
            <w:pPr>
              <w:pStyle w:val="Compact"/>
            </w:pPr>
            <w:r>
              <w:t>SN</w:t>
            </w:r>
          </w:p>
        </w:tc>
        <w:tc>
          <w:tcPr>
            <w:tcW w:w="0" w:type="auto"/>
          </w:tcPr>
          <w:p w:rsidR="00DC1131" w:rsidRDefault="00CB7AEE">
            <w:pPr>
              <w:pStyle w:val="Compact"/>
              <w:jc w:val="right"/>
            </w:pPr>
            <w:r>
              <w:t>412</w:t>
            </w:r>
          </w:p>
        </w:tc>
        <w:tc>
          <w:tcPr>
            <w:tcW w:w="0" w:type="auto"/>
          </w:tcPr>
          <w:p w:rsidR="00DC1131" w:rsidRDefault="00CB7AEE">
            <w:pPr>
              <w:pStyle w:val="Compact"/>
            </w:pPr>
            <w:r>
              <w:t>0.98 (0.18)</w:t>
            </w:r>
          </w:p>
        </w:tc>
        <w:tc>
          <w:tcPr>
            <w:tcW w:w="0" w:type="auto"/>
          </w:tcPr>
          <w:p w:rsidR="00DC1131" w:rsidRDefault="00CB7AEE">
            <w:pPr>
              <w:pStyle w:val="Compact"/>
            </w:pPr>
            <w:r>
              <w:t>0.98 (0.09)</w:t>
            </w:r>
          </w:p>
        </w:tc>
        <w:tc>
          <w:tcPr>
            <w:tcW w:w="0" w:type="auto"/>
          </w:tcPr>
          <w:p w:rsidR="00DC1131" w:rsidRDefault="00CB7AEE">
            <w:pPr>
              <w:pStyle w:val="Compact"/>
            </w:pPr>
            <w:r>
              <w:t>0.45</w:t>
            </w:r>
          </w:p>
        </w:tc>
        <w:tc>
          <w:tcPr>
            <w:tcW w:w="0" w:type="auto"/>
          </w:tcPr>
          <w:p w:rsidR="00DC1131" w:rsidRDefault="00CB7AEE">
            <w:pPr>
              <w:pStyle w:val="Compact"/>
            </w:pPr>
            <w:r>
              <w:t>0.16</w:t>
            </w:r>
          </w:p>
        </w:tc>
        <w:tc>
          <w:tcPr>
            <w:tcW w:w="0" w:type="auto"/>
          </w:tcPr>
          <w:p w:rsidR="00DC1131" w:rsidRDefault="00CB7AEE">
            <w:pPr>
              <w:pStyle w:val="Compact"/>
            </w:pPr>
            <w:r>
              <w:t>0.75</w:t>
            </w:r>
          </w:p>
        </w:tc>
        <w:tc>
          <w:tcPr>
            <w:tcW w:w="0" w:type="auto"/>
          </w:tcPr>
          <w:p w:rsidR="00DC1131" w:rsidRDefault="00CB7AEE">
            <w:pPr>
              <w:pStyle w:val="Compact"/>
            </w:pPr>
            <w:r>
              <w:t>0.23</w:t>
            </w:r>
          </w:p>
        </w:tc>
      </w:tr>
      <w:tr w:rsidR="00DC1131">
        <w:tc>
          <w:tcPr>
            <w:tcW w:w="0" w:type="auto"/>
          </w:tcPr>
          <w:p w:rsidR="00DC1131" w:rsidRDefault="00CB7AEE">
            <w:pPr>
              <w:pStyle w:val="Compact"/>
            </w:pPr>
            <w:r>
              <w:t>Val</w:t>
            </w:r>
          </w:p>
        </w:tc>
        <w:tc>
          <w:tcPr>
            <w:tcW w:w="0" w:type="auto"/>
          </w:tcPr>
          <w:p w:rsidR="00DC1131" w:rsidRDefault="00CB7AEE">
            <w:pPr>
              <w:pStyle w:val="Compact"/>
            </w:pPr>
            <w:r>
              <w:t>Statewide</w:t>
            </w:r>
          </w:p>
        </w:tc>
        <w:tc>
          <w:tcPr>
            <w:tcW w:w="0" w:type="auto"/>
          </w:tcPr>
          <w:p w:rsidR="00DC1131" w:rsidRDefault="00CB7AEE">
            <w:pPr>
              <w:pStyle w:val="Compact"/>
              <w:jc w:val="right"/>
            </w:pPr>
            <w:r>
              <w:t>655</w:t>
            </w:r>
          </w:p>
        </w:tc>
        <w:tc>
          <w:tcPr>
            <w:tcW w:w="0" w:type="auto"/>
          </w:tcPr>
          <w:p w:rsidR="00DC1131" w:rsidRDefault="00CB7AEE">
            <w:pPr>
              <w:pStyle w:val="Compact"/>
            </w:pPr>
            <w:r>
              <w:t>0.82 (0.25)</w:t>
            </w:r>
          </w:p>
        </w:tc>
        <w:tc>
          <w:tcPr>
            <w:tcW w:w="0" w:type="auto"/>
          </w:tcPr>
          <w:p w:rsidR="00DC1131" w:rsidRDefault="00CB7AEE">
            <w:pPr>
              <w:pStyle w:val="Compact"/>
            </w:pPr>
            <w:r>
              <w:t>0.84 (0.20)</w:t>
            </w:r>
          </w:p>
        </w:tc>
        <w:tc>
          <w:tcPr>
            <w:tcW w:w="0" w:type="auto"/>
          </w:tcPr>
          <w:p w:rsidR="00DC1131" w:rsidRDefault="00CB7AEE">
            <w:pPr>
              <w:pStyle w:val="Compact"/>
            </w:pPr>
            <w:r>
              <w:t>0.72</w:t>
            </w:r>
          </w:p>
        </w:tc>
        <w:tc>
          <w:tcPr>
            <w:tcW w:w="0" w:type="auto"/>
          </w:tcPr>
          <w:p w:rsidR="00DC1131" w:rsidRDefault="00CB7AEE">
            <w:pPr>
              <w:pStyle w:val="Compact"/>
            </w:pPr>
            <w:r>
              <w:t>0.18</w:t>
            </w:r>
          </w:p>
        </w:tc>
        <w:tc>
          <w:tcPr>
            <w:tcW w:w="0" w:type="auto"/>
          </w:tcPr>
          <w:p w:rsidR="00DC1131" w:rsidRDefault="00CB7AEE">
            <w:pPr>
              <w:pStyle w:val="Compact"/>
            </w:pPr>
            <w:r>
              <w:t>0.36</w:t>
            </w:r>
          </w:p>
        </w:tc>
        <w:tc>
          <w:tcPr>
            <w:tcW w:w="0" w:type="auto"/>
          </w:tcPr>
          <w:p w:rsidR="00DC1131" w:rsidRDefault="00CB7AEE">
            <w:pPr>
              <w:pStyle w:val="Compact"/>
            </w:pPr>
            <w:r>
              <w:t>0.58</w:t>
            </w:r>
          </w:p>
        </w:tc>
      </w:tr>
      <w:tr w:rsidR="00DC1131">
        <w:tc>
          <w:tcPr>
            <w:tcW w:w="0" w:type="auto"/>
          </w:tcPr>
          <w:p w:rsidR="00DC1131" w:rsidRDefault="00DC1131">
            <w:pPr>
              <w:pStyle w:val="Compact"/>
            </w:pPr>
          </w:p>
        </w:tc>
        <w:tc>
          <w:tcPr>
            <w:tcW w:w="0" w:type="auto"/>
          </w:tcPr>
          <w:p w:rsidR="00DC1131" w:rsidRDefault="00CB7AEE">
            <w:pPr>
              <w:pStyle w:val="Compact"/>
            </w:pPr>
            <w:r>
              <w:t>CH</w:t>
            </w:r>
          </w:p>
        </w:tc>
        <w:tc>
          <w:tcPr>
            <w:tcW w:w="0" w:type="auto"/>
          </w:tcPr>
          <w:p w:rsidR="00DC1131" w:rsidRDefault="00CB7AEE">
            <w:pPr>
              <w:pStyle w:val="Compact"/>
              <w:jc w:val="right"/>
            </w:pPr>
            <w:r>
              <w:t>172</w:t>
            </w:r>
          </w:p>
        </w:tc>
        <w:tc>
          <w:tcPr>
            <w:tcW w:w="0" w:type="auto"/>
          </w:tcPr>
          <w:p w:rsidR="00DC1131" w:rsidRDefault="00CB7AEE">
            <w:pPr>
              <w:pStyle w:val="Compact"/>
            </w:pPr>
            <w:r>
              <w:t>0.76 (0.27)</w:t>
            </w:r>
          </w:p>
        </w:tc>
        <w:tc>
          <w:tcPr>
            <w:tcW w:w="0" w:type="auto"/>
          </w:tcPr>
          <w:p w:rsidR="00DC1131" w:rsidRDefault="00CB7AEE">
            <w:pPr>
              <w:pStyle w:val="Compact"/>
            </w:pPr>
            <w:r>
              <w:t>0.81 (0.21)</w:t>
            </w:r>
          </w:p>
        </w:tc>
        <w:tc>
          <w:tcPr>
            <w:tcW w:w="0" w:type="auto"/>
          </w:tcPr>
          <w:p w:rsidR="00DC1131" w:rsidRDefault="00CB7AEE">
            <w:pPr>
              <w:pStyle w:val="Compact"/>
            </w:pPr>
            <w:r>
              <w:t>0.74</w:t>
            </w:r>
          </w:p>
        </w:tc>
        <w:tc>
          <w:tcPr>
            <w:tcW w:w="0" w:type="auto"/>
          </w:tcPr>
          <w:p w:rsidR="00DC1131" w:rsidRDefault="00CB7AEE">
            <w:pPr>
              <w:pStyle w:val="Compact"/>
            </w:pPr>
            <w:r>
              <w:t>0.19</w:t>
            </w:r>
          </w:p>
        </w:tc>
        <w:tc>
          <w:tcPr>
            <w:tcW w:w="0" w:type="auto"/>
          </w:tcPr>
          <w:p w:rsidR="00DC1131" w:rsidRDefault="00CB7AEE">
            <w:pPr>
              <w:pStyle w:val="Compact"/>
            </w:pPr>
            <w:r>
              <w:t>0.39</w:t>
            </w:r>
          </w:p>
        </w:tc>
        <w:tc>
          <w:tcPr>
            <w:tcW w:w="0" w:type="auto"/>
          </w:tcPr>
          <w:p w:rsidR="00DC1131" w:rsidRDefault="00CB7AEE">
            <w:pPr>
              <w:pStyle w:val="Compact"/>
            </w:pPr>
            <w:r>
              <w:t>0.56</w:t>
            </w:r>
          </w:p>
        </w:tc>
      </w:tr>
      <w:tr w:rsidR="00DC1131">
        <w:tc>
          <w:tcPr>
            <w:tcW w:w="0" w:type="auto"/>
          </w:tcPr>
          <w:p w:rsidR="00DC1131" w:rsidRDefault="00DC1131">
            <w:pPr>
              <w:pStyle w:val="Compact"/>
            </w:pPr>
          </w:p>
        </w:tc>
        <w:tc>
          <w:tcPr>
            <w:tcW w:w="0" w:type="auto"/>
          </w:tcPr>
          <w:p w:rsidR="00DC1131" w:rsidRDefault="00CB7AEE">
            <w:pPr>
              <w:pStyle w:val="Compact"/>
            </w:pPr>
            <w:r>
              <w:t>CV</w:t>
            </w:r>
          </w:p>
        </w:tc>
        <w:tc>
          <w:tcPr>
            <w:tcW w:w="0" w:type="auto"/>
          </w:tcPr>
          <w:p w:rsidR="00DC1131" w:rsidRDefault="00CB7AEE">
            <w:pPr>
              <w:pStyle w:val="Compact"/>
              <w:jc w:val="right"/>
            </w:pPr>
            <w:r>
              <w:t>40</w:t>
            </w:r>
          </w:p>
        </w:tc>
        <w:tc>
          <w:tcPr>
            <w:tcW w:w="0" w:type="auto"/>
          </w:tcPr>
          <w:p w:rsidR="00DC1131" w:rsidRDefault="00CB7AEE">
            <w:pPr>
              <w:pStyle w:val="Compact"/>
            </w:pPr>
            <w:r>
              <w:t>0.52 (0.19)</w:t>
            </w:r>
          </w:p>
        </w:tc>
        <w:tc>
          <w:tcPr>
            <w:tcW w:w="0" w:type="auto"/>
          </w:tcPr>
          <w:p w:rsidR="00DC1131" w:rsidRDefault="00CB7AEE">
            <w:pPr>
              <w:pStyle w:val="Compact"/>
            </w:pPr>
            <w:r>
              <w:t>0.59 (0.16)</w:t>
            </w:r>
          </w:p>
        </w:tc>
        <w:tc>
          <w:tcPr>
            <w:tcW w:w="0" w:type="auto"/>
          </w:tcPr>
          <w:p w:rsidR="00DC1131" w:rsidRDefault="00CB7AEE">
            <w:pPr>
              <w:pStyle w:val="Compact"/>
            </w:pPr>
            <w:r>
              <w:t>0.49</w:t>
            </w:r>
          </w:p>
        </w:tc>
        <w:tc>
          <w:tcPr>
            <w:tcW w:w="0" w:type="auto"/>
          </w:tcPr>
          <w:p w:rsidR="00DC1131" w:rsidRDefault="00CB7AEE">
            <w:pPr>
              <w:pStyle w:val="Compact"/>
            </w:pPr>
            <w:r>
              <w:t>0.19</w:t>
            </w:r>
          </w:p>
        </w:tc>
        <w:tc>
          <w:tcPr>
            <w:tcW w:w="0" w:type="auto"/>
          </w:tcPr>
          <w:p w:rsidR="00DC1131" w:rsidRDefault="00CB7AEE">
            <w:pPr>
              <w:pStyle w:val="Compact"/>
            </w:pPr>
            <w:r>
              <w:t>0.38</w:t>
            </w:r>
          </w:p>
        </w:tc>
        <w:tc>
          <w:tcPr>
            <w:tcW w:w="0" w:type="auto"/>
          </w:tcPr>
          <w:p w:rsidR="00DC1131" w:rsidRDefault="00CB7AEE">
            <w:pPr>
              <w:pStyle w:val="Compact"/>
            </w:pPr>
            <w:r>
              <w:t>0.40</w:t>
            </w:r>
          </w:p>
        </w:tc>
      </w:tr>
      <w:tr w:rsidR="00DC1131">
        <w:tc>
          <w:tcPr>
            <w:tcW w:w="0" w:type="auto"/>
          </w:tcPr>
          <w:p w:rsidR="00DC1131" w:rsidRDefault="00DC1131">
            <w:pPr>
              <w:pStyle w:val="Compact"/>
            </w:pPr>
          </w:p>
        </w:tc>
        <w:tc>
          <w:tcPr>
            <w:tcW w:w="0" w:type="auto"/>
          </w:tcPr>
          <w:p w:rsidR="00DC1131" w:rsidRDefault="00CB7AEE">
            <w:pPr>
              <w:pStyle w:val="Compact"/>
            </w:pPr>
            <w:r>
              <w:t>DM</w:t>
            </w:r>
          </w:p>
        </w:tc>
        <w:tc>
          <w:tcPr>
            <w:tcW w:w="0" w:type="auto"/>
          </w:tcPr>
          <w:p w:rsidR="00DC1131" w:rsidRDefault="00CB7AEE">
            <w:pPr>
              <w:pStyle w:val="Compact"/>
              <w:jc w:val="right"/>
            </w:pPr>
            <w:r>
              <w:t>28</w:t>
            </w:r>
          </w:p>
        </w:tc>
        <w:tc>
          <w:tcPr>
            <w:tcW w:w="0" w:type="auto"/>
          </w:tcPr>
          <w:p w:rsidR="00DC1131" w:rsidRDefault="00CB7AEE">
            <w:pPr>
              <w:pStyle w:val="Compact"/>
            </w:pPr>
            <w:r>
              <w:t>0.84 (0.17)</w:t>
            </w:r>
          </w:p>
        </w:tc>
        <w:tc>
          <w:tcPr>
            <w:tcW w:w="0" w:type="auto"/>
          </w:tcPr>
          <w:p w:rsidR="00DC1131" w:rsidRDefault="00CB7AEE">
            <w:pPr>
              <w:pStyle w:val="Compact"/>
            </w:pPr>
            <w:r>
              <w:t>0.93 (0.11)</w:t>
            </w:r>
          </w:p>
        </w:tc>
        <w:tc>
          <w:tcPr>
            <w:tcW w:w="0" w:type="auto"/>
          </w:tcPr>
          <w:p w:rsidR="00DC1131" w:rsidRDefault="00CB7AEE">
            <w:pPr>
              <w:pStyle w:val="Compact"/>
            </w:pPr>
            <w:r>
              <w:t>0.55</w:t>
            </w:r>
          </w:p>
        </w:tc>
        <w:tc>
          <w:tcPr>
            <w:tcW w:w="0" w:type="auto"/>
          </w:tcPr>
          <w:p w:rsidR="00DC1131" w:rsidRDefault="00CB7AEE">
            <w:pPr>
              <w:pStyle w:val="Compact"/>
            </w:pPr>
            <w:r>
              <w:t>0.17</w:t>
            </w:r>
          </w:p>
        </w:tc>
        <w:tc>
          <w:tcPr>
            <w:tcW w:w="0" w:type="auto"/>
          </w:tcPr>
          <w:p w:rsidR="00DC1131" w:rsidRDefault="00CB7AEE">
            <w:pPr>
              <w:pStyle w:val="Compact"/>
            </w:pPr>
            <w:r>
              <w:t>0.63</w:t>
            </w:r>
          </w:p>
        </w:tc>
        <w:tc>
          <w:tcPr>
            <w:tcW w:w="0" w:type="auto"/>
          </w:tcPr>
          <w:p w:rsidR="00DC1131" w:rsidRDefault="00CB7AEE">
            <w:pPr>
              <w:pStyle w:val="Compact"/>
            </w:pPr>
            <w:r>
              <w:t>0.36</w:t>
            </w:r>
          </w:p>
        </w:tc>
      </w:tr>
      <w:tr w:rsidR="00DC1131">
        <w:tc>
          <w:tcPr>
            <w:tcW w:w="0" w:type="auto"/>
          </w:tcPr>
          <w:p w:rsidR="00DC1131" w:rsidRDefault="00DC1131">
            <w:pPr>
              <w:pStyle w:val="Compact"/>
            </w:pPr>
          </w:p>
        </w:tc>
        <w:tc>
          <w:tcPr>
            <w:tcW w:w="0" w:type="auto"/>
          </w:tcPr>
          <w:p w:rsidR="00DC1131" w:rsidRDefault="00CB7AEE">
            <w:pPr>
              <w:pStyle w:val="Compact"/>
            </w:pPr>
            <w:r>
              <w:t>NC</w:t>
            </w:r>
          </w:p>
        </w:tc>
        <w:tc>
          <w:tcPr>
            <w:tcW w:w="0" w:type="auto"/>
          </w:tcPr>
          <w:p w:rsidR="00DC1131" w:rsidRDefault="00CB7AEE">
            <w:pPr>
              <w:pStyle w:val="Compact"/>
              <w:jc w:val="right"/>
            </w:pPr>
            <w:r>
              <w:t>71</w:t>
            </w:r>
          </w:p>
        </w:tc>
        <w:tc>
          <w:tcPr>
            <w:tcW w:w="0" w:type="auto"/>
          </w:tcPr>
          <w:p w:rsidR="00DC1131" w:rsidRDefault="00CB7AEE">
            <w:pPr>
              <w:pStyle w:val="Compact"/>
            </w:pPr>
            <w:r>
              <w:t>0.94 (0.19)</w:t>
            </w:r>
          </w:p>
        </w:tc>
        <w:tc>
          <w:tcPr>
            <w:tcW w:w="0" w:type="auto"/>
          </w:tcPr>
          <w:p w:rsidR="00DC1131" w:rsidRDefault="00CB7AEE">
            <w:pPr>
              <w:pStyle w:val="Compact"/>
            </w:pPr>
            <w:r>
              <w:t>0.96 (0.11)</w:t>
            </w:r>
          </w:p>
        </w:tc>
        <w:tc>
          <w:tcPr>
            <w:tcW w:w="0" w:type="auto"/>
          </w:tcPr>
          <w:p w:rsidR="00DC1131" w:rsidRDefault="00CB7AEE">
            <w:pPr>
              <w:pStyle w:val="Compact"/>
            </w:pPr>
            <w:r>
              <w:t>0.55</w:t>
            </w:r>
          </w:p>
        </w:tc>
        <w:tc>
          <w:tcPr>
            <w:tcW w:w="0" w:type="auto"/>
          </w:tcPr>
          <w:p w:rsidR="00DC1131" w:rsidRDefault="00CB7AEE">
            <w:pPr>
              <w:pStyle w:val="Compact"/>
            </w:pPr>
            <w:r>
              <w:t>0.16</w:t>
            </w:r>
          </w:p>
        </w:tc>
        <w:tc>
          <w:tcPr>
            <w:tcW w:w="0" w:type="auto"/>
          </w:tcPr>
          <w:p w:rsidR="00DC1131" w:rsidRDefault="00CB7AEE">
            <w:pPr>
              <w:pStyle w:val="Compact"/>
            </w:pPr>
            <w:r>
              <w:t>0.67</w:t>
            </w:r>
          </w:p>
        </w:tc>
        <w:tc>
          <w:tcPr>
            <w:tcW w:w="0" w:type="auto"/>
          </w:tcPr>
          <w:p w:rsidR="00DC1131" w:rsidRDefault="00CB7AEE">
            <w:pPr>
              <w:pStyle w:val="Compact"/>
            </w:pPr>
            <w:r>
              <w:t>0.31</w:t>
            </w:r>
          </w:p>
        </w:tc>
      </w:tr>
      <w:tr w:rsidR="00DC1131">
        <w:tc>
          <w:tcPr>
            <w:tcW w:w="0" w:type="auto"/>
          </w:tcPr>
          <w:p w:rsidR="00DC1131" w:rsidRDefault="00DC1131">
            <w:pPr>
              <w:pStyle w:val="Compact"/>
            </w:pPr>
          </w:p>
        </w:tc>
        <w:tc>
          <w:tcPr>
            <w:tcW w:w="0" w:type="auto"/>
          </w:tcPr>
          <w:p w:rsidR="00DC1131" w:rsidRDefault="00CB7AEE">
            <w:pPr>
              <w:pStyle w:val="Compact"/>
            </w:pPr>
            <w:r>
              <w:t>SC</w:t>
            </w:r>
          </w:p>
        </w:tc>
        <w:tc>
          <w:tcPr>
            <w:tcW w:w="0" w:type="auto"/>
          </w:tcPr>
          <w:p w:rsidR="00DC1131" w:rsidRDefault="00CB7AEE">
            <w:pPr>
              <w:pStyle w:val="Compact"/>
              <w:jc w:val="right"/>
            </w:pPr>
            <w:r>
              <w:t>208</w:t>
            </w:r>
          </w:p>
        </w:tc>
        <w:tc>
          <w:tcPr>
            <w:tcW w:w="0" w:type="auto"/>
          </w:tcPr>
          <w:p w:rsidR="00DC1131" w:rsidRDefault="00CB7AEE">
            <w:pPr>
              <w:pStyle w:val="Compact"/>
            </w:pPr>
            <w:r>
              <w:t>0.80 (0.24)</w:t>
            </w:r>
          </w:p>
        </w:tc>
        <w:tc>
          <w:tcPr>
            <w:tcW w:w="0" w:type="auto"/>
          </w:tcPr>
          <w:p w:rsidR="00DC1131" w:rsidRDefault="00CB7AEE">
            <w:pPr>
              <w:pStyle w:val="Compact"/>
            </w:pPr>
            <w:r>
              <w:t>0.78 (0.21)</w:t>
            </w:r>
          </w:p>
        </w:tc>
        <w:tc>
          <w:tcPr>
            <w:tcW w:w="0" w:type="auto"/>
          </w:tcPr>
          <w:p w:rsidR="00DC1131" w:rsidRDefault="00CB7AEE">
            <w:pPr>
              <w:pStyle w:val="Compact"/>
            </w:pPr>
            <w:r>
              <w:t>0.72</w:t>
            </w:r>
          </w:p>
        </w:tc>
        <w:tc>
          <w:tcPr>
            <w:tcW w:w="0" w:type="auto"/>
          </w:tcPr>
          <w:p w:rsidR="00DC1131" w:rsidRDefault="00CB7AEE">
            <w:pPr>
              <w:pStyle w:val="Compact"/>
            </w:pPr>
            <w:r>
              <w:t>0.17</w:t>
            </w:r>
          </w:p>
        </w:tc>
        <w:tc>
          <w:tcPr>
            <w:tcW w:w="0" w:type="auto"/>
          </w:tcPr>
          <w:p w:rsidR="00DC1131" w:rsidRDefault="00CB7AEE">
            <w:pPr>
              <w:pStyle w:val="Compact"/>
            </w:pPr>
            <w:r>
              <w:t>0.27</w:t>
            </w:r>
          </w:p>
        </w:tc>
        <w:tc>
          <w:tcPr>
            <w:tcW w:w="0" w:type="auto"/>
          </w:tcPr>
          <w:p w:rsidR="00DC1131" w:rsidRDefault="00CB7AEE">
            <w:pPr>
              <w:pStyle w:val="Compact"/>
            </w:pPr>
            <w:r>
              <w:t>0.63</w:t>
            </w:r>
          </w:p>
        </w:tc>
      </w:tr>
      <w:tr w:rsidR="00DC1131">
        <w:tc>
          <w:tcPr>
            <w:tcW w:w="0" w:type="auto"/>
          </w:tcPr>
          <w:p w:rsidR="00DC1131" w:rsidRDefault="00DC1131">
            <w:pPr>
              <w:pStyle w:val="Compact"/>
            </w:pPr>
          </w:p>
        </w:tc>
        <w:tc>
          <w:tcPr>
            <w:tcW w:w="0" w:type="auto"/>
          </w:tcPr>
          <w:p w:rsidR="00DC1131" w:rsidRDefault="00CB7AEE">
            <w:pPr>
              <w:pStyle w:val="Compact"/>
            </w:pPr>
            <w:r>
              <w:t>SN</w:t>
            </w:r>
          </w:p>
        </w:tc>
        <w:tc>
          <w:tcPr>
            <w:tcW w:w="0" w:type="auto"/>
          </w:tcPr>
          <w:p w:rsidR="00DC1131" w:rsidRDefault="00CB7AEE">
            <w:pPr>
              <w:pStyle w:val="Compact"/>
              <w:jc w:val="right"/>
            </w:pPr>
            <w:r>
              <w:t>136</w:t>
            </w:r>
          </w:p>
        </w:tc>
        <w:tc>
          <w:tcPr>
            <w:tcW w:w="0" w:type="auto"/>
          </w:tcPr>
          <w:p w:rsidR="00DC1131" w:rsidRDefault="00CB7AEE">
            <w:pPr>
              <w:pStyle w:val="Compact"/>
            </w:pPr>
            <w:r>
              <w:t>0.97 (0.17)</w:t>
            </w:r>
          </w:p>
        </w:tc>
        <w:tc>
          <w:tcPr>
            <w:tcW w:w="0" w:type="auto"/>
          </w:tcPr>
          <w:p w:rsidR="00DC1131" w:rsidRDefault="00CB7AEE">
            <w:pPr>
              <w:pStyle w:val="Compact"/>
            </w:pPr>
            <w:r>
              <w:t>0.98 (0.09)</w:t>
            </w:r>
          </w:p>
        </w:tc>
        <w:tc>
          <w:tcPr>
            <w:tcW w:w="0" w:type="auto"/>
          </w:tcPr>
          <w:p w:rsidR="00DC1131" w:rsidRDefault="00CB7AEE">
            <w:pPr>
              <w:pStyle w:val="Compact"/>
            </w:pPr>
            <w:r>
              <w:t>0.21</w:t>
            </w:r>
          </w:p>
        </w:tc>
        <w:tc>
          <w:tcPr>
            <w:tcW w:w="0" w:type="auto"/>
          </w:tcPr>
          <w:p w:rsidR="00DC1131" w:rsidRDefault="00CB7AEE">
            <w:pPr>
              <w:pStyle w:val="Compact"/>
            </w:pPr>
            <w:r>
              <w:t>0.17</w:t>
            </w:r>
          </w:p>
        </w:tc>
        <w:tc>
          <w:tcPr>
            <w:tcW w:w="0" w:type="auto"/>
          </w:tcPr>
          <w:p w:rsidR="00DC1131" w:rsidRDefault="00CB7AEE">
            <w:pPr>
              <w:pStyle w:val="Compact"/>
            </w:pPr>
            <w:r>
              <w:t>0.88</w:t>
            </w:r>
          </w:p>
        </w:tc>
        <w:tc>
          <w:tcPr>
            <w:tcW w:w="0" w:type="auto"/>
          </w:tcPr>
          <w:p w:rsidR="00DC1131" w:rsidRDefault="00CB7AEE">
            <w:pPr>
              <w:pStyle w:val="Compact"/>
            </w:pPr>
            <w:r>
              <w:t>0.11</w:t>
            </w:r>
          </w:p>
        </w:tc>
      </w:tr>
    </w:tbl>
    <w:p w:rsidR="009526F5" w:rsidRDefault="009526F5">
      <w:pPr>
        <w:pStyle w:val="BodyText"/>
        <w:rPr>
          <w:i/>
        </w:rPr>
      </w:pPr>
    </w:p>
    <w:p w:rsidR="009526F5" w:rsidRDefault="009526F5">
      <w:pPr>
        <w:pStyle w:val="BodyText"/>
        <w:rPr>
          <w:i/>
        </w:rPr>
      </w:pPr>
    </w:p>
    <w:p w:rsidR="00DC1131" w:rsidRDefault="00CB7AEE">
      <w:pPr>
        <w:pStyle w:val="BodyText"/>
      </w:pPr>
      <w:r>
        <w:rPr>
          <w:i/>
        </w:rPr>
        <w:lastRenderedPageBreak/>
        <w:t>Table 3: Summary of stream length for each stream class statewide and major regions of California (Figures 1, 4).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w:tblPr>
        <w:tblW w:w="0" w:type="auto"/>
        <w:jc w:val="center"/>
        <w:tblLayout w:type="fixed"/>
        <w:tblLook w:val="04A0" w:firstRow="1" w:lastRow="0" w:firstColumn="1" w:lastColumn="0" w:noHBand="0" w:noVBand="1"/>
      </w:tblPr>
      <w:tblGrid>
        <w:gridCol w:w="1358"/>
        <w:gridCol w:w="1550"/>
        <w:gridCol w:w="1434"/>
        <w:gridCol w:w="1829"/>
        <w:gridCol w:w="1434"/>
      </w:tblGrid>
      <w:tr w:rsidR="00DC1131">
        <w:trPr>
          <w:trHeight w:val="434"/>
          <w:tblHeader/>
          <w:jc w:val="center"/>
        </w:trPr>
        <w:tc>
          <w:tcPr>
            <w:tcW w:w="1358" w:type="dxa"/>
            <w:tcBorders>
              <w:bottom w:val="single" w:sz="8" w:space="0" w:color="000000"/>
            </w:tcBorders>
            <w:tcMar>
              <w:top w:w="0" w:type="dxa"/>
              <w:left w:w="0" w:type="dxa"/>
              <w:bottom w:w="0" w:type="dxa"/>
              <w:right w:w="0" w:type="dxa"/>
            </w:tcMar>
            <w:vAlign w:val="center"/>
          </w:tcPr>
          <w:p w:rsidR="00DC1131" w:rsidRDefault="00DC1131">
            <w:pPr>
              <w:spacing w:before="40" w:after="40"/>
              <w:ind w:left="40" w:right="40"/>
            </w:pPr>
          </w:p>
        </w:tc>
        <w:tc>
          <w:tcPr>
            <w:tcW w:w="2984" w:type="dxa"/>
            <w:gridSpan w:val="2"/>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constrained</w:t>
            </w:r>
          </w:p>
        </w:tc>
        <w:tc>
          <w:tcPr>
            <w:tcW w:w="3263" w:type="dxa"/>
            <w:gridSpan w:val="2"/>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unconstrained</w:t>
            </w:r>
          </w:p>
        </w:tc>
      </w:tr>
      <w:tr w:rsidR="00DC1131">
        <w:trPr>
          <w:trHeight w:val="474"/>
          <w:tblHeader/>
          <w:jc w:val="center"/>
        </w:trPr>
        <w:tc>
          <w:tcPr>
            <w:tcW w:w="1358"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Region</w:t>
            </w:r>
          </w:p>
        </w:tc>
        <w:tc>
          <w:tcPr>
            <w:tcW w:w="1550"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likely</w:t>
            </w:r>
          </w:p>
        </w:tc>
        <w:tc>
          <w:tcPr>
            <w:tcW w:w="1434"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possibly</w:t>
            </w:r>
          </w:p>
        </w:tc>
        <w:tc>
          <w:tcPr>
            <w:tcW w:w="1829"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possibly</w:t>
            </w:r>
          </w:p>
        </w:tc>
        <w:tc>
          <w:tcPr>
            <w:tcW w:w="1434"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likely</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Statewide</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8150 (4)</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24735 (11)</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101591 (46)</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85317 (39)</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CV</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3356 (22)</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8010 (52)</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3202 (21)</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951 (6)</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CH</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1642 (3)</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7840 (13)</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30693 (50)</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21206 (35)</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DM</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255 (0)</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3395 (6)</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27194 (47)</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26479 (46)</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NC</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108 (0)</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1442 (5)</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14152 (49)</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13286 (46)</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SN</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20 (0)</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1067 (3)</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18228 (48)</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19032 (50)</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SC</w:t>
            </w:r>
          </w:p>
        </w:tc>
        <w:tc>
          <w:tcPr>
            <w:tcW w:w="1550"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2770 (15)</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2981 (16)</w:t>
            </w:r>
          </w:p>
        </w:tc>
        <w:tc>
          <w:tcPr>
            <w:tcW w:w="18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8122 (45)</w:t>
            </w:r>
          </w:p>
        </w:tc>
        <w:tc>
          <w:tcPr>
            <w:tcW w:w="14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4363 (24)</w:t>
            </w:r>
          </w:p>
        </w:tc>
      </w:tr>
    </w:tbl>
    <w:p w:rsidR="00DC1131" w:rsidRDefault="00CB7AEE">
      <w:pPr>
        <w:pStyle w:val="BodyText"/>
      </w:pPr>
      <w:r>
        <w:rPr>
          <w:i/>
        </w:rPr>
        <w:t>Table 4: Summary of CSCI scores by relative expectations for each stream class statewide and in each major region of California (Figures 1, 4).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w:tblPr>
        <w:tblW w:w="0" w:type="auto"/>
        <w:jc w:val="center"/>
        <w:tblLayout w:type="fixed"/>
        <w:tblLook w:val="04A0" w:firstRow="1" w:lastRow="0" w:firstColumn="1" w:lastColumn="0" w:noHBand="0" w:noVBand="1"/>
      </w:tblPr>
      <w:tblGrid>
        <w:gridCol w:w="1358"/>
        <w:gridCol w:w="1794"/>
        <w:gridCol w:w="1168"/>
        <w:gridCol w:w="1425"/>
        <w:gridCol w:w="1301"/>
        <w:gridCol w:w="1629"/>
        <w:gridCol w:w="1034"/>
      </w:tblGrid>
      <w:tr w:rsidR="00DC1131">
        <w:trPr>
          <w:trHeight w:val="474"/>
          <w:tblHeader/>
          <w:jc w:val="center"/>
        </w:trPr>
        <w:tc>
          <w:tcPr>
            <w:tcW w:w="1358" w:type="dxa"/>
            <w:tcBorders>
              <w:bottom w:val="single" w:sz="8" w:space="0" w:color="000000"/>
            </w:tcBorders>
            <w:tcMar>
              <w:top w:w="0" w:type="dxa"/>
              <w:left w:w="0" w:type="dxa"/>
              <w:bottom w:w="0" w:type="dxa"/>
              <w:right w:w="0" w:type="dxa"/>
            </w:tcMar>
            <w:vAlign w:val="center"/>
          </w:tcPr>
          <w:p w:rsidR="00DC1131" w:rsidRDefault="00DC1131">
            <w:pPr>
              <w:spacing w:before="40" w:after="40"/>
              <w:ind w:left="40" w:right="40"/>
            </w:pPr>
          </w:p>
        </w:tc>
        <w:tc>
          <w:tcPr>
            <w:tcW w:w="2962" w:type="dxa"/>
            <w:gridSpan w:val="2"/>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under-scoring</w:t>
            </w:r>
          </w:p>
        </w:tc>
        <w:tc>
          <w:tcPr>
            <w:tcW w:w="2726" w:type="dxa"/>
            <w:gridSpan w:val="2"/>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expected</w:t>
            </w:r>
          </w:p>
        </w:tc>
        <w:tc>
          <w:tcPr>
            <w:tcW w:w="2663" w:type="dxa"/>
            <w:gridSpan w:val="2"/>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over-scoring</w:t>
            </w:r>
          </w:p>
        </w:tc>
      </w:tr>
      <w:tr w:rsidR="00DC1131">
        <w:trPr>
          <w:trHeight w:val="484"/>
          <w:tblHeader/>
          <w:jc w:val="center"/>
        </w:trPr>
        <w:tc>
          <w:tcPr>
            <w:tcW w:w="1358"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Region</w:t>
            </w:r>
          </w:p>
        </w:tc>
        <w:tc>
          <w:tcPr>
            <w:tcW w:w="1794"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CSCI</w:t>
            </w:r>
          </w:p>
        </w:tc>
        <w:tc>
          <w:tcPr>
            <w:tcW w:w="1168"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n (%)</w:t>
            </w:r>
          </w:p>
        </w:tc>
        <w:tc>
          <w:tcPr>
            <w:tcW w:w="1425"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CSCI</w:t>
            </w:r>
          </w:p>
        </w:tc>
        <w:tc>
          <w:tcPr>
            <w:tcW w:w="1301"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n (%)</w:t>
            </w:r>
          </w:p>
        </w:tc>
        <w:tc>
          <w:tcPr>
            <w:tcW w:w="1629"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CSCI</w:t>
            </w:r>
          </w:p>
        </w:tc>
        <w:tc>
          <w:tcPr>
            <w:tcW w:w="1034" w:type="dxa"/>
            <w:tcBorders>
              <w:bottom w:val="single" w:sz="8" w:space="0" w:color="000000"/>
            </w:tcBorders>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n (%)</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Statewide</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0.54 (0.21)</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267 (10)</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0.83 (0.23)</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2041 (80)</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1.08 (0.17)</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242 (9)</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CH</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0.47 (0.18)</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89 (13)</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0.79 (0.24)</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535 (80)</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1.08 (0.17)</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45 (7)</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CV</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0.34 (0.12)</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25 (17)</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0.54 (0.17)</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118 (81)</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0.63 (0.25)</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 (1)</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DM</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0.6 (0.17)</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15 (14)</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0.9 (0.17)</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89 (80)</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1.15 (0.08)</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7 (6)</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NC</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0.66 (0.17)</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28 (10)</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0.93 (0.16)</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228 (82)</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1.15 (0.08)</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22 (8)</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SC</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0.54 (0.22)</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56 (7)</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0.78 (0.22)</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656 (81)</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1.02 (0.2)</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97 (12)</w:t>
            </w:r>
          </w:p>
        </w:tc>
      </w:tr>
      <w:tr w:rsidR="00DC1131">
        <w:trPr>
          <w:trHeight w:val="484"/>
          <w:jc w:val="center"/>
        </w:trPr>
        <w:tc>
          <w:tcPr>
            <w:tcW w:w="135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SN</w:t>
            </w:r>
          </w:p>
        </w:tc>
        <w:tc>
          <w:tcPr>
            <w:tcW w:w="179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0.67 (0.16)</w:t>
            </w:r>
          </w:p>
        </w:tc>
        <w:tc>
          <w:tcPr>
            <w:tcW w:w="1168"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54 (10)</w:t>
            </w:r>
          </w:p>
        </w:tc>
        <w:tc>
          <w:tcPr>
            <w:tcW w:w="1425"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0.99 (0.11)</w:t>
            </w:r>
          </w:p>
        </w:tc>
        <w:tc>
          <w:tcPr>
            <w:tcW w:w="1301"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415 (77)</w:t>
            </w:r>
          </w:p>
        </w:tc>
        <w:tc>
          <w:tcPr>
            <w:tcW w:w="1629"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1.16 (0.06)</w:t>
            </w:r>
          </w:p>
        </w:tc>
        <w:tc>
          <w:tcPr>
            <w:tcW w:w="1034" w:type="dxa"/>
            <w:tcMar>
              <w:top w:w="0" w:type="dxa"/>
              <w:left w:w="0" w:type="dxa"/>
              <w:bottom w:w="0" w:type="dxa"/>
              <w:right w:w="0" w:type="dxa"/>
            </w:tcMar>
            <w:vAlign w:val="center"/>
          </w:tcPr>
          <w:p w:rsidR="00DC1131" w:rsidRDefault="00CB7AEE">
            <w:pPr>
              <w:spacing w:before="40" w:after="40"/>
              <w:ind w:left="40" w:right="40"/>
            </w:pPr>
            <w:r>
              <w:rPr>
                <w:rFonts w:ascii="Times" w:hAnsi="Times" w:cs="Times"/>
                <w:color w:val="000000"/>
              </w:rPr>
              <w:t>69 (13)</w:t>
            </w:r>
          </w:p>
        </w:tc>
      </w:tr>
    </w:tbl>
    <w:p w:rsidR="00DC1131" w:rsidRDefault="00CB7AEE">
      <w:pPr>
        <w:pStyle w:val="Heading1"/>
      </w:pPr>
      <w:bookmarkStart w:id="22" w:name="references"/>
      <w:r>
        <w:lastRenderedPageBreak/>
        <w:t>References</w:t>
      </w:r>
      <w:bookmarkEnd w:id="22"/>
    </w:p>
    <w:p w:rsidR="00DC1131" w:rsidRDefault="00CB7AEE">
      <w:pPr>
        <w:pStyle w:val="Bibliography"/>
      </w:pPr>
      <w:bookmarkStart w:id="23" w:name="ref-Allan97"/>
      <w:bookmarkStart w:id="24" w:name="refs"/>
      <w:r>
        <w:t xml:space="preserve">Allan, D., D. Erickson, and J. Fay. 1997. “The Influence of Catchment Land Use on Stream Integrity Across Multiple Spatial Scales.” </w:t>
      </w:r>
      <w:r>
        <w:rPr>
          <w:i/>
        </w:rPr>
        <w:t>Freshwater Biology</w:t>
      </w:r>
      <w:r>
        <w:t xml:space="preserve"> 37 (1):149–61. </w:t>
      </w:r>
      <w:hyperlink r:id="rId26">
        <w:r>
          <w:rPr>
            <w:rStyle w:val="Hyperlink"/>
          </w:rPr>
          <w:t>https://doi.org/10.1046/j.1365-2427.1997.d01-546.x</w:t>
        </w:r>
      </w:hyperlink>
      <w:r>
        <w:t>.</w:t>
      </w:r>
    </w:p>
    <w:p w:rsidR="00DC1131" w:rsidRDefault="00CB7AEE">
      <w:pPr>
        <w:pStyle w:val="Bibliography"/>
      </w:pPr>
      <w:bookmarkStart w:id="25" w:name="ref-Allan04"/>
      <w:bookmarkEnd w:id="23"/>
      <w:r>
        <w:t xml:space="preserve">Allan, J. D. 2004. “Landscapes and Riverscapes: The Influence of Land Use on Stream Ecosystems.” </w:t>
      </w:r>
      <w:r>
        <w:rPr>
          <w:i/>
        </w:rPr>
        <w:t>Annual Review of Ecology, Evolution, and Systematics</w:t>
      </w:r>
      <w:r>
        <w:t xml:space="preserve"> 35:257–64. </w:t>
      </w:r>
      <w:hyperlink r:id="rId27">
        <w:r>
          <w:rPr>
            <w:rStyle w:val="Hyperlink"/>
          </w:rPr>
          <w:t>https://doi.org/10.1146/annurev.ecolsys.35.120202.110122</w:t>
        </w:r>
      </w:hyperlink>
      <w:r>
        <w:t>.</w:t>
      </w:r>
    </w:p>
    <w:p w:rsidR="00DC1131" w:rsidRDefault="00CB7AEE">
      <w:pPr>
        <w:pStyle w:val="Bibliography"/>
      </w:pPr>
      <w:bookmarkStart w:id="26" w:name="ref-Beck18c"/>
      <w:bookmarkEnd w:id="25"/>
      <w:r>
        <w:t xml:space="preserve">Beck, M. W. 2018. “SCCWRP/SCAPE: v1.0 (Version 1.0). Zenodo, </w:t>
      </w:r>
      <w:hyperlink r:id="rId28">
        <w:r>
          <w:rPr>
            <w:rStyle w:val="Hyperlink"/>
          </w:rPr>
          <w:t>http://doi.org/10.5281/zenodo.1218121</w:t>
        </w:r>
      </w:hyperlink>
      <w:r>
        <w:t>.”</w:t>
      </w:r>
    </w:p>
    <w:p w:rsidR="00DC1131" w:rsidRDefault="00CB7AEE">
      <w:pPr>
        <w:pStyle w:val="Bibliography"/>
      </w:pPr>
      <w:bookmarkStart w:id="27" w:name="ref-Breiman01"/>
      <w:bookmarkEnd w:id="26"/>
      <w:proofErr w:type="spellStart"/>
      <w:r>
        <w:t>Breiman</w:t>
      </w:r>
      <w:proofErr w:type="spellEnd"/>
      <w:r>
        <w:t xml:space="preserve">, L. 2001. “Random Forests.” </w:t>
      </w:r>
      <w:r>
        <w:rPr>
          <w:i/>
        </w:rPr>
        <w:t>Machine Learning</w:t>
      </w:r>
      <w:r>
        <w:t xml:space="preserve"> 45:5–32.</w:t>
      </w:r>
    </w:p>
    <w:p w:rsidR="00DC1131" w:rsidRDefault="00CB7AEE">
      <w:pPr>
        <w:pStyle w:val="Bibliography"/>
      </w:pPr>
      <w:bookmarkStart w:id="28" w:name="ref-Brown12"/>
      <w:bookmarkEnd w:id="27"/>
      <w:r>
        <w:t xml:space="preserve">Brown, L. R., J. T. May, A. C. Rehn, P. R. Ode, I. R. Waite, and J. G. Kennen. 2012. “Predicting Biological Condition in Southern California Streams.” </w:t>
      </w:r>
      <w:r>
        <w:rPr>
          <w:i/>
        </w:rPr>
        <w:t>Landscape and Urban Planning</w:t>
      </w:r>
      <w:r>
        <w:t xml:space="preserve"> 108 (1):17–27. </w:t>
      </w:r>
      <w:hyperlink r:id="rId29">
        <w:r>
          <w:rPr>
            <w:rStyle w:val="Hyperlink"/>
          </w:rPr>
          <w:t>https://doi.org/10.1016/j.landurbplan.2012.07.009</w:t>
        </w:r>
      </w:hyperlink>
      <w:r>
        <w:t>.</w:t>
      </w:r>
    </w:p>
    <w:p w:rsidR="00DC1131" w:rsidRDefault="00CB7AEE">
      <w:pPr>
        <w:pStyle w:val="Bibliography"/>
      </w:pPr>
      <w:bookmarkStart w:id="29" w:name="ref-Buss14"/>
      <w:bookmarkEnd w:id="28"/>
      <w:r>
        <w:t xml:space="preserve">Buss, D. F., D. M. Carlisle, T. -S. Chon, J. Culp, J. s. Harding, H. E. Keizer-Vlek, W. A. Robinson, S. Strachan, C. Thirion, and R. M. Hughes. 2014. “Stream Biomonitoring Using Macroinvertebrates Around the Globe: A Comparison of Large-Scale Programs.” </w:t>
      </w:r>
      <w:r>
        <w:rPr>
          <w:i/>
        </w:rPr>
        <w:t>Environmental Monitoring and Assessment</w:t>
      </w:r>
      <w:r>
        <w:t xml:space="preserve"> 187:4132. </w:t>
      </w:r>
      <w:hyperlink r:id="rId30">
        <w:r>
          <w:rPr>
            <w:rStyle w:val="Hyperlink"/>
          </w:rPr>
          <w:t>https://doi.org/10.1007/s10661-014-4132-8</w:t>
        </w:r>
      </w:hyperlink>
      <w:r>
        <w:t>.</w:t>
      </w:r>
    </w:p>
    <w:p w:rsidR="00DC1131" w:rsidRDefault="00CB7AEE">
      <w:pPr>
        <w:pStyle w:val="Bibliography"/>
      </w:pPr>
      <w:bookmarkStart w:id="30" w:name="ref-Cade03"/>
      <w:bookmarkEnd w:id="29"/>
      <w:r>
        <w:t xml:space="preserve">Cade, B. S., and B. R. Noon. 2003. “A Gentle Introduction to Quantile Regression for Ecologists.” </w:t>
      </w:r>
      <w:r>
        <w:rPr>
          <w:i/>
        </w:rPr>
        <w:t>Frontiers in Ecology and the Environment</w:t>
      </w:r>
      <w:r>
        <w:t xml:space="preserve"> 1 (8):412–20.</w:t>
      </w:r>
    </w:p>
    <w:p w:rsidR="00DC1131" w:rsidRDefault="00CB7AEE">
      <w:pPr>
        <w:pStyle w:val="Bibliography"/>
      </w:pPr>
      <w:bookmarkStart w:id="31" w:name="ref-Cao07"/>
      <w:bookmarkEnd w:id="30"/>
      <w:r>
        <w:t xml:space="preserve">Cao, Y., C. P. Hawkins, J. Olson, and M. A. Kosterman. 2007. “Modeling Natural Environmental Gradients Improves the Accuracy and Precision of Diatom-Based Indicators.” </w:t>
      </w:r>
      <w:r>
        <w:rPr>
          <w:i/>
        </w:rPr>
        <w:t>Journal of the North American Benthological Society</w:t>
      </w:r>
      <w:r>
        <w:t xml:space="preserve"> 26 (3):566–85. </w:t>
      </w:r>
      <w:hyperlink r:id="rId31">
        <w:r>
          <w:rPr>
            <w:rStyle w:val="Hyperlink"/>
          </w:rPr>
          <w:t>https://doi.org/10.1899/06-078.1</w:t>
        </w:r>
      </w:hyperlink>
      <w:r>
        <w:t>.</w:t>
      </w:r>
    </w:p>
    <w:p w:rsidR="00DC1131" w:rsidRDefault="00CB7AEE">
      <w:pPr>
        <w:pStyle w:val="Bibliography"/>
      </w:pPr>
      <w:bookmarkStart w:id="32" w:name="ref-Carline07"/>
      <w:bookmarkEnd w:id="31"/>
      <w:r>
        <w:t xml:space="preserve">Carline, R. F., and M. C. Walsh. 2007. “Responses to Riparian Restoration in the Spring Creek Watershed, Central Pennsylvania.” </w:t>
      </w:r>
      <w:r>
        <w:rPr>
          <w:i/>
        </w:rPr>
        <w:t>Restoration Ecology</w:t>
      </w:r>
      <w:r>
        <w:t xml:space="preserve"> 15 (4):731–42. </w:t>
      </w:r>
      <w:hyperlink r:id="rId32">
        <w:r>
          <w:rPr>
            <w:rStyle w:val="Hyperlink"/>
          </w:rPr>
          <w:t>https://doi.org/10.1111/j.1526-100X.2007.00285.x</w:t>
        </w:r>
      </w:hyperlink>
      <w:r>
        <w:t>.</w:t>
      </w:r>
    </w:p>
    <w:p w:rsidR="00DC1131" w:rsidRDefault="00CB7AEE">
      <w:pPr>
        <w:pStyle w:val="Bibliography"/>
      </w:pPr>
      <w:bookmarkStart w:id="33" w:name="ref-Carlisle09"/>
      <w:bookmarkEnd w:id="32"/>
      <w:r>
        <w:t xml:space="preserve">Carlisle, D. M., J. Falcone, and M. R. Meador. 2009. “Predicting the Biological Condition of Streams: Use of Geospatial Indicators of Natural and Anthropogenic Characteristics of Watersheds.” </w:t>
      </w:r>
      <w:r>
        <w:rPr>
          <w:i/>
        </w:rPr>
        <w:t>Environmental Monitoring and Assessment</w:t>
      </w:r>
      <w:r>
        <w:t xml:space="preserve"> 151 (1-4):143–60. </w:t>
      </w:r>
      <w:hyperlink r:id="rId33">
        <w:r>
          <w:rPr>
            <w:rStyle w:val="Hyperlink"/>
          </w:rPr>
          <w:t>https://doi.org/10.1007/s10661-008-0256-z</w:t>
        </w:r>
      </w:hyperlink>
      <w:r>
        <w:t>.</w:t>
      </w:r>
    </w:p>
    <w:p w:rsidR="00DC1131" w:rsidRDefault="00CB7AEE">
      <w:pPr>
        <w:pStyle w:val="Bibliography"/>
      </w:pPr>
      <w:bookmarkStart w:id="34" w:name="ref-Chen14"/>
      <w:bookmarkEnd w:id="33"/>
      <w:r>
        <w:t xml:space="preserve">Chen, K., R. M. Hughes, S. Xu, J. Zhang, D. Cai, and B. Wang. 2014. “Evaluating Performance of Macroinvertebrate-Based Adjusted and Unadjusted Multi-Metric Indices (MMI) Using Multi-Season and Multi-Year Samples.” </w:t>
      </w:r>
      <w:r>
        <w:rPr>
          <w:i/>
        </w:rPr>
        <w:t>Ecological Indicators</w:t>
      </w:r>
      <w:r>
        <w:t xml:space="preserve"> 36:142–51. </w:t>
      </w:r>
      <w:hyperlink r:id="rId34">
        <w:r>
          <w:rPr>
            <w:rStyle w:val="Hyperlink"/>
          </w:rPr>
          <w:t>https://doi.org/10.1016/j.ecolind.2013.07.006</w:t>
        </w:r>
      </w:hyperlink>
      <w:r>
        <w:t>.</w:t>
      </w:r>
    </w:p>
    <w:p w:rsidR="00DC1131" w:rsidRDefault="00CB7AEE">
      <w:pPr>
        <w:pStyle w:val="Bibliography"/>
      </w:pPr>
      <w:bookmarkStart w:id="35" w:name="ref-Chessman14"/>
      <w:bookmarkEnd w:id="34"/>
      <w:r>
        <w:t xml:space="preserve">Chessman, B. C. 2014. “Predicting Reference Assemblages for Freshwater Bioassessment with Limiting Environmental Difference Analysis.” </w:t>
      </w:r>
      <w:r>
        <w:rPr>
          <w:i/>
        </w:rPr>
        <w:t>Freshwater Science</w:t>
      </w:r>
      <w:r>
        <w:t xml:space="preserve"> 33 (4):1261–71. </w:t>
      </w:r>
      <w:hyperlink r:id="rId35">
        <w:r>
          <w:rPr>
            <w:rStyle w:val="Hyperlink"/>
          </w:rPr>
          <w:t>https://doi.org/10.1086/678701</w:t>
        </w:r>
      </w:hyperlink>
      <w:r>
        <w:t>.</w:t>
      </w:r>
    </w:p>
    <w:p w:rsidR="00DC1131" w:rsidRDefault="00CB7AEE">
      <w:pPr>
        <w:pStyle w:val="Bibliography"/>
      </w:pPr>
      <w:bookmarkStart w:id="36" w:name="ref-Chessman08"/>
      <w:bookmarkEnd w:id="35"/>
      <w:r>
        <w:lastRenderedPageBreak/>
        <w:t xml:space="preserve">Chessman, B. C., M. Muschal, and M. J. Royal. 2008. “Comparing Apples with Apples: Use of Limiting Environmental Differences to Match Reference and Stressor-Exposure Sites for Bioassessment of Streams.” </w:t>
      </w:r>
      <w:r>
        <w:rPr>
          <w:i/>
        </w:rPr>
        <w:t>River Research and Applications</w:t>
      </w:r>
      <w:r>
        <w:t xml:space="preserve"> 24 (1):103–17. </w:t>
      </w:r>
      <w:hyperlink r:id="rId36">
        <w:r>
          <w:rPr>
            <w:rStyle w:val="Hyperlink"/>
          </w:rPr>
          <w:t>https://doi.org/10.1002/rra.1053</w:t>
        </w:r>
      </w:hyperlink>
      <w:r>
        <w:t>.</w:t>
      </w:r>
    </w:p>
    <w:p w:rsidR="00DC1131" w:rsidRDefault="00CB7AEE">
      <w:pPr>
        <w:pStyle w:val="Bibliography"/>
      </w:pPr>
      <w:bookmarkStart w:id="37" w:name="ref-Chessman04"/>
      <w:bookmarkEnd w:id="36"/>
      <w:r>
        <w:t xml:space="preserve">Chessman, B. C., and M. J. Royal. 2004. “Bioassessment Without Reference Sites: Use of Environmental Filters to Predict Natural Assemblages of River Macroinvertebrates.” </w:t>
      </w:r>
      <w:r>
        <w:rPr>
          <w:i/>
        </w:rPr>
        <w:t>Journal of the North American Benthological Society</w:t>
      </w:r>
      <w:r>
        <w:t xml:space="preserve"> 23 (3):599–615. </w:t>
      </w:r>
      <w:hyperlink r:id="rId37">
        <w:r>
          <w:rPr>
            <w:rStyle w:val="Hyperlink"/>
          </w:rPr>
          <w:t>https://doi.org/10.1899/0887-3593(2004)023%3C0599:BWRSUO%3E2.0.CO;2</w:t>
        </w:r>
      </w:hyperlink>
      <w:r>
        <w:t>.</w:t>
      </w:r>
    </w:p>
    <w:p w:rsidR="00DC1131" w:rsidRDefault="00CB7AEE">
      <w:pPr>
        <w:pStyle w:val="Bibliography"/>
      </w:pPr>
      <w:bookmarkStart w:id="38" w:name="ref-Clapcott11"/>
      <w:bookmarkEnd w:id="37"/>
      <w:r>
        <w:t xml:space="preserve">Clapcott, J. E., K. J. Collier, R. G. Death, E. O. Goodwin, J. S. Harding, D. Kelly, J. R. Leathwick, and R. G. Young. 2011. “Quantifying Relationships Between Land-Use Gradients and Structural and Functional Indicators of Stream Ecological Integrity.” </w:t>
      </w:r>
      <w:r>
        <w:rPr>
          <w:i/>
        </w:rPr>
        <w:t>Freshwater Biology</w:t>
      </w:r>
      <w:r>
        <w:t xml:space="preserve"> 57 (1):74–90. </w:t>
      </w:r>
      <w:hyperlink r:id="rId38">
        <w:r>
          <w:rPr>
            <w:rStyle w:val="Hyperlink"/>
          </w:rPr>
          <w:t>https://doi.org/10.1111/j.1365-2427.2011.02696.x</w:t>
        </w:r>
      </w:hyperlink>
      <w:r>
        <w:t>.</w:t>
      </w:r>
    </w:p>
    <w:p w:rsidR="00DC1131" w:rsidRDefault="00CB7AEE">
      <w:pPr>
        <w:pStyle w:val="Bibliography"/>
      </w:pPr>
      <w:bookmarkStart w:id="39" w:name="ref-Cormier13"/>
      <w:bookmarkEnd w:id="38"/>
      <w:r>
        <w:t xml:space="preserve">Cormier, S. M., G. W. Suter II, L. Zhang, and G. J. Pond. 2013. “Assessing Causation of the Extirpation of Stream Macroinvertebrates by a Mixture of Ions.” </w:t>
      </w:r>
      <w:r>
        <w:rPr>
          <w:i/>
        </w:rPr>
        <w:t>Environmental Toxicology and Chemistry</w:t>
      </w:r>
      <w:r>
        <w:t xml:space="preserve"> 32 (2):277–87. </w:t>
      </w:r>
      <w:hyperlink r:id="rId39">
        <w:r>
          <w:rPr>
            <w:rStyle w:val="Hyperlink"/>
          </w:rPr>
          <w:t>https://doi.org/10.1002/etc.2059</w:t>
        </w:r>
      </w:hyperlink>
      <w:r>
        <w:t>.</w:t>
      </w:r>
    </w:p>
    <w:p w:rsidR="00223F93" w:rsidRDefault="00223F93" w:rsidP="00223F93">
      <w:pPr>
        <w:pStyle w:val="Bibliography"/>
      </w:pPr>
      <w:bookmarkStart w:id="40" w:name="ref-Davies06"/>
      <w:bookmarkStart w:id="41" w:name="ref-CRWQCB14"/>
      <w:bookmarkEnd w:id="39"/>
      <w:r>
        <w:t>CW</w:t>
      </w:r>
      <w:r w:rsidR="00B03DFE">
        <w:t>Q</w:t>
      </w:r>
      <w:r>
        <w:t>B (California Regional Water Quality Control Board), Los Angeles Region. 2014. “Basin Plan for the Coastal Watersheds of Los Angeles and Ventura Counties.”</w:t>
      </w:r>
    </w:p>
    <w:bookmarkEnd w:id="41"/>
    <w:p w:rsidR="00DC1131" w:rsidRDefault="00CB7AEE">
      <w:pPr>
        <w:pStyle w:val="Bibliography"/>
      </w:pPr>
      <w:r>
        <w:t xml:space="preserve">Davies, S. P., and S. K. Jackson. 2006. “The Biological Condition Gradient: A Descriptive Model for Interpreting Change in Aquatic Ecosystems.” </w:t>
      </w:r>
      <w:r>
        <w:rPr>
          <w:i/>
        </w:rPr>
        <w:t>Ecological Applications</w:t>
      </w:r>
      <w:r>
        <w:t xml:space="preserve"> 16 (4):1251–66.</w:t>
      </w:r>
    </w:p>
    <w:p w:rsidR="00223F93" w:rsidRDefault="00223F93">
      <w:pPr>
        <w:pStyle w:val="Bibliography"/>
      </w:pPr>
      <w:bookmarkStart w:id="42" w:name="ref-Finkenbine00"/>
      <w:bookmarkStart w:id="43" w:name="ref-FLDEP11"/>
      <w:bookmarkEnd w:id="40"/>
      <w:r>
        <w:t>FDEP (Florida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bookmarkEnd w:id="43"/>
    </w:p>
    <w:p w:rsidR="00DC1131" w:rsidRDefault="00CB7AEE">
      <w:pPr>
        <w:pStyle w:val="Bibliography"/>
      </w:pPr>
      <w:proofErr w:type="spellStart"/>
      <w:r>
        <w:t>Finkenbine</w:t>
      </w:r>
      <w:proofErr w:type="spellEnd"/>
      <w:r>
        <w:t xml:space="preserve">, J. K., J. W. Atwater, and D. S. Mavinic. 2000. “Stream Health After Urbanization.” </w:t>
      </w:r>
      <w:r>
        <w:rPr>
          <w:i/>
        </w:rPr>
        <w:t>Journal of the American Water Resources Association</w:t>
      </w:r>
      <w:r>
        <w:t xml:space="preserve"> 36 (5):1149–60. </w:t>
      </w:r>
      <w:hyperlink r:id="rId40">
        <w:r>
          <w:rPr>
            <w:rStyle w:val="Hyperlink"/>
          </w:rPr>
          <w:t>https://doi.org/10.1111/j.1752-1688.2000.tb05717.x</w:t>
        </w:r>
      </w:hyperlink>
      <w:r>
        <w:t>.</w:t>
      </w:r>
    </w:p>
    <w:p w:rsidR="00DC1131" w:rsidRDefault="00CB7AEE">
      <w:pPr>
        <w:pStyle w:val="Bibliography"/>
      </w:pPr>
      <w:bookmarkStart w:id="44" w:name="ref-Fox17"/>
      <w:bookmarkEnd w:id="42"/>
      <w:r>
        <w:t xml:space="preserve">Fox, E. W., R. A. Hill, S. G. Leibowitz, A. R. Olsen, D. J. Thornbrugh, and M. H. Weber. 2017. “Assessing the Accuracy and Stability of Variable Selection Methods for Random Forest Modeling in Ecology.” </w:t>
      </w:r>
      <w:r>
        <w:rPr>
          <w:i/>
        </w:rPr>
        <w:t>Environmental Monitoring and Assessment</w:t>
      </w:r>
      <w:r>
        <w:t xml:space="preserve"> 189:316. </w:t>
      </w:r>
      <w:hyperlink r:id="rId41">
        <w:r>
          <w:rPr>
            <w:rStyle w:val="Hyperlink"/>
          </w:rPr>
          <w:t>https://doi.org/10.1007/s10661-017-6025-0</w:t>
        </w:r>
      </w:hyperlink>
      <w:r>
        <w:t>.</w:t>
      </w:r>
    </w:p>
    <w:p w:rsidR="00DC1131" w:rsidRDefault="00CB7AEE">
      <w:pPr>
        <w:pStyle w:val="Bibliography"/>
      </w:pPr>
      <w:bookmarkStart w:id="45" w:name="ref-Fry11"/>
      <w:bookmarkEnd w:id="44"/>
      <w:r>
        <w:t xml:space="preserve">Fry, J., G. Xian, S. Jin, J. Dewitz, C. Homer, L. Yang, C. Barnes, N. Herold, and J. Wickham. 2011. “Completion of the 2006 National Land Cover Database for the Conterminous United States.” </w:t>
      </w:r>
      <w:r>
        <w:rPr>
          <w:i/>
        </w:rPr>
        <w:t>Photogrammetric Engineering and Remote Sensing</w:t>
      </w:r>
      <w:r>
        <w:t xml:space="preserve"> 77 (9):858–64.</w:t>
      </w:r>
    </w:p>
    <w:p w:rsidR="00DC1131" w:rsidRDefault="00CB7AEE">
      <w:pPr>
        <w:pStyle w:val="Bibliography"/>
      </w:pPr>
      <w:bookmarkStart w:id="46" w:name="ref-Hastie09"/>
      <w:bookmarkEnd w:id="45"/>
      <w:r>
        <w:t xml:space="preserve">Hastie, T., R. Tibshirani, and J. Friedman. 2009. </w:t>
      </w:r>
      <w:r>
        <w:rPr>
          <w:i/>
        </w:rPr>
        <w:t>The Elements of Statistical Learning: Data Mining, Inference, and Prediction</w:t>
      </w:r>
      <w:r>
        <w:t>. 2nd ed. New York: Springer.</w:t>
      </w:r>
    </w:p>
    <w:p w:rsidR="00DC1131" w:rsidRDefault="00CB7AEE">
      <w:pPr>
        <w:pStyle w:val="Bibliography"/>
      </w:pPr>
      <w:bookmarkStart w:id="47" w:name="ref-Hill17"/>
      <w:bookmarkEnd w:id="46"/>
      <w:r>
        <w:t xml:space="preserve">Hill, R. A., E. W. Fox, S. G. Leibowitz, A. R. Olsen, D. J. Thornbrugh, and M. H. Weber. 2017. “Predictive Mapping of the Biotic Condition of Conterminous U.S. Rivers and Streams.” </w:t>
      </w:r>
      <w:r>
        <w:rPr>
          <w:i/>
        </w:rPr>
        <w:t>Ecological Applications</w:t>
      </w:r>
      <w:r>
        <w:t xml:space="preserve"> 27 (8):2397–2415. </w:t>
      </w:r>
      <w:hyperlink r:id="rId42">
        <w:r>
          <w:rPr>
            <w:rStyle w:val="Hyperlink"/>
          </w:rPr>
          <w:t>https://doi.org/10.1002/eap.1617</w:t>
        </w:r>
      </w:hyperlink>
      <w:r>
        <w:t>.</w:t>
      </w:r>
    </w:p>
    <w:p w:rsidR="00DC1131" w:rsidRDefault="00CB7AEE">
      <w:pPr>
        <w:pStyle w:val="Bibliography"/>
      </w:pPr>
      <w:bookmarkStart w:id="48" w:name="ref-Hill16"/>
      <w:bookmarkEnd w:id="47"/>
      <w:r>
        <w:lastRenderedPageBreak/>
        <w:t xml:space="preserve">Hill, R. A., M. H. Weber, S. G. Leibowitz, A. R. Olsen, and D. J. Thornbrugh. 2016. “The Stream-Catchment (StreamCat) Dataset: A Database of Watershed Metrics for the Conterminous United States.” </w:t>
      </w:r>
      <w:r>
        <w:rPr>
          <w:i/>
        </w:rPr>
        <w:t>Journal of the American Water Resources Assocation</w:t>
      </w:r>
      <w:r>
        <w:t xml:space="preserve"> 52:120–28. </w:t>
      </w:r>
      <w:hyperlink r:id="rId43">
        <w:r>
          <w:rPr>
            <w:rStyle w:val="Hyperlink"/>
          </w:rPr>
          <w:t>https://doi.org/10.1111/1752-1688.12372</w:t>
        </w:r>
      </w:hyperlink>
      <w:r>
        <w:t>.</w:t>
      </w:r>
    </w:p>
    <w:p w:rsidR="00DC1131" w:rsidRDefault="00CB7AEE">
      <w:pPr>
        <w:pStyle w:val="Bibliography"/>
      </w:pPr>
      <w:bookmarkStart w:id="49" w:name="ref-Howard18"/>
      <w:bookmarkEnd w:id="48"/>
      <w:r>
        <w:t xml:space="preserve">Howard, J. K., K. A. Fesenmyer, T. E Grantham, J. H. Viers, P. R. Ode, P. B. Moyle, S. J. Kupferburg, et al. 2018. “A Freshwater Conservation Blueprint for California: Prioritizing Watersheds for Freshwater Biodiversity.” </w:t>
      </w:r>
      <w:r>
        <w:rPr>
          <w:i/>
        </w:rPr>
        <w:t>Freshwater Science</w:t>
      </w:r>
      <w:r>
        <w:t xml:space="preserve"> 37 (2):417–31. </w:t>
      </w:r>
      <w:hyperlink r:id="rId44">
        <w:r>
          <w:rPr>
            <w:rStyle w:val="Hyperlink"/>
          </w:rPr>
          <w:t>https://doi.org/10.1086/697996</w:t>
        </w:r>
      </w:hyperlink>
      <w:r>
        <w:t>.</w:t>
      </w:r>
    </w:p>
    <w:p w:rsidR="00DC1131" w:rsidRDefault="00CB7AEE">
      <w:pPr>
        <w:pStyle w:val="Bibliography"/>
      </w:pPr>
      <w:bookmarkStart w:id="50" w:name="ref-Howard15"/>
      <w:bookmarkEnd w:id="49"/>
      <w:r>
        <w:t xml:space="preserve">Howard, J. K., K. R. Klausmeyer, K. A. Fesenmyer, J. Furnish, T. Gardali, T. Grantham, J. V. E. Katz, et al. 2015. “Patterns of Freshwater Species Richness, Endemism, and Vulnerability in California.” </w:t>
      </w:r>
      <w:r>
        <w:rPr>
          <w:i/>
        </w:rPr>
        <w:t>PLOS ONE</w:t>
      </w:r>
      <w:r>
        <w:t xml:space="preserve"> 10 (7):e0130710. </w:t>
      </w:r>
      <w:hyperlink r:id="rId45">
        <w:r>
          <w:rPr>
            <w:rStyle w:val="Hyperlink"/>
          </w:rPr>
          <w:t>https://doi.org/10.1371/journal.pone.0130710</w:t>
        </w:r>
      </w:hyperlink>
      <w:r>
        <w:t>.</w:t>
      </w:r>
    </w:p>
    <w:p w:rsidR="00DC1131" w:rsidRDefault="00CB7AEE">
      <w:pPr>
        <w:pStyle w:val="Bibliography"/>
      </w:pPr>
      <w:bookmarkStart w:id="51" w:name="ref-Howard09"/>
      <w:bookmarkEnd w:id="50"/>
      <w:r>
        <w:t>Howard, J., and C. Revenga. 2000. “California’s Freshwater Biodiversity in a Continental Context. Science for Conservation Technical Brief Series.” San Francisco, CA: The Nature Conservancy of California.</w:t>
      </w:r>
    </w:p>
    <w:p w:rsidR="00DC1131" w:rsidRDefault="00CB7AEE">
      <w:pPr>
        <w:pStyle w:val="Bibliography"/>
      </w:pPr>
      <w:bookmarkStart w:id="52" w:name="ref-Kenney12"/>
      <w:bookmarkEnd w:id="51"/>
      <w:r>
        <w:t xml:space="preserve">Kenney, M. A., P. R. Wilcock, B. F. Hobbs, N. E. Flores, and D. C. Martínez. 2012. “Is Urban Stream Restoration Worth It?” </w:t>
      </w:r>
      <w:r>
        <w:rPr>
          <w:i/>
        </w:rPr>
        <w:t>Journal of the American Water Resources Association</w:t>
      </w:r>
      <w:r>
        <w:t xml:space="preserve"> 48 (3):603–15. </w:t>
      </w:r>
      <w:hyperlink r:id="rId46">
        <w:r>
          <w:rPr>
            <w:rStyle w:val="Hyperlink"/>
          </w:rPr>
          <w:t>https://doi.org/10.1111/j.1752-1688.2011.00635.x</w:t>
        </w:r>
      </w:hyperlink>
      <w:r>
        <w:t>.</w:t>
      </w:r>
    </w:p>
    <w:p w:rsidR="00DC1131" w:rsidRDefault="00CB7AEE">
      <w:pPr>
        <w:pStyle w:val="Bibliography"/>
      </w:pPr>
      <w:bookmarkStart w:id="53" w:name="ref-Leps15"/>
      <w:bookmarkEnd w:id="52"/>
      <w:r>
        <w:t xml:space="preserve">Leps, M., J. D. Tonkin, V. Dahm, P. Haase, and A. Sundermann. 2015. “Disentangling Environmental Drivers of Benthic Invertebrate Assemblages: The Role of Spatial Scale and Riverscape Heterogeneity in a Multiple Stressor Environment.” </w:t>
      </w:r>
      <w:r>
        <w:rPr>
          <w:i/>
        </w:rPr>
        <w:t>Science of the Total Environment</w:t>
      </w:r>
      <w:r>
        <w:t xml:space="preserve"> 536:546–56. </w:t>
      </w:r>
      <w:hyperlink r:id="rId47">
        <w:r>
          <w:rPr>
            <w:rStyle w:val="Hyperlink"/>
          </w:rPr>
          <w:t>https://doi.org/10.1016/j.scitotenv.2015.07.083</w:t>
        </w:r>
      </w:hyperlink>
      <w:r>
        <w:t>.</w:t>
      </w:r>
    </w:p>
    <w:p w:rsidR="00DC1131" w:rsidRDefault="00CB7AEE">
      <w:pPr>
        <w:pStyle w:val="Bibliography"/>
      </w:pPr>
      <w:bookmarkStart w:id="54" w:name="ref-Lester08"/>
      <w:bookmarkEnd w:id="53"/>
      <w:r>
        <w:t xml:space="preserve">Lester, R. E., and A. J. Boulton. 2008. “Rehabilitating Agricultural Streams in Australia with Wood: A Review.” </w:t>
      </w:r>
      <w:r>
        <w:rPr>
          <w:i/>
        </w:rPr>
        <w:t>Environmental Management</w:t>
      </w:r>
      <w:r>
        <w:t xml:space="preserve"> 42 (2):310–26. </w:t>
      </w:r>
      <w:hyperlink r:id="rId48">
        <w:r>
          <w:rPr>
            <w:rStyle w:val="Hyperlink"/>
          </w:rPr>
          <w:t>https://doi.org/10.1007%2Fs00267-008-9151-1</w:t>
        </w:r>
      </w:hyperlink>
      <w:r>
        <w:t>.</w:t>
      </w:r>
    </w:p>
    <w:p w:rsidR="00DC1131" w:rsidRDefault="00CB7AEE">
      <w:pPr>
        <w:pStyle w:val="Bibliography"/>
      </w:pPr>
      <w:bookmarkStart w:id="55" w:name="ref-Loflen16"/>
      <w:bookmarkEnd w:id="54"/>
      <w:r>
        <w:t xml:space="preserve">Loflen, C., H. Hettesheimer, L. B. Busse, K. Watanabe, R. M. Gersberg, and V. Lüderitz. 2016. “Inadequate Monitoring and Inappropriate Project Goals: A Case Study on the Determination of Success for the Forester Creek Improvement Project.” </w:t>
      </w:r>
      <w:r>
        <w:rPr>
          <w:i/>
        </w:rPr>
        <w:t>Ecological Restoration</w:t>
      </w:r>
      <w:r>
        <w:t xml:space="preserve"> 34 (2):124–34. </w:t>
      </w:r>
      <w:hyperlink r:id="rId49">
        <w:r>
          <w:rPr>
            <w:rStyle w:val="Hyperlink"/>
          </w:rPr>
          <w:t>https://doi.org/10.3368/er.34.2.124</w:t>
        </w:r>
      </w:hyperlink>
      <w:r>
        <w:t>.</w:t>
      </w:r>
    </w:p>
    <w:p w:rsidR="00DC1131" w:rsidRDefault="00CB7AEE">
      <w:pPr>
        <w:pStyle w:val="Bibliography"/>
      </w:pPr>
      <w:bookmarkStart w:id="56" w:name="ref-May15"/>
      <w:bookmarkEnd w:id="55"/>
      <w:r>
        <w:t xml:space="preserve">May, J. T., L. R. Brown, A. C. Rehn, I. R. Waite, P. R. Ode, R. D. Mazor, and K. C. Schiff. 2015. “Correspondence of Biological Condition Models of California Streams at Statewide and Regional Scales.” </w:t>
      </w:r>
      <w:r>
        <w:rPr>
          <w:i/>
        </w:rPr>
        <w:t>Envrionmental Monitoring and Assessment</w:t>
      </w:r>
      <w:r>
        <w:t xml:space="preserve"> 187:4086. </w:t>
      </w:r>
      <w:hyperlink r:id="rId50">
        <w:r>
          <w:rPr>
            <w:rStyle w:val="Hyperlink"/>
          </w:rPr>
          <w:t>https://doi.org/10.1007/s10661-014-4086-x</w:t>
        </w:r>
      </w:hyperlink>
      <w:r>
        <w:t>.</w:t>
      </w:r>
    </w:p>
    <w:p w:rsidR="00DC1131" w:rsidRDefault="00CB7AEE">
      <w:pPr>
        <w:pStyle w:val="Bibliography"/>
      </w:pPr>
      <w:bookmarkStart w:id="57" w:name="ref-Mazor16"/>
      <w:bookmarkEnd w:id="56"/>
      <w:r>
        <w:t xml:space="preserve">Mazor, R. D., A. C. Rehn, P. R. Ode, M. Engeln, K. C. Schiff, E. D. Stein, D. J. Gillett, D. B. Herbst, and C. P. Hawkins. 2016. “Bioassessment in Complex Environments: Designing an Index for Consistent Meaning in Different Settings.” </w:t>
      </w:r>
      <w:r>
        <w:rPr>
          <w:i/>
        </w:rPr>
        <w:t>Freshwater Science</w:t>
      </w:r>
      <w:r>
        <w:t xml:space="preserve"> 35 (1):249–71.</w:t>
      </w:r>
    </w:p>
    <w:p w:rsidR="00B03DFE" w:rsidRDefault="00B03DFE" w:rsidP="00B03DFE">
      <w:pPr>
        <w:pStyle w:val="Bibliography"/>
      </w:pPr>
      <w:bookmarkStart w:id="58" w:name="ref-McKay12"/>
      <w:bookmarkStart w:id="59" w:name="ref-MBI16"/>
      <w:bookmarkEnd w:id="57"/>
      <w:r>
        <w:t>MBI (Midwest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59"/>
    <w:p w:rsidR="00DC1131" w:rsidRDefault="00CB7AEE">
      <w:pPr>
        <w:pStyle w:val="Bibliography"/>
      </w:pPr>
      <w:r>
        <w:lastRenderedPageBreak/>
        <w:t>McKay, L., T. Bondelid, T. Dewald, J. Johnston, R. Moore, and A. Reah. 2012. “NHDPlus Version 2: User Guide.”</w:t>
      </w:r>
    </w:p>
    <w:p w:rsidR="00DC1131" w:rsidRDefault="00CB7AEE">
      <w:pPr>
        <w:pStyle w:val="Bibliography"/>
      </w:pPr>
      <w:bookmarkStart w:id="60" w:name="ref-Meinshausen06"/>
      <w:bookmarkEnd w:id="58"/>
      <w:r>
        <w:t xml:space="preserve">Meinshausen, N. 2006. “Quantile Regression Forests.” </w:t>
      </w:r>
      <w:r>
        <w:rPr>
          <w:i/>
        </w:rPr>
        <w:t>Journal of Machine Learning Research</w:t>
      </w:r>
      <w:r>
        <w:t xml:space="preserve"> 7:983–99.</w:t>
      </w:r>
    </w:p>
    <w:p w:rsidR="00DC1131" w:rsidRDefault="00CB7AEE">
      <w:pPr>
        <w:pStyle w:val="Bibliography"/>
      </w:pPr>
      <w:bookmarkStart w:id="61" w:name="ref-Meinshausen17"/>
      <w:bookmarkEnd w:id="60"/>
      <w:r>
        <w:t xml:space="preserve">Meinshausen, Nicolai. 2017. </w:t>
      </w:r>
      <w:r>
        <w:rPr>
          <w:i/>
        </w:rPr>
        <w:t>QuantregForest: Quantile Regression Forests</w:t>
      </w:r>
      <w:r>
        <w:t xml:space="preserve">. </w:t>
      </w:r>
      <w:hyperlink r:id="rId51">
        <w:r>
          <w:rPr>
            <w:rStyle w:val="Hyperlink"/>
          </w:rPr>
          <w:t>https://CRAN.R-project.org/package=quantregForest</w:t>
        </w:r>
      </w:hyperlink>
      <w:r>
        <w:t>.</w:t>
      </w:r>
    </w:p>
    <w:p w:rsidR="00DC1131" w:rsidRDefault="00CB7AEE">
      <w:pPr>
        <w:pStyle w:val="Bibliography"/>
      </w:pPr>
      <w:bookmarkStart w:id="62" w:name="ref-Morgan05"/>
      <w:bookmarkEnd w:id="61"/>
      <w:r>
        <w:t xml:space="preserve">Morgan, R. P., and S. E. Cushman. 2005. “Urbanization Effects on Stream Fish Assemblages in Maryland, USA.” </w:t>
      </w:r>
      <w:r>
        <w:rPr>
          <w:i/>
        </w:rPr>
        <w:t>Journal of the North American Benthological Society</w:t>
      </w:r>
      <w:r>
        <w:t xml:space="preserve"> 24 (3):643–55.</w:t>
      </w:r>
    </w:p>
    <w:p w:rsidR="00DC1131" w:rsidRDefault="00CB7AEE">
      <w:pPr>
        <w:pStyle w:val="Bibliography"/>
      </w:pPr>
      <w:bookmarkStart w:id="63" w:name="ref-Moss87"/>
      <w:bookmarkEnd w:id="62"/>
      <w:r>
        <w:t xml:space="preserve">Moss, D., M. T. Furse, J. F. Wright, and P. D. Armitage. 1987. “The Prediction of the Macro-Invertebrate Fauna of Unpolluted Running-Water Sites in Great Britain Using Environmental Data.” </w:t>
      </w:r>
      <w:r>
        <w:rPr>
          <w:i/>
        </w:rPr>
        <w:t>Freshwater Biology</w:t>
      </w:r>
      <w:r>
        <w:t xml:space="preserve"> 17 (1):41–52. </w:t>
      </w:r>
      <w:hyperlink r:id="rId52">
        <w:r>
          <w:rPr>
            <w:rStyle w:val="Hyperlink"/>
          </w:rPr>
          <w:t>https://doi.org/10.1111/j.1365-2427.1987.tb01027.x</w:t>
        </w:r>
      </w:hyperlink>
      <w:r>
        <w:t>.</w:t>
      </w:r>
    </w:p>
    <w:p w:rsidR="00DC1131" w:rsidRDefault="00CB7AEE">
      <w:pPr>
        <w:pStyle w:val="Bibliography"/>
      </w:pPr>
      <w:bookmarkStart w:id="64" w:name="ref-Novotny05"/>
      <w:bookmarkEnd w:id="63"/>
      <w:r>
        <w:t xml:space="preserve">Novotny, V., A. Bartosová, N. O’Reilly, and T. Ehlinger. 2005. “Unlocking the Relationship of Biotic Integrity of Impaired Waters to Anthropogenic Stresses.” </w:t>
      </w:r>
      <w:r>
        <w:rPr>
          <w:i/>
        </w:rPr>
        <w:t>Water Research</w:t>
      </w:r>
      <w:r>
        <w:t xml:space="preserve"> 39 (1):184–98. </w:t>
      </w:r>
      <w:hyperlink r:id="rId53">
        <w:r>
          <w:rPr>
            <w:rStyle w:val="Hyperlink"/>
          </w:rPr>
          <w:t>https://doi.org/10.1016/j.watres.2004.09.002</w:t>
        </w:r>
      </w:hyperlink>
      <w:r>
        <w:t>.</w:t>
      </w:r>
    </w:p>
    <w:p w:rsidR="00DC1131" w:rsidRDefault="00CB7AEE">
      <w:pPr>
        <w:pStyle w:val="Bibliography"/>
      </w:pPr>
      <w:bookmarkStart w:id="65" w:name="ref-Ode16"/>
      <w:bookmarkEnd w:id="64"/>
      <w:r>
        <w:t xml:space="preserve">Ode, P. R., A. C. Rehn, R. D. Mazor, K. C. Schiff, E. D. Stein, J. T. May, L. R. Brown, et al. 2016. “Evaluating the Adequacy of a Reference-Site Pool for Ecological Assessments in Environmentally Complex Regions.” </w:t>
      </w:r>
      <w:r>
        <w:rPr>
          <w:i/>
        </w:rPr>
        <w:t>Freshwater Science</w:t>
      </w:r>
      <w:r>
        <w:t xml:space="preserve"> 35 (1):237–48.</w:t>
      </w:r>
    </w:p>
    <w:p w:rsidR="00DC1131" w:rsidRDefault="00CB7AEE">
      <w:pPr>
        <w:pStyle w:val="Bibliography"/>
      </w:pPr>
      <w:bookmarkStart w:id="66" w:name="ref-Reynoldson97"/>
      <w:bookmarkEnd w:id="65"/>
      <w:r>
        <w:t xml:space="preserve">Reynoldson, T. B., R. H. Norris, V. H. Resh, K. E. Day, and D. M. Rosenberg. 1997. “The Reference Condition: A Comparison of Multimetric and Multivariate Approaches to Assess Water-Quality Impairment Using Benthic Macroinvertebrates.” </w:t>
      </w:r>
      <w:r>
        <w:rPr>
          <w:i/>
        </w:rPr>
        <w:t>Journal of the North American Benthological Society</w:t>
      </w:r>
      <w:r>
        <w:t xml:space="preserve"> 16 (4):833–52.</w:t>
      </w:r>
    </w:p>
    <w:p w:rsidR="00DC1131" w:rsidRDefault="00CB7AEE">
      <w:pPr>
        <w:pStyle w:val="Bibliography"/>
      </w:pPr>
      <w:bookmarkStart w:id="67" w:name="ref-Riseng11"/>
      <w:bookmarkEnd w:id="66"/>
      <w:r>
        <w:t xml:space="preserve">Riseng, C. M., M. J. Wiley, R. W. Black, and M. D. Munn. 2011. “Impacts of Agricultural Land Use on Biological Integirty: A Causal Analysis.” </w:t>
      </w:r>
      <w:r>
        <w:rPr>
          <w:i/>
        </w:rPr>
        <w:t>Ecological Applications</w:t>
      </w:r>
      <w:r>
        <w:t xml:space="preserve"> 21 (8):3128–46. </w:t>
      </w:r>
      <w:hyperlink r:id="rId54">
        <w:r>
          <w:rPr>
            <w:rStyle w:val="Hyperlink"/>
          </w:rPr>
          <w:t>https://doi.org/10.1890/11-0077.1</w:t>
        </w:r>
      </w:hyperlink>
      <w:r>
        <w:t>.</w:t>
      </w:r>
    </w:p>
    <w:p w:rsidR="00DC1131" w:rsidRDefault="00CB7AEE">
      <w:pPr>
        <w:pStyle w:val="Bibliography"/>
      </w:pPr>
      <w:bookmarkStart w:id="68" w:name="ref-Roni12"/>
      <w:bookmarkEnd w:id="67"/>
      <w:r>
        <w:t xml:space="preserve">Roni, P., and T. Beechi. 2012. </w:t>
      </w:r>
      <w:r>
        <w:rPr>
          <w:i/>
        </w:rPr>
        <w:t>Stream and Watershed Restoration Guide: A Guide to Restoring Riverine Processes and Habitats</w:t>
      </w:r>
      <w:r>
        <w:t>. First. Hoboken, New Jersey: John Wiley &amp; Sons.</w:t>
      </w:r>
    </w:p>
    <w:p w:rsidR="00B03DFE" w:rsidRDefault="00B03DFE" w:rsidP="00B03DFE">
      <w:pPr>
        <w:pStyle w:val="Bibliography"/>
      </w:pPr>
      <w:bookmarkStart w:id="69" w:name="ref-Shoredits13"/>
      <w:bookmarkStart w:id="70" w:name="ref-SDWB16"/>
      <w:bookmarkEnd w:id="68"/>
      <w:r>
        <w:t xml:space="preserve">SDWQB (San Diego Regional Water Quality Control Board). 2016. “Clean Water Act Sections 305(B) and 303(D) Integrated Report for the San Diego Region.” Sacramento, California: California Environmental Protection Agency. </w:t>
      </w:r>
      <w:hyperlink r:id="rId55">
        <w:r>
          <w:rPr>
            <w:rStyle w:val="Hyperlink"/>
          </w:rPr>
          <w:t>https://www.waterboards.ca.gov/sandiego/water_issues/programs/303d_list/docs/Staff_Report_101216.pdf</w:t>
        </w:r>
      </w:hyperlink>
      <w:r>
        <w:t>.</w:t>
      </w:r>
    </w:p>
    <w:bookmarkEnd w:id="70"/>
    <w:p w:rsidR="00DC1131" w:rsidRDefault="00CB7AEE">
      <w:pPr>
        <w:pStyle w:val="Bibliography"/>
      </w:pPr>
      <w:proofErr w:type="spellStart"/>
      <w:r>
        <w:t>Shoredits</w:t>
      </w:r>
      <w:proofErr w:type="spellEnd"/>
      <w:r>
        <w:t xml:space="preserve">, A. S., and J. A. Clayton. 2013. “Assessing the Practice and Challenges of Stream Restoration in Urbanized Environments of the USA.” </w:t>
      </w:r>
      <w:r>
        <w:rPr>
          <w:i/>
        </w:rPr>
        <w:t>Geography Compass</w:t>
      </w:r>
      <w:r>
        <w:t xml:space="preserve"> 7 (5):358–72. </w:t>
      </w:r>
      <w:hyperlink r:id="rId56">
        <w:r>
          <w:rPr>
            <w:rStyle w:val="Hyperlink"/>
          </w:rPr>
          <w:t>https://doi.org/10.1111/gec3.12039</w:t>
        </w:r>
      </w:hyperlink>
      <w:r>
        <w:t>.</w:t>
      </w:r>
    </w:p>
    <w:p w:rsidR="00DC1131" w:rsidRDefault="00CB7AEE">
      <w:pPr>
        <w:pStyle w:val="Bibliography"/>
      </w:pPr>
      <w:bookmarkStart w:id="71" w:name="ref-Sleeter11"/>
      <w:bookmarkEnd w:id="69"/>
      <w:r>
        <w:t xml:space="preserve">Sleeter, B. M., T. S. Wilson, C. E. Soulard, and J. Liu. 2011. “Estimation of the Late Twentieth Century Land-Cover Change in California.” </w:t>
      </w:r>
      <w:r>
        <w:rPr>
          <w:i/>
        </w:rPr>
        <w:t>Environmental Monitoring and Assessment</w:t>
      </w:r>
      <w:r>
        <w:t xml:space="preserve"> 173 (1-4):251–66. </w:t>
      </w:r>
      <w:hyperlink r:id="rId57">
        <w:r>
          <w:rPr>
            <w:rStyle w:val="Hyperlink"/>
          </w:rPr>
          <w:t>https://doi.org/10.1007/s10661-010-1385-8</w:t>
        </w:r>
      </w:hyperlink>
      <w:r>
        <w:t>.</w:t>
      </w:r>
    </w:p>
    <w:p w:rsidR="00DC1131" w:rsidRDefault="00CB7AEE">
      <w:pPr>
        <w:pStyle w:val="Bibliography"/>
      </w:pPr>
      <w:bookmarkStart w:id="72" w:name="ref-Sponseller01"/>
      <w:bookmarkEnd w:id="71"/>
      <w:r>
        <w:lastRenderedPageBreak/>
        <w:t xml:space="preserve">Sponseller, R. A., E. F. Benfield, and H. M. Valett. 2001. “Relationships Between Land Use, Spatial Scale and Stream Macroinvertebrate Communities.” </w:t>
      </w:r>
      <w:r>
        <w:rPr>
          <w:i/>
        </w:rPr>
        <w:t>Freshwater Biology</w:t>
      </w:r>
      <w:r>
        <w:t xml:space="preserve"> 46 (10):1409–24. </w:t>
      </w:r>
      <w:hyperlink r:id="rId58">
        <w:r>
          <w:rPr>
            <w:rStyle w:val="Hyperlink"/>
          </w:rPr>
          <w:t>https://doi.org/10.1046/j.1365-2427.2001.00758.x</w:t>
        </w:r>
      </w:hyperlink>
      <w:r>
        <w:t>.</w:t>
      </w:r>
    </w:p>
    <w:p w:rsidR="00DC1131" w:rsidRDefault="00CB7AEE">
      <w:pPr>
        <w:pStyle w:val="Bibliography"/>
      </w:pPr>
      <w:bookmarkStart w:id="73" w:name="ref-Stein13"/>
      <w:bookmarkEnd w:id="72"/>
      <w:r>
        <w:t xml:space="preserve">Stein, E. D., M. R. Cover, A. E. Fetscher, C. O’Reilly, R. Guardado, and C. W. Solek. 2013. “Reach-Scale Geomorphic and Biological Effects of Localized Streambank Armoring.” </w:t>
      </w:r>
      <w:r>
        <w:rPr>
          <w:i/>
        </w:rPr>
        <w:t>Journal of the American Water Resources Association</w:t>
      </w:r>
      <w:r>
        <w:t xml:space="preserve"> 49 (4):780–92. </w:t>
      </w:r>
      <w:hyperlink r:id="rId59">
        <w:r>
          <w:rPr>
            <w:rStyle w:val="Hyperlink"/>
          </w:rPr>
          <w:t>https://doi.org/10.1111/jawr.12035</w:t>
        </w:r>
      </w:hyperlink>
      <w:r>
        <w:t>.</w:t>
      </w:r>
    </w:p>
    <w:p w:rsidR="00DC1131" w:rsidRDefault="00CB7AEE">
      <w:pPr>
        <w:pStyle w:val="Bibliography"/>
      </w:pPr>
      <w:bookmarkStart w:id="74" w:name="ref-Stoddard06"/>
      <w:bookmarkEnd w:id="73"/>
      <w:r>
        <w:t xml:space="preserve">Stoddard, J. L., D. P. Larsen, C. P. Hawkins, R. K. Johnson, and R. H. Norris. 2006. “Setting Expectations for the Ecological Condition of Streams: The Concept of Reference Condition.” </w:t>
      </w:r>
      <w:r>
        <w:rPr>
          <w:i/>
        </w:rPr>
        <w:t>Ecological Applications</w:t>
      </w:r>
      <w:r>
        <w:t xml:space="preserve"> 16 (4):1267–76.</w:t>
      </w:r>
    </w:p>
    <w:p w:rsidR="00DC1131" w:rsidRDefault="00AA5043">
      <w:pPr>
        <w:pStyle w:val="Bibliography"/>
      </w:pPr>
      <w:bookmarkStart w:id="75" w:name="ref-SWAMP17"/>
      <w:bookmarkStart w:id="76" w:name="_GoBack"/>
      <w:bookmarkEnd w:id="74"/>
      <w:r>
        <w:t>SWAMP (</w:t>
      </w:r>
      <w:r w:rsidR="00CB7AEE">
        <w:t>Surface Water Ambient Monitoring Program</w:t>
      </w:r>
      <w:r>
        <w:t>)</w:t>
      </w:r>
      <w:r w:rsidR="00CB7AEE">
        <w:t xml:space="preserve">. 2017. “SWAMP Quality Assurance Program Plan.” Final. Sacramento, California: Office of Information Management; Analysis, State Water Resources Control Board. </w:t>
      </w:r>
      <w:hyperlink r:id="rId60">
        <w:r w:rsidR="00CB7AEE">
          <w:rPr>
            <w:rStyle w:val="Hyperlink"/>
          </w:rPr>
          <w:t>https://www.waterboards.ca.gov/water_issues/programs/swamp/qapp/swamp_QAPrP_2017_Final.pdf</w:t>
        </w:r>
      </w:hyperlink>
      <w:r w:rsidR="00CB7AEE">
        <w:t>.</w:t>
      </w:r>
    </w:p>
    <w:p w:rsidR="00DC1131" w:rsidRDefault="00CB7AEE">
      <w:pPr>
        <w:pStyle w:val="Bibliography"/>
      </w:pPr>
      <w:bookmarkStart w:id="77" w:name="ref-Townsend08"/>
      <w:bookmarkEnd w:id="75"/>
      <w:bookmarkEnd w:id="76"/>
      <w:r>
        <w:t xml:space="preserve">Townsend, C. R., S. S. Uhlmann, and C. D. Matthaei. 2008. “Individual and Combined Responses of Stream Ecosystems to Multiple Stressors.” </w:t>
      </w:r>
      <w:r>
        <w:rPr>
          <w:i/>
        </w:rPr>
        <w:t>Journal of Applied Ecology</w:t>
      </w:r>
      <w:r>
        <w:t xml:space="preserve"> 45 (6):1810–9. </w:t>
      </w:r>
      <w:hyperlink r:id="rId61">
        <w:r>
          <w:rPr>
            <w:rStyle w:val="Hyperlink"/>
          </w:rPr>
          <w:t>https://doi.org/10.1111/j.1365-2664.2008.01548.x</w:t>
        </w:r>
      </w:hyperlink>
      <w:r>
        <w:t>.</w:t>
      </w:r>
    </w:p>
    <w:p w:rsidR="00DC1131" w:rsidRDefault="00CB7AEE">
      <w:pPr>
        <w:pStyle w:val="Bibliography"/>
      </w:pPr>
      <w:bookmarkStart w:id="78" w:name="ref-USEPA16"/>
      <w:bookmarkEnd w:id="77"/>
      <w:r>
        <w:t>USEPA (US Environmental Protection Agency). 2016. “National Rivers and Streams Assessment 2008-2009: A Collaborative Survey.” EPA-841-R-16-007. Washington, DC.</w:t>
      </w:r>
    </w:p>
    <w:p w:rsidR="00CB7AEE" w:rsidRDefault="00CB7AEE" w:rsidP="00CB7AEE">
      <w:pPr>
        <w:pStyle w:val="Bibliography"/>
      </w:pPr>
      <w:bookmarkStart w:id="79" w:name="ref-USGS99"/>
      <w:bookmarkStart w:id="80" w:name="ref-USEPA13"/>
      <w:bookmarkEnd w:id="78"/>
      <w:r>
        <w:t xml:space="preserve">USEPA (US Environmental Protection Agency), Region 10. 2013. “Technical Support </w:t>
      </w:r>
      <w:proofErr w:type="spellStart"/>
      <w:r>
        <w:t>Docuemnt</w:t>
      </w:r>
      <w:proofErr w:type="spellEnd"/>
      <w:r>
        <w:t xml:space="preserve"> for EPA’s Action on the State of Oregon’s Revised Water Quality Standards for the West Division Main Canal.”</w:t>
      </w:r>
    </w:p>
    <w:bookmarkEnd w:id="80"/>
    <w:p w:rsidR="00DC1131" w:rsidRDefault="00CB7AEE">
      <w:pPr>
        <w:pStyle w:val="Bibliography"/>
      </w:pPr>
      <w:r>
        <w:t>USGS (US Geological Survey). 1999. “The quality of our nation’s waters: nutrients and pesticides.” Reston, Virginia.</w:t>
      </w:r>
    </w:p>
    <w:p w:rsidR="00DC1131" w:rsidRDefault="00CB7AEE">
      <w:pPr>
        <w:pStyle w:val="Bibliography"/>
      </w:pPr>
      <w:bookmarkStart w:id="81" w:name="ref-Volstad04"/>
      <w:bookmarkEnd w:id="79"/>
      <w:r>
        <w:t xml:space="preserve">Vølstad, J. H., N. E. Roth, G. Mercurio, M. T. Southerland, and D. E. Strebel. 2004. “Using Environmental Stressor Information to Predict the Ecological Status of Maryland Non-Tidal Streams as Measured by Biological Indicators.” </w:t>
      </w:r>
      <w:r>
        <w:rPr>
          <w:i/>
        </w:rPr>
        <w:t>Environmental Monitoring and Assessment</w:t>
      </w:r>
      <w:r>
        <w:t xml:space="preserve"> 84 (3):219–42. </w:t>
      </w:r>
      <w:hyperlink r:id="rId62">
        <w:r>
          <w:rPr>
            <w:rStyle w:val="Hyperlink"/>
          </w:rPr>
          <w:t>https://doi.org/10.1023/A:1023374524254</w:t>
        </w:r>
      </w:hyperlink>
      <w:r>
        <w:t>.</w:t>
      </w:r>
    </w:p>
    <w:p w:rsidR="00DC1131" w:rsidRDefault="00CB7AEE">
      <w:pPr>
        <w:pStyle w:val="Bibliography"/>
      </w:pPr>
      <w:bookmarkStart w:id="82" w:name="ref-Waite13"/>
      <w:bookmarkEnd w:id="81"/>
      <w:r>
        <w:t xml:space="preserve">Waite, I. R. 2013. “Development and Application of an Agricultural Intensity Index to Intevertebreate and Algal Metrics from Streams at Two Scales.” </w:t>
      </w:r>
      <w:r>
        <w:rPr>
          <w:i/>
        </w:rPr>
        <w:t>Journal of the American Water Resources Assocation</w:t>
      </w:r>
      <w:r>
        <w:t xml:space="preserve"> 49 (2):431–48. </w:t>
      </w:r>
      <w:hyperlink r:id="rId63">
        <w:r>
          <w:rPr>
            <w:rStyle w:val="Hyperlink"/>
          </w:rPr>
          <w:t>https://doi.org/10.1111/jawr.12032</w:t>
        </w:r>
      </w:hyperlink>
      <w:r>
        <w:t>.</w:t>
      </w:r>
    </w:p>
    <w:p w:rsidR="00DC1131" w:rsidRDefault="00CB7AEE">
      <w:pPr>
        <w:pStyle w:val="Bibliography"/>
      </w:pPr>
      <w:bookmarkStart w:id="83" w:name="ref-Waite14"/>
      <w:bookmarkEnd w:id="82"/>
      <w:r>
        <w:t xml:space="preserve">Waite, I. R., J. G. Kennen, J. T. May, L. R. Brown, T. F. Cuffney, K. A. Jones, and J. L. Orlando. 2014. “Stream Macroinvertebrate Response Models for Bioassessment Metrics: Addressing the Issue of Spatial Scale.” </w:t>
      </w:r>
      <w:r>
        <w:rPr>
          <w:i/>
        </w:rPr>
        <w:t>PLOS ONE</w:t>
      </w:r>
      <w:r>
        <w:t xml:space="preserve"> 9 (3):e90944. </w:t>
      </w:r>
      <w:hyperlink r:id="rId64">
        <w:r>
          <w:rPr>
            <w:rStyle w:val="Hyperlink"/>
          </w:rPr>
          <w:t>https://doi.org/10.1371/journal.pone.0090944</w:t>
        </w:r>
      </w:hyperlink>
      <w:r>
        <w:t>.</w:t>
      </w:r>
    </w:p>
    <w:p w:rsidR="00DC1131" w:rsidRDefault="00CB7AEE">
      <w:pPr>
        <w:pStyle w:val="Bibliography"/>
      </w:pPr>
      <w:bookmarkStart w:id="84" w:name="ref-Wang97"/>
      <w:bookmarkEnd w:id="83"/>
      <w:r>
        <w:lastRenderedPageBreak/>
        <w:t xml:space="preserve">Wang, L., J. Lyons, P. Kanehl, and R. Gatti. 1997. “Influences of Watershed Land Use on Habitat Quality and Biotic Integrity in Wisconsin Streams.” </w:t>
      </w:r>
      <w:r>
        <w:rPr>
          <w:i/>
        </w:rPr>
        <w:t>Fisheries</w:t>
      </w:r>
      <w:r>
        <w:t xml:space="preserve"> 22 (6):6–12. </w:t>
      </w:r>
      <w:hyperlink r:id="rId65">
        <w:r>
          <w:rPr>
            <w:rStyle w:val="Hyperlink"/>
          </w:rPr>
          <w:t>https://doi.org/10.1577/1548-8446(1997)022%3C0006:IOWLUO%3E2.0.CO;2</w:t>
        </w:r>
      </w:hyperlink>
      <w:r>
        <w:t>.</w:t>
      </w:r>
      <w:bookmarkEnd w:id="84"/>
      <w:bookmarkEnd w:id="24"/>
    </w:p>
    <w:sectPr w:rsidR="00DC1131" w:rsidSect="00CB7AEE">
      <w:footerReference w:type="default" r:id="rId6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AEE" w:rsidRDefault="00CB7AEE">
      <w:pPr>
        <w:spacing w:after="0"/>
      </w:pPr>
      <w:r>
        <w:separator/>
      </w:r>
    </w:p>
  </w:endnote>
  <w:endnote w:type="continuationSeparator" w:id="0">
    <w:p w:rsidR="00CB7AEE" w:rsidRDefault="00CB7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rsidR="00CB7AEE" w:rsidRDefault="00CB7A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B7AEE" w:rsidRDefault="00CB7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AEE" w:rsidRDefault="00CB7AEE">
      <w:r>
        <w:separator/>
      </w:r>
    </w:p>
  </w:footnote>
  <w:footnote w:type="continuationSeparator" w:id="0">
    <w:p w:rsidR="00CB7AEE" w:rsidRDefault="00CB7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429498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D3A289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1315DCA"/>
    <w:multiLevelType w:val="multilevel"/>
    <w:tmpl w:val="741CD4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14"/>
  </w:num>
  <w:num w:numId="15">
    <w:abstractNumId w:val="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223F93"/>
    <w:rsid w:val="004E29B3"/>
    <w:rsid w:val="00590D07"/>
    <w:rsid w:val="00784D58"/>
    <w:rsid w:val="008D6863"/>
    <w:rsid w:val="009526F5"/>
    <w:rsid w:val="00AA5043"/>
    <w:rsid w:val="00B03DFE"/>
    <w:rsid w:val="00B86B75"/>
    <w:rsid w:val="00BC48D5"/>
    <w:rsid w:val="00C36279"/>
    <w:rsid w:val="00CB7AEE"/>
    <w:rsid w:val="00DC1131"/>
    <w:rsid w:val="00DF699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0B4A"/>
  <w15:docId w15:val="{5EF2B9C1-8C53-4B65-A550-3E3D8238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ill.ryan@epa.gov" TargetMode="External"/><Relationship Id="rId18" Type="http://schemas.openxmlformats.org/officeDocument/2006/relationships/hyperlink" Target="http://shiny.sccwrp.org/scape/" TargetMode="External"/><Relationship Id="rId26" Type="http://schemas.openxmlformats.org/officeDocument/2006/relationships/hyperlink" Target="https://doi.org/10.1046/j.1365-2427.1997.d01-546.x" TargetMode="External"/><Relationship Id="rId39" Type="http://schemas.openxmlformats.org/officeDocument/2006/relationships/hyperlink" Target="https://doi.org/10.1002/etc.2059" TargetMode="External"/><Relationship Id="rId21" Type="http://schemas.openxmlformats.org/officeDocument/2006/relationships/image" Target="media/image3.png"/><Relationship Id="rId34" Type="http://schemas.openxmlformats.org/officeDocument/2006/relationships/hyperlink" Target="https://doi.org/10.1016/j.ecolind.2013.07.006" TargetMode="External"/><Relationship Id="rId42" Type="http://schemas.openxmlformats.org/officeDocument/2006/relationships/hyperlink" Target="https://doi.org/10.1002/eap.1617" TargetMode="External"/><Relationship Id="rId47" Type="http://schemas.openxmlformats.org/officeDocument/2006/relationships/hyperlink" Target="https://doi.org/10.1016/j.scitotenv.2015.07.083" TargetMode="External"/><Relationship Id="rId50" Type="http://schemas.openxmlformats.org/officeDocument/2006/relationships/hyperlink" Target="https://doi.org/10.1007/s10661-014-4086-x" TargetMode="External"/><Relationship Id="rId55" Type="http://schemas.openxmlformats.org/officeDocument/2006/relationships/hyperlink" Target="https://www.waterboards.ca.gov/sandiego/water_issues/programs/303d_list/docs/Staff_Report_101216.pdf" TargetMode="External"/><Relationship Id="rId63" Type="http://schemas.openxmlformats.org/officeDocument/2006/relationships/hyperlink" Target="https://doi.org/10.1111/jawr.12032" TargetMode="External"/><Relationship Id="rId68" Type="http://schemas.openxmlformats.org/officeDocument/2006/relationships/theme" Target="theme/theme1.xml"/><Relationship Id="rId7" Type="http://schemas.openxmlformats.org/officeDocument/2006/relationships/hyperlink" Target="mailto:marcusb@sccwrp.org" TargetMode="External"/><Relationship Id="rId2" Type="http://schemas.openxmlformats.org/officeDocument/2006/relationships/styles" Target="styles.xml"/><Relationship Id="rId16" Type="http://schemas.openxmlformats.org/officeDocument/2006/relationships/hyperlink" Target="mailto:erics@sccwrp.org" TargetMode="External"/><Relationship Id="rId29" Type="http://schemas.openxmlformats.org/officeDocument/2006/relationships/hyperlink" Target="https://doi.org/10.1016/j.landurbplan.2012.07.0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westfall@lacsd.org" TargetMode="External"/><Relationship Id="rId24" Type="http://schemas.openxmlformats.org/officeDocument/2006/relationships/image" Target="media/image6.png"/><Relationship Id="rId32" Type="http://schemas.openxmlformats.org/officeDocument/2006/relationships/hyperlink" Target="https://doi.org/10.1111/j.1526-100X.2007.00285.x" TargetMode="External"/><Relationship Id="rId37" Type="http://schemas.openxmlformats.org/officeDocument/2006/relationships/hyperlink" Target="https://doi.org/10.1899/0887-3593(2004)023%3C0599:BWRSUO%3E2.0.CO;2" TargetMode="External"/><Relationship Id="rId40" Type="http://schemas.openxmlformats.org/officeDocument/2006/relationships/hyperlink" Target="https://doi.org/10.1111/j.1752-1688.2000.tb05717.x" TargetMode="External"/><Relationship Id="rId45" Type="http://schemas.openxmlformats.org/officeDocument/2006/relationships/hyperlink" Target="https://doi.org/10.1371/journal.pone.0130710" TargetMode="External"/><Relationship Id="rId53" Type="http://schemas.openxmlformats.org/officeDocument/2006/relationships/hyperlink" Target="https://doi.org/10.1016/j.watres.2004.09.002" TargetMode="External"/><Relationship Id="rId58" Type="http://schemas.openxmlformats.org/officeDocument/2006/relationships/hyperlink" Target="https://doi.org/10.1046/j.1365-2427.2001.00758.x" TargetMode="External"/><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marthas@sccwrp.org" TargetMode="External"/><Relationship Id="rId23" Type="http://schemas.openxmlformats.org/officeDocument/2006/relationships/image" Target="media/image5.png"/><Relationship Id="rId28" Type="http://schemas.openxmlformats.org/officeDocument/2006/relationships/hyperlink" Target="http://doi.org/10.5281/zenodo.1218121" TargetMode="External"/><Relationship Id="rId36" Type="http://schemas.openxmlformats.org/officeDocument/2006/relationships/hyperlink" Target="https://doi.org/10.1002/rra.1053" TargetMode="External"/><Relationship Id="rId49" Type="http://schemas.openxmlformats.org/officeDocument/2006/relationships/hyperlink" Target="https://doi.org/10.3368/er.34.2.124" TargetMode="External"/><Relationship Id="rId57" Type="http://schemas.openxmlformats.org/officeDocument/2006/relationships/hyperlink" Target="https://doi.org/10.1007/s10661-010-1385-8" TargetMode="External"/><Relationship Id="rId61" Type="http://schemas.openxmlformats.org/officeDocument/2006/relationships/hyperlink" Target="https://doi.org/10.1111/j.1365-2664.2008.01548.x" TargetMode="External"/><Relationship Id="rId10" Type="http://schemas.openxmlformats.org/officeDocument/2006/relationships/hyperlink" Target="mailto:karin@aquaticbioassay.com" TargetMode="External"/><Relationship Id="rId19" Type="http://schemas.openxmlformats.org/officeDocument/2006/relationships/image" Target="media/image1.png"/><Relationship Id="rId31" Type="http://schemas.openxmlformats.org/officeDocument/2006/relationships/hyperlink" Target="https://doi.org/10.1899/06-078.1" TargetMode="External"/><Relationship Id="rId44" Type="http://schemas.openxmlformats.org/officeDocument/2006/relationships/hyperlink" Target="https://doi.org/10.1086/697996" TargetMode="External"/><Relationship Id="rId52" Type="http://schemas.openxmlformats.org/officeDocument/2006/relationships/hyperlink" Target="https://doi.org/10.1111/j.1365-2427.1987.tb01027.x" TargetMode="External"/><Relationship Id="rId60" Type="http://schemas.openxmlformats.org/officeDocument/2006/relationships/hyperlink" Target="https://www.waterboards.ca.gov/water_issues/programs/swamp/qapp/swamp_QAPrP_2017_Final.pdf" TargetMode="External"/><Relationship Id="rId65" Type="http://schemas.openxmlformats.org/officeDocument/2006/relationships/hyperlink" Target="https://doi.org/10.1577/1548-8446(1997)022%3C0006:IOWLUO%3E2.0.CO;2" TargetMode="External"/><Relationship Id="rId4" Type="http://schemas.openxmlformats.org/officeDocument/2006/relationships/webSettings" Target="webSettings.xml"/><Relationship Id="rId9" Type="http://schemas.openxmlformats.org/officeDocument/2006/relationships/hyperlink" Target="mailto:scott@aquaticbioassay.com" TargetMode="External"/><Relationship Id="rId14" Type="http://schemas.openxmlformats.org/officeDocument/2006/relationships/hyperlink" Target="mailto:Chad.Loflen@waterboards.ca.gov" TargetMode="External"/><Relationship Id="rId22" Type="http://schemas.openxmlformats.org/officeDocument/2006/relationships/image" Target="media/image4.png"/><Relationship Id="rId27" Type="http://schemas.openxmlformats.org/officeDocument/2006/relationships/hyperlink" Target="https://doi.org/10.1146/annurev.ecolsys.35.120202.110122" TargetMode="External"/><Relationship Id="rId30" Type="http://schemas.openxmlformats.org/officeDocument/2006/relationships/hyperlink" Target="https://doi.org/10.1007/s10661-014-4132-8" TargetMode="External"/><Relationship Id="rId35" Type="http://schemas.openxmlformats.org/officeDocument/2006/relationships/hyperlink" Target="https://doi.org/10.1086/678701" TargetMode="External"/><Relationship Id="rId43" Type="http://schemas.openxmlformats.org/officeDocument/2006/relationships/hyperlink" Target="https://doi.org/10.1111/1752-1688.12372" TargetMode="External"/><Relationship Id="rId48" Type="http://schemas.openxmlformats.org/officeDocument/2006/relationships/hyperlink" Target="https://doi.org/10.1007%2Fs00267-008-9151-1" TargetMode="External"/><Relationship Id="rId56" Type="http://schemas.openxmlformats.org/officeDocument/2006/relationships/hyperlink" Target="https://doi.org/10.1111/gec3.12039" TargetMode="External"/><Relationship Id="rId64" Type="http://schemas.openxmlformats.org/officeDocument/2006/relationships/hyperlink" Target="https://doi.org/10.1371/journal.pone.0090944" TargetMode="External"/><Relationship Id="rId8" Type="http://schemas.openxmlformats.org/officeDocument/2006/relationships/hyperlink" Target="mailto:raphaelm@sccwrp.org" TargetMode="External"/><Relationship Id="rId51" Type="http://schemas.openxmlformats.org/officeDocument/2006/relationships/hyperlink" Target="https://CRAN.R-project.org/package=quantregForest" TargetMode="External"/><Relationship Id="rId3" Type="http://schemas.openxmlformats.org/officeDocument/2006/relationships/settings" Target="settings.xml"/><Relationship Id="rId12" Type="http://schemas.openxmlformats.org/officeDocument/2006/relationships/hyperlink" Target="mailto:peter.ode@wildlife.ca.gov" TargetMode="External"/><Relationship Id="rId17" Type="http://schemas.openxmlformats.org/officeDocument/2006/relationships/hyperlink" Target="http://shiny.sccwrp.org/scape/" TargetMode="External"/><Relationship Id="rId25" Type="http://schemas.openxmlformats.org/officeDocument/2006/relationships/image" Target="media/image7.png"/><Relationship Id="rId33" Type="http://schemas.openxmlformats.org/officeDocument/2006/relationships/hyperlink" Target="https://doi.org/10.1007/s10661-008-0256-z" TargetMode="External"/><Relationship Id="rId38" Type="http://schemas.openxmlformats.org/officeDocument/2006/relationships/hyperlink" Target="https://doi.org/10.1111/j.1365-2427.2011.02696.x" TargetMode="External"/><Relationship Id="rId46" Type="http://schemas.openxmlformats.org/officeDocument/2006/relationships/hyperlink" Target="https://doi.org/10.1111/j.1752-1688.2011.00635.x" TargetMode="External"/><Relationship Id="rId59" Type="http://schemas.openxmlformats.org/officeDocument/2006/relationships/hyperlink" Target="https://doi.org/10.1111/jawr.12035" TargetMode="External"/><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doi.org/10.1007/s10661-017-6025-0" TargetMode="External"/><Relationship Id="rId54" Type="http://schemas.openxmlformats.org/officeDocument/2006/relationships/hyperlink" Target="https://doi.org/10.1890/11-0077.1" TargetMode="External"/><Relationship Id="rId62" Type="http://schemas.openxmlformats.org/officeDocument/2006/relationships/hyperlink" Target="https://doi.org/10.1023/A:10233745242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30</Pages>
  <Words>12581</Words>
  <Characters>71716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Prioritizing management goals for stream biological integrity within the developed landscape context</vt:lpstr>
    </vt:vector>
  </TitlesOfParts>
  <Company/>
  <LinksUpToDate>false</LinksUpToDate>
  <CharactersWithSpaces>84129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cp:lastModifiedBy>Marcus Beck</cp:lastModifiedBy>
  <cp:revision>6</cp:revision>
  <dcterms:created xsi:type="dcterms:W3CDTF">2018-07-12T18:19:00Z</dcterms:created>
  <dcterms:modified xsi:type="dcterms:W3CDTF">2018-07-12T18:42:00Z</dcterms:modified>
</cp:coreProperties>
</file>