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64.png" ContentType="image/png"/>
  <Override PartName="/word/media/rId55.png" ContentType="image/png"/>
  <Override PartName="/word/media/rId60.png" ContentType="image/png"/>
  <Override PartName="/word/media/rId65.png" ContentType="image/png"/>
  <Override PartName="/word/media/rId59.png" ContentType="image/png"/>
  <Override PartName="/word/media/rId63.png" ContentType="image/png"/>
  <Override PartName="/word/media/rId57.png" ContentType="image/png"/>
  <Override PartName="/word/media/rId66.png" ContentType="image/png"/>
  <Override PartName="/word/media/rId62.png" ContentType="image/png"/>
  <Override PartName="/word/media/rId61.png" ContentType="image/png"/>
  <Override PartName="/word/media/rId5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Fri Jun 29 10:50:50 2018 -0700</w:t>
      </w:r>
    </w:p>
    <w:p>
      <w:pPr>
        <w:pStyle w:val="Heading1"/>
      </w:pPr>
      <w:bookmarkStart w:id="30" w:name="abstract"/>
      <w:r>
        <w:t xml:space="preserve">Abstract</w:t>
      </w:r>
      <w:bookmarkEnd w:id="30"/>
    </w:p>
    <w:p>
      <w:pPr>
        <w:pStyle w:val="FirstParagraph"/>
      </w:pPr>
      <w:r>
        <w:t xml:space="preserve">Some management goals may be impractical with limited resources, particularly in streams where large-scale changes on the landscape (e.g., urbanization) impose constraints on the upper limit of biological integrity. A statewide landscape model was developed that provides context for a macroinvertebrate-based bioasssessment index by predicting a range of expectations that are typical at a site for the observed level of landscape alteration. With this approach, sites can be described as over- or under-scoring relative to an expectatation that is determined by landscape constraints on biological condition. A regional application of the landscape model was used to classify sites and prioritize different management actions by a local stakeholder group of regulators, dischargers, stormwater agencies, and environmental advocates from the San Gabriel River watershed (Los Angeles County, California). Stakeholder decisions were facilitated with the Stream Classification and Priority Explorer (SCAPE) tool that compares observed bioassessment scores with expectations from the landscape model to rapidly identify reaches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A clear gradient from the upper to lower watershed was observed in land use that was consistent with the model predictions,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actual limits on biotic condition at spatial scales that can be effectively managed for biological health</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Landscape constraints in developed environments, such as modified urban streams, have led to alternative considerations on use attainability where reference conditions may be difficult or impractical to achieve given local conditions. Potential upper limits on biological health imposed by land use also have relevance for the application of bioassessment indices for biological criteria. A bioassessment index may be difficult to incorporate into regulatory statutes if thresholds for biological objectives are impractical within site-specific conditions. Managers require explicit information that can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streams and rivers in the USA are estimated to be in poor condition as related to the most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proximal and immediate causes of poor biological condition are often linked to landscape-level factors that occur in the watershed. In many urban and agricultural areas the majority of stream miles are not healthy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2007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whereas the precise link between land use and instream condition may not be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been incentivized or enforced through regulation. Although these approaches can lead to improvements in stream health, there is no universal remedy that applies to all stream types and conditions. For example, the required resources to restore a highly degraded stream in an urban or agricultural setting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Channel modification has been used as a basis for redefining water quality criteria that is site specific, re-evaluating use attainability goals, or relaxation of standards under specific conditions. The Los Angeles River is heavily engineered as a concrete-lined channel and recreational beneficial uses that apply nationally are suspended under high 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Other locations have similarly undergone changes in designated uses based on channel modification (e.g., Oregon,</w:t>
      </w:r>
      <w:r>
        <w:t xml:space="preserve"> </w:t>
      </w:r>
      <w:r>
        <w:t xml:space="preserve">US Environmental Protection Agency, Region 10 (</w:t>
      </w:r>
      <w:hyperlink w:anchor="ref-USEPA13">
        <w:r>
          <w:rPr>
            <w:rStyle w:val="Hyperlink"/>
          </w:rPr>
          <w:t xml:space="preserve">2013</w:t>
        </w:r>
      </w:hyperlink>
      <w:r>
        <w:t xml:space="preserve">)</w:t>
      </w:r>
      <w:r>
        <w:t xml:space="preserve">).</w:t>
      </w:r>
    </w:p>
    <w:p>
      <w:pPr>
        <w:pStyle w:val="BodyText"/>
      </w:pPr>
      <w:r>
        <w:t xml:space="preserve">Developing an expectation of biological potential as a function of land use constraints could help prioritize where management actions are most likely to achieve intended outcomes, or conversely, where landscape alteration might impose constraints on biological integrity that limits potential for management success. Understanding limits to biological potential is a fundamental concept in bioassessment that has recieved some attention. Methods for factor-ceiling analysis have been explored in bioassessment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will be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An approach to comprehensively evaluate the potential for success of alternative management scenarios for streams under landscape constraints could be developed with predictive models that estimate limits on expectations. Previous efforts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biological condition at unsampled reaches. Landscape-level constraints are particularly relevant for stream macroinvertebrate communities</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constraints with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reaches. Once the predicted response of macroinvertebrate communities to landscape changes at large spatial scales are understood, expectations can be compared to field samples and sites can be prioritized by local managers based on deviation from the expectation. As such, the development of contextual tools for understanding biological condition across landscape gradients could provide a powerful approach to informing the use of limited resources to manage stream integrity.</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This work builds on the knowledge and relationships developed through existing monitoring programs and applies that in a predictive manner across entire landscapes to inform management decisions. The specific objectives were to 1) demonstrate development of a landscape model to predict expected ranges of biotic condition, 2) classify stream reaches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 reaches in California. A case study demonstrated how the statewide model can be used to classify and prioritize in a regional context using guidance from a local stakeholder group. An interactive software tool that was used by the stakeholder group to develop priority recommendations from the landscape model is also described.</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NHD-plus is a surface water framework that maps drainage networks and associated features (e.g., streams, lakes, canals, etc.) in the United States. Stream flow lines in the NHD-plus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NHD-plus were used as the discrete spatial unit for modelling biological integrity.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reach. The StreamCat Dataset was developed specifically for the NHD-plus to leverage the topology of stream connections to estimate cumulative landscape metrics of all reaches.</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metrics that describe the structure and function of the macroinvertebrate community. The index score at a site can vary from 0 to ~ 1.4, with values near 1 indicating an observed community similar to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of the CSCI was developed to estimate likely ranges of scores associated with land use gradients. Measures of land use development were quantified for riparian, catchment, and watershed areas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reach (Table</w:t>
      </w:r>
      <w:r>
        <w:t xml:space="preserve"> </w:t>
      </w:r>
      <w:r>
        <w:t xml:space="preserve">1</w:t>
      </w:r>
      <w:r>
        <w:t xml:space="preserve">). These variables were chosen specifically to model scores only in relation to long-term constraints on biological condition that are typically beyond the scope of management intervention or where costs to mitigate are likely to be prohibitive. The remainder of the variation in scores not related to to these landscape constraints could be attributed to additional, unmeasured environmental variables that influence stream biointegrity. Deviation of observed scores from the model predictions were considered diagnostic of variation not related to landscape effects, although deviations could also be attributed to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where streams are unlikely to be impacted by placing bounds on the range of expectations relative to landscape constraints. Quantile regression forests were used to predict CSCI scores in each stream reach from the 5th to the 95th percentiles of expectations at five percent intervals (i.e., 5th, 10th, etc.) up to the 45th and 55th percentiles.</w:t>
      </w:r>
    </w:p>
    <w:p>
      <w:pPr>
        <w:pStyle w:val="BodyText"/>
      </w:pPr>
      <w:r>
        <w:t xml:space="preserve">Calibration data for the landscape model was based on a random selection of 75% of reaches with observed CSCI scores and where sufficient data were available in StreamCat (n = 1965 reaches). The random selection was stratified by major regions in California (Figure</w:t>
      </w:r>
      <w:r>
        <w:t xml:space="preserve"> </w:t>
      </w:r>
      <w:r>
        <w:t xml:space="preserve">1</w:t>
      </w:r>
      <w:r>
        <w:t xml:space="preserve">), with each further divided into quartiles based on watershed imperviousness. The stratification method was chosen to adequately represent landscape gradients in each ecoreg. For example, the 1st quartile of watershed imperviousness of all reaches in the South Coast was greater than the 3rd quartile of imperviousness of all reaches in the North Coast region. The remaining sites were used for model validation (n = 655). Where multiple samples were available at a single site, one was selected at random for both calibration and validation purposes. Model performance was assessed for the statewide dataset and within each major region. Differences between observed CSCI scores and median predictions were evaluated using Pearson correlations and root mean squared errors (RMSE). Regression analysis between predicted and observed scores was used to assess potential bias based on intercept and slope values differing from 0 and 1, respectively.</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reach was assigned to one of four classes (Table</w:t>
      </w:r>
      <w:r>
        <w:t xml:space="preserve"> </w:t>
      </w:r>
      <w:r>
        <w:t xml:space="preserve">2</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reach with a chosen CSCI threshold, where expectations could be below, above, or overlapping the threshold. Two decision points were considered for their importance in defining reach classification:</w:t>
      </w:r>
    </w:p>
    <w:p>
      <w:pPr>
        <w:pStyle w:val="Compact"/>
        <w:numPr>
          <w:numId w:val="1002"/>
          <w:ilvl w:val="0"/>
        </w:numPr>
      </w:pPr>
      <w:r>
        <w:t xml:space="preserve">The selected range of CSCI expectations at a reach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to define nominally low or high scores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reaches with the range of CSCI score expectations entirely below the threshold were considered likely constrained, whereas those with expectations entirely above were considered likely unconstrained. Reaches with score expectations that overlapped the CSCI threshold were considered possibly constrained or possibly unconstrained, where distinction between the two was based on location of the median expectation of a reach relative to the threshold (Table</w:t>
      </w:r>
      <w:r>
        <w:t xml:space="preserve"> </w:t>
      </w:r>
      <w:r>
        <w:t xml:space="preserve">2</w:t>
      </w:r>
      <w:r>
        <w:t xml:space="preserve">).</w:t>
      </w:r>
    </w:p>
    <w:p>
      <w:pPr>
        <w:pStyle w:val="BodyText"/>
      </w:pPr>
      <w:r>
        <w:t xml:space="preserve">CSCI scores from biomonitoring data were then used to define relative sites scores at a sample site given the stream reach classification (Figure</w:t>
      </w:r>
      <w:r>
        <w:t xml:space="preserve"> </w:t>
      </w:r>
      <w:r>
        <w:t xml:space="preserve">3</w:t>
      </w:r>
      <w:r>
        <w:t xml:space="preserve">d). This provided a definition to understand the observed score relative to the biological context (i.e., expectation) of a reach. For each of the four reach classifications (likely constrained, possibly constrained, possibly unconstrained, and likely unconstrained), relative site scores were defined based on location to the range of expected CSCI scores. Sites with observed scores above the upper limit of the reach expectation (e.g., above the 90th percentile of expected scores) were considered</w:t>
      </w:r>
      <w:r>
        <w:t xml:space="preserve"> </w:t>
      </w:r>
      <w:r>
        <w:t xml:space="preserve">“</w:t>
      </w:r>
      <w:r>
        <w:t xml:space="preserve">over scoring</w:t>
      </w:r>
      <w:r>
        <w:t xml:space="preserve">”</w:t>
      </w:r>
      <w:r>
        <w:t xml:space="preserve"> </w:t>
      </w:r>
      <w:r>
        <w:t xml:space="preserve">and sites below the lower limit (e.g., 10th percentile) were</w:t>
      </w:r>
      <w:r>
        <w:t xml:space="preserve"> </w:t>
      </w:r>
      <w:r>
        <w:t xml:space="preserve">“</w:t>
      </w:r>
      <w:r>
        <w:t xml:space="preserve">under scoring</w:t>
      </w:r>
      <w:r>
        <w:t xml:space="preserve">”</w:t>
      </w:r>
      <w:r>
        <w:t xml:space="preserve">. Sites with CSCI scores within the range of expectations were scoring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Reach classes as possibly or likely constrained (or unconstrained) were combined to evaluate the complete dataset.</w:t>
      </w:r>
    </w:p>
    <w:p>
      <w:pPr>
        <w:pStyle w:val="Heading2"/>
      </w:pPr>
      <w:bookmarkStart w:id="37" w:name="sensitivity-analysis-of-reach-classifications"/>
      <w:r>
        <w:t xml:space="preserve">Sensitivity analysis of reach classifications</w:t>
      </w:r>
      <w:bookmarkEnd w:id="37"/>
    </w:p>
    <w:p>
      <w:pPr>
        <w:pStyle w:val="FirstParagraph"/>
      </w:pPr>
      <w:r>
        <w:t xml:space="preserve">A sensitivity analysis was conducted to evaluate the influence of key decision points on the extent of reach classifications statewide and by major regions in California. Stream reach classifications depend on the chosen range of score expectations (or certainty) from the landscape model (Figure</w:t>
      </w:r>
      <w:r>
        <w:t xml:space="preserve"> </w:t>
      </w:r>
      <w:r>
        <w:t xml:space="preserve">3</w:t>
      </w:r>
      <w:r>
        <w:t xml:space="preserve">b) and the CSCI threshold for defining nominally low or high scores (Figure</w:t>
      </w:r>
      <w:r>
        <w:t xml:space="preserve"> </w:t>
      </w:r>
      <w:r>
        <w:t xml:space="preserve">3</w:t>
      </w:r>
      <w:r>
        <w:t xml:space="preserve">c). The 10th and 90th percentile of expected scores at a reach were used as a default range in which a high degree of certainty in the model output is assumed. The effect of reducing this range (e.g., 25th to 75th percentile) to assume less certainty in the model was evaluated. Similary, the CSCI threshold was also changed to assess effects of relaxing or increasing flexibility in defining low or high scores. A threshold of 0.79 was used by default as a measure of the 10th percentile of scores at all reference (non-impacted) sites that were used to calibrate the CSCI index</w:t>
      </w:r>
      <w:r>
        <w:t xml:space="preserve"> </w:t>
      </w:r>
      <w:r>
        <w:t xml:space="preserve">(Mazor et al.</w:t>
      </w:r>
      <w:r>
        <w:t xml:space="preserve"> </w:t>
      </w:r>
      <w:hyperlink w:anchor="ref-Mazor16">
        <w:r>
          <w:rPr>
            <w:rStyle w:val="Hyperlink"/>
          </w:rPr>
          <w:t xml:space="preserve">2016</w:t>
        </w:r>
      </w:hyperlink>
      <w:r>
        <w:t xml:space="preserve">)</w:t>
      </w:r>
      <w:r>
        <w:t xml:space="preserve">. This value was increased to examine effects of a more conservative threshold and decreased for a more relaxed threshold. The combined effects of changing both the certainty in the model and the CSCI threshold were evaluated to estimate the changes in stream extent in each classification.</w:t>
      </w:r>
    </w:p>
    <w:p>
      <w:pPr>
        <w:pStyle w:val="Heading2"/>
      </w:pPr>
      <w:bookmarkStart w:id="38" w:name="unclassifiable-reaches"/>
      <w:r>
        <w:t xml:space="preserve">Unclassifiable reaches</w:t>
      </w:r>
      <w:bookmarkEnd w:id="38"/>
    </w:p>
    <w:p>
      <w:pPr>
        <w:pStyle w:val="FirstParagraph"/>
      </w:pPr>
      <w:r>
        <w:t xml:space="preserve">Some stream reaches were not classified following application of the landscape model to the statewide hydrography dataset. Unclassifiable reaches occurred if StreamCat data were unavailable to predict bioassessment expectations using the landscape model or if a reach was excluded from the NHD-plus dataset (typically, small headwater streams). The former was more common, particularly in developed areas where canals and ditches were sometimes excluded from the natural stream network. Overall, unclassified reaches were not common in the statewide dataset but they may have regional importance depending on needs of local management groups. As described below, approximately 15% of the reaches in the San Gabriel River watershed were unclassifiable and a method for assigning a classification to these reaches was desired by the stakeholder group.</w:t>
      </w:r>
    </w:p>
    <w:p>
      <w:pPr>
        <w:pStyle w:val="BodyText"/>
      </w:pPr>
      <w:r>
        <w:t xml:space="preserve">An approach for assigning biological expectations to unclassified reaches was developed for</w:t>
      </w:r>
      <w:r>
        <w:t xml:space="preserve"> </w:t>
      </w:r>
      <w:r>
        <w:t xml:space="preserve">“</w:t>
      </w:r>
      <w:r>
        <w:t xml:space="preserve">typically</w:t>
      </w:r>
      <w:r>
        <w:t xml:space="preserve">”</w:t>
      </w:r>
      <w:r>
        <w:t xml:space="preserve"> </w:t>
      </w:r>
      <w:r>
        <w:t xml:space="preserve">urban or agricultural reaches that was based on the range of expectations for reaches with similar land use. This analysis was conducted statewide and stratified by major regions to account for statewide variation in land use. The approximate range of CSCI scores in unclassifiable reaches were defined for three different gruops: reaches dominated by either 1) urban, 2) agricultural, or 3) open (i.e., lack of urban or agricultural land use). The three groups were identified using kmeans clustering of percentage land use estimates that were available across reaches</w:t>
      </w:r>
      <w:r>
        <w:t xml:space="preserve"> </w:t>
      </w:r>
      <w:r>
        <w:t xml:space="preserve">(MacQueen</w:t>
      </w:r>
      <w:r>
        <w:t xml:space="preserve"> </w:t>
      </w:r>
      <w:hyperlink w:anchor="ref-MacQueen67">
        <w:r>
          <w:rPr>
            <w:rStyle w:val="Hyperlink"/>
          </w:rPr>
          <w:t xml:space="preserve">1967</w:t>
        </w:r>
      </w:hyperlink>
      <w:r>
        <w:t xml:space="preserve">)</w:t>
      </w:r>
      <w:r>
        <w:t xml:space="preserve">. This created groups of reaches with similar land use types, where membership of a reach within a particular group was based on the minimum difference in land use estimates for a reach from the group average for each land use type (within-group centroid). The two groups that were dominated by agricultural or urban land use were identified based on the largest centroid average of the clusters for each land use type. The third</w:t>
      </w:r>
      <w:r>
        <w:t xml:space="preserve"> </w:t>
      </w:r>
      <w:r>
        <w:t xml:space="preserve">“</w:t>
      </w:r>
      <w:r>
        <w:t xml:space="preserve">open</w:t>
      </w:r>
      <w:r>
        <w:t xml:space="preserve">”</w:t>
      </w:r>
      <w:r>
        <w:t xml:space="preserve"> </w:t>
      </w:r>
      <w:r>
        <w:t xml:space="preserve">group that was defined by a lack of urban and agricultural land use was identified by the minimum sum of the centroid values for the two land use types. The expected range of CSCI scores for the three groups were based on averages from the landscape model for reaches with available predictions.</w:t>
      </w:r>
    </w:p>
    <w:p>
      <w:pPr>
        <w:pStyle w:val="Heading2"/>
      </w:pPr>
      <w:bookmarkStart w:id="39" w:name="defining-management-priorities-in-the-san-gabriel-river-watershed"/>
      <w:r>
        <w:t xml:space="preserve">Defining management priorities in the San Gabriel River watershed</w:t>
      </w:r>
      <w:bookmarkEnd w:id="39"/>
    </w:p>
    <w:p>
      <w:pPr>
        <w:pStyle w:val="FirstParagraph"/>
      </w:pPr>
      <w:r>
        <w:t xml:space="preserve">A framework for identifying site priorities for management actions using the landscape model was developed through engagement with a local stakeholder group. The San Gabriel River Regional Monitoring Program (SGRRMP) includes stakeholders from local municipalities, water districts, water quality regulatory agencies, consulting groups, and non-government organizations that cooperatively work to increase awareness of issues in the SGR watershed and improve coordination of compliance and ambient monitoring efforts. The stakeholder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health (Figure</w:t>
      </w:r>
      <w:r>
        <w:t xml:space="preserve"> </w:t>
      </w:r>
      <w:r>
        <w:t xml:space="preserve">2</w:t>
      </w:r>
      <w:r>
        <w:t xml:space="preserve">). Headwaters begin in the San Gabriel mountains where the land is primarily undeveloped or protected for recreational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 Approximately half of the monitored sites in the watershed are in poor biological condition, all of which are in the lower watershed. Pioritizing among the many sites that require some management intervention was a critical objective of the stakeholder group in applying the landscape model.</w:t>
      </w:r>
    </w:p>
    <w:p>
      <w:pPr>
        <w:pStyle w:val="BodyText"/>
      </w:pPr>
      <w:r>
        <w:t xml:space="preserve">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reach classes). The priorities were also defined by considering if an observed CSCI score at a site was above or below a potential biological threshold, in addition to the scoring expectation for the stream class (Table</w:t>
      </w:r>
      <w:r>
        <w:t xml:space="preserve"> </w:t>
      </w:r>
      <w:r>
        <w:t xml:space="preserve">3</w:t>
      </w:r>
      <w:r>
        <w:t xml:space="preserve">). To facilitate the process, a template was used that showed the site scores relative to the reach classifications (Figure</w:t>
      </w:r>
      <w:r>
        <w:t xml:space="preserve"> </w:t>
      </w:r>
      <w:r>
        <w:t xml:space="preserve">9</w:t>
      </w:r>
      <w:r>
        <w:t xml:space="preserve">,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priority assignments were also made with the explicit recognition that any recommendations are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 The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w:t>
      </w:r>
    </w:p>
    <w:p>
      <w:pPr>
        <w:pStyle w:val="BodyText"/>
      </w:pPr>
      <w:r>
        <w:t xml:space="preserve">The interactive and online Stream Classification and Priority Explorer (SCAPE) tool was created for the stakeholder group to facilitate the recommendation of management actions for each site type (Figure</w:t>
      </w:r>
      <w:r>
        <w:t xml:space="preserve"> </w:t>
      </w:r>
      <w:r>
        <w:t xml:space="preserve">4</w:t>
      </w:r>
      <w:r>
        <w:t xml:space="preserve">). This application provided maps of the extent and type of classification for reaches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Model performance statewide indicated generally good agreement between observed CSCI scores and the median prediction for the associated stream reach (Table</w:t>
      </w:r>
      <w:r>
        <w:t xml:space="preserve"> </w:t>
      </w:r>
      <w:r>
        <w:t xml:space="preserve">4</w:t>
      </w:r>
      <w:r>
        <w:t xml:space="preserve">). Agreement between observed and predicted values for the entire calibration dataset was r = 0.84 (Pearson) and RMSE = 0.14. The intercept and slope for a regression between observed and predicted values were 0.24 and 0.72, suggesting a slight negative bias of predictions at lower scores and slight positive bias at higher scores. The statewide calibration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Chapparal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0.75 with observed values in the calibration dataset and 0.55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w:t>
      </w:r>
      <w:r>
        <w:t xml:space="preserve"> </w:t>
      </w:r>
      <w:r>
        <w:t xml:space="preserve">5</w:t>
      </w:r>
      <w:r>
        <w:t xml:space="preserve">).</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consistent with land use (Figure</w:t>
      </w:r>
      <w:r>
        <w:t xml:space="preserve"> </w:t>
      </w:r>
      <w:r>
        <w:t xml:space="preserve">6</w:t>
      </w:r>
      <w:r>
        <w:t xml:space="preserve">). A majority of reaches statewide were classified as possibly constrained (11% of all stream length) or possibly unconstrained (46%), whereas a minority were likely constrained (4%) or likely unconstrained (39%) (Table</w:t>
      </w:r>
      <w:r>
        <w:t xml:space="preserve"> </w:t>
      </w:r>
      <w:r>
        <w:t xml:space="preserve">6</w:t>
      </w:r>
      <w:r>
        <w:t xml:space="preserve">). Large rivers across the state were more commonly classified as possibly constrained (e.g., Klamath, Sacramento, Colorado rivers). By region, the most reaches classified as likely unconstrained reaches were in the Sierra Nevada (50%), North Coast (46%), and Desert Modoc (46%) regions, whereas the most reaches as likely constrained were observed in the Central Valley (22%) and South Coast (15%) regions. Overall, stream reaches were more often constrained for biotic integrity in regions with more development, either as urban or agricultural land. For example, likely constrained reaches were apparent from the statewide map in coastal reaches of the South Coast where heavy urbanization occurs and in the Central Valley where agriculture is the dominant land use. Stream reaches were more likely to be unconstrained in regions with less development, with areas in the North Coast and the Sierra Nevada region visible on the map (right, Figure</w:t>
      </w:r>
      <w:r>
        <w:t xml:space="preserve"> </w:t>
      </w:r>
      <w:r>
        <w:t xml:space="preserve">6</w:t>
      </w:r>
      <w:r>
        <w:t xml:space="preserve">). Relative CSCI scores compared to reach expectations were as expected for 80% of the sampled locations statewide, whereas a much smaller percentage of sites were equally under or over scoring (Table</w:t>
      </w:r>
      <w:r>
        <w:t xml:space="preserve"> </w:t>
      </w:r>
      <w:r>
        <w:t xml:space="preserve">6</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reaches between each region (Figure</w:t>
      </w:r>
      <w:r>
        <w:t xml:space="preserve"> </w:t>
      </w:r>
      <w:r>
        <w:t xml:space="preserve">10</w:t>
      </w:r>
      <w:r>
        <w:t xml:space="preserve">, see Figure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North Coast region and second most important for the Chapparal and Sierra Nevada regions. This variable was not in the top five for the South Coast region, which was exclusively described by imperviousness and urbanization. Soil erodibility was the most important variable in the Chaparral and Sierra Nevada regions.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12</w:t>
      </w:r>
      <w:r>
        <w:t xml:space="preserve">). Decreasing the certainty of predictions from the landscape model by choosing a narrower range of scores (5th/95th to 45th/55th at 5% intervals) increased the number of streams from the possible to likely category in both constrained and unconstrained reaches.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reaches in the Central Valley were classified as likely constrained using a conservative CSCI threshold with low certainty of predictions, whereas less than 1% of reaches were in this category using a relaxed CSCI threshold with the highest level of certainty. Opposite trends were observed in regions with reduced land use pressures. For example, almost all stream reaches in the North Coast and Sierra Nevada regions were classified as likely unconstrained using a relaxed CSCI threshold and low certainty of predictions.</w:t>
      </w:r>
    </w:p>
    <w:p>
      <w:pPr>
        <w:pStyle w:val="Heading2"/>
      </w:pPr>
      <w:bookmarkStart w:id="44" w:name="unclassified-reaches"/>
      <w:r>
        <w:t xml:space="preserve">Unclassified reaches</w:t>
      </w:r>
      <w:bookmarkEnd w:id="44"/>
    </w:p>
    <w:p>
      <w:pPr>
        <w:pStyle w:val="FirstParagraph"/>
      </w:pPr>
      <w:r>
        <w:t xml:space="preserve">Ranges of expected CSCI scores for typical reaches in urban, agricultural, and open (neither urban, nor agriculture) are shown in table</w:t>
      </w:r>
      <w:r>
        <w:t xml:space="preserve"> </w:t>
      </w:r>
      <w:r>
        <w:t xml:space="preserve">7</w:t>
      </w:r>
      <w:r>
        <w:t xml:space="preserve">. These typical values are shown for more to less certainty in the range of predictions. Unclassified reaches can be defined by the dominant watershed land use as urban, agricultural, or open, and then matched to the appropriate values in the table. Between regions, the variation in expected scores also provides context for landscape pressures that differ by location. For example, the expected range of scores in regions with heavy urban development (e.g., South Coast) are much lower than streams that are neither urban nor agricultural. The North Coast region in contrast has an expected range of scores in urban streams that is similar to streams that are open. The range of scores in urban and agricultural streams were similar in the Central Valley where agriculture is the dominant land use.</w:t>
      </w:r>
    </w:p>
    <w:p>
      <w:pPr>
        <w:pStyle w:val="Heading2"/>
      </w:pPr>
      <w:bookmarkStart w:id="45" w:name="san-gabriel-river-case-study"/>
      <w:r>
        <w:t xml:space="preserve">San Gabriel River Case study</w:t>
      </w:r>
      <w:bookmarkEnd w:id="45"/>
    </w:p>
    <w:p>
      <w:pPr>
        <w:pStyle w:val="FirstParagraph"/>
      </w:pPr>
      <w:r>
        <w:t xml:space="preserve">Engagement of the stakeholder group demonstrated how management actions can be prioritized through application of the landscape model using the SCAPE tool. About 750 reaches in the SGR were identified and classified from NHD-plus, of which 10% were visited for bioassessment sampling. CSCI scores ranged from 0.2 to 1.23 consistent with heavy urban development in the lower watershed and open land use at higher elevation in the upper watershed (Figure</w:t>
      </w:r>
      <w:r>
        <w:t xml:space="preserve"> </w:t>
      </w:r>
      <w:r>
        <w:t xml:space="preserve">2</w:t>
      </w:r>
      <w:r>
        <w:t xml:space="preserve">a). Application of the landscape model results to the CSCI scores provided a context of expectations consistent with the strong land use gradient in the watershed (Figure</w:t>
      </w:r>
      <w:r>
        <w:t xml:space="preserve"> </w:t>
      </w:r>
      <w:r>
        <w:t xml:space="preserve">7</w:t>
      </w:r>
      <w:r>
        <w:t xml:space="preserve">). Stream reaches in the upper watershed were a mix of likely and possibly unconstrained (40% and 28%), whereas stream reaches in the lower watershed were classified as likely and possibly constrained (25% and 7%). Several reaches in the lower watershed had ranges that were right-skewed toward very low CSCI scores consistent with extreme landscape pressures (bottom left, Figure</w:t>
      </w:r>
      <w:r>
        <w:t xml:space="preserve"> </w:t>
      </w:r>
      <w:r>
        <w:t xml:space="preserve">7</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(top, Figure</w:t>
      </w:r>
      <w:r>
        <w:t xml:space="preserve"> </w:t>
      </w:r>
      <w:r>
        <w:t xml:space="preserve">8</w:t>
      </w:r>
      <w:r>
        <w:t xml:space="preserve">).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reaches or those below the biological threshold with possibly unconstrained classification (Figure</w:t>
      </w:r>
      <w:r>
        <w:t xml:space="preserve"> </w:t>
      </w:r>
      <w:r>
        <w:t xml:space="preserve">9</w:t>
      </w:r>
      <w:r>
        <w:t xml:space="preserve">). Continuing current practices were generally recommended at constrained sites or restoration actions were recommended as a low priority despite low CSCI scores. Recommended actions to investigate were more common for both over scoring and under scoring sites, protect was more common at over scoring sites, and restore was more common at under scoring sites. A clear distinction between low and high priority actions was observed on the watershed map (bottom, Figure</w:t>
      </w:r>
      <w:r>
        <w:t xml:space="preserve"> </w:t>
      </w:r>
      <w:r>
        <w:t xml:space="preserve">8</w:t>
      </w:r>
      <w:r>
        <w:t xml:space="preserve">). Sites in the lower watershed were lower priority if an action was recommended, whereas the four high priority sites were in the upper watershed. Several sites that were scoring as expected for likely and possibly unconstrained reaches in the upper watershed were recommended as medium priority for protection.</w:t>
      </w:r>
    </w:p>
    <w:p>
      <w:pPr>
        <w:pStyle w:val="Heading1"/>
      </w:pPr>
      <w:bookmarkStart w:id="46" w:name="discussion"/>
      <w:r>
        <w:t xml:space="preserve">Discussion</w:t>
      </w:r>
      <w:bookmarkEnd w:id="46"/>
    </w:p>
    <w:p>
      <w:pPr>
        <w:pStyle w:val="FirstParagraph"/>
      </w:pPr>
      <w:r>
        <w:t xml:space="preserve">The landscape model was able to identify the location and extent of biologically constrained channels at the state level and major regions in California.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models provide tools that allow managers to determine how best to use limited resources for stream management by focusing on reaches where recommended actions are most likely to have the intended outcome of improving or protecting biological condition. The approach also leverages all available information to develop a context for biological assessment that provides an unambiguous expectation of what is likely to be achieved at any sampling location. This can facilitate more targeted management actions that vary depending on the identified context and can also inform decisions on extent and effort for future monitoring locations.</w:t>
      </w:r>
    </w:p>
    <w:p>
      <w:pPr>
        <w:pStyle w:val="BodyText"/>
      </w:pPr>
      <w:r>
        <w:t xml:space="preserve">Results from our analyses also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enable a discounts against sites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BodyText"/>
      </w:pPr>
      <w:r>
        <w:t xml:space="preserve">The above paragraph also has implications for identifying high ocon</w:t>
      </w:r>
      <w:r>
        <w:t xml:space="preserve"> </w:t>
      </w:r>
      <w:r>
        <w:t xml:space="preserve">What does the model mean vis a vis Pete’s comments - what variables did we include and how can we improve on this for more resolution depending on the region. Bias toward urban streams? What about time scale of impacts? What about possibility of model error? In regards to weak performance in the north coast, Rafi says: In the discussion, we should state explicitly that our model leads us to the conclusion that this region is generally unconstrained, and then we should evaluate if this is true. Cite a few studies about whether a stream can ever recover from a clearcut. Andy has a yet-to-be-published study showing that modern forestry practices are generally good for CSCI scores, although historic impacts might really be constrained by massive sediment pulses that will take decades/centuries to work their way through the systems.</w:t>
      </w:r>
    </w:p>
    <w:p>
      <w:pPr>
        <w:pStyle w:val="Heading2"/>
      </w:pPr>
      <w:bookmarkStart w:id="47" w:name="landscape-constraints-can-be-described-using-biological-endpoints"/>
      <w:r>
        <w:t xml:space="preserve">Landscape constraints can be described using biological endpoints</w:t>
      </w:r>
      <w:bookmarkEnd w:id="47"/>
    </w:p>
    <w:p>
      <w:pPr>
        <w:pStyle w:val="FirstParagraph"/>
      </w:pPr>
      <w:r>
        <w:t xml:space="preserve">Our approach has several advantages compared to alternative means of identifying constraints on biological condition. The landscape model relies exclusively on publically available data using geospatial methods to identify potential constraints. An alternative is a field-based approach using site visits to characterize likely constraints at a location. While both approaches have strengths, the field-based approach is, by definition, labor-intensive and not appropriate as a screening tool to identify patterns on the landscape. More appropriately, the tools provided by the landscape approach could be used to inform decisions on where site visits may be needed to corraborate information from the model. The identification of constrained channels in urban areas that rely on field visits may also define the problem too narrowly. Physical habitat can be extremely limited in engineered channels and our models identified many of these locations in our case study. However, these channels were identified as constrained based on land use only. Constrained channels not in urban landscapes were also identified by the model, as for many streams in agricultural areas.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BodyText"/>
      </w:pPr>
      <w:r>
        <w:t xml:space="preserve">Our approach also has the advantage of relating strictly to biological condition, as compared to physical or chemical endpoints to assess constraints. This has relevance from the perspective of ecological interpretation as well as potential implications for regulatory standards. The ability of the landscape model to predict the range of expected biological condition at a given site reflects an associative link between land use and stream biology. However, similar arguments that have been made for the use of biological indicators over chemical and physical indicators for assessment can be applied to identifying constraints with the landscape model. A limited range expectations at the lower end of the distibution of CSCI scores is an indication that stressors originating from the landscape have imposed habitat limits that constrain biology. A landscape model that is calibrated for physical or chemical endpoints may not sufficiently describe condition given that a constraint on either may not adequately characterize a constraint on biology. From a regulatory perspective, many states, including California, have explicit assessment requirements that relate to biology and the landscape modelling approach is well aligned with existing bioassessment tools. The use of biological endpoints in the landscape model will likely facilitate the development of biological standards as noted above. Landscape models could also be used to support conservation planning, particularly at the watershed scale.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enabled through close interaction with our regional stakeholder group. The group was convened specifically to explore how the statewide model could be applied to inform decision-making at the watershed-level. The identified actions for monitoring sites in the San Gabriel watershed was chosen by discussion among the stakeholders that represented different interests (i.e., regulators, dischargers, consultants, and environmental advocates). The final decision by the group to prioritize management actions for the different sites in broad categories of protect, restore, and monitor was based on an iterative process where ideas were discussed and shared freely among stakeholders. Priorities were never assumed such that the recommended actions were defined through iterative discussion by the group. This approach ensured that stakeholders were generally in agreement with the final product and, therefore, more likely to adopt the recommendations provided by these tools in formal decision-making. The recommended actions have relevance only in the context of interests of the San Gabriel River Regional Monitoring Program. Application of the statewide model to other watersheds must engage local stakeholders in a similar process to develop recommendations that are adequate to meet regional needs.</w:t>
      </w:r>
    </w:p>
    <w:p>
      <w:pPr>
        <w:pStyle w:val="BodyText"/>
      </w:pPr>
      <w:r>
        <w:t xml:space="preserve">The development of the SCAPE tool (see supplement) was also critical for engaging the stakeholder group. The tool was developed to achieve the dual purposes of demonstrating concepts applied by the model and allowing stakeholders to iteratively evaluate scenarios for defining stream classifications and priorities. Initial challanges in engaging stakeholders were encountered wherein a complete understanding of concepts, as well as limitations, of the model was insufficient for discussing regional application to the SGR. The tool provided a means of demonstrating these concepts that was not possible through more conventional methods, such as static presentations or simple text vignettes. SCAPE also allowed stakeholders to explore the different scenarios that influence the model output, specifically related to changing certainties in the CSCI score predictions and the ability explore alternative thresholds for biological objectives. This functionality is key in our approach to allow the stakeholders to develop recommendations that are completely independent of the model, i.e., decisions are not hard-wired into the model nor SCAPE. Application of the landscape modelling approach to other regions will benefit from similar tools that can easily be developed.</w:t>
      </w:r>
    </w:p>
    <w:p>
      <w:pPr>
        <w:pStyle w:val="Heading2"/>
      </w:pPr>
      <w:bookmarkStart w:id="49" w:name="the-landscape-model-is-a-tool-for-exploring-options"/>
      <w:r>
        <w:t xml:space="preserve">The landscape model is a tool for exploring options</w:t>
      </w:r>
      <w:bookmarkEnd w:id="49"/>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as a use attainability assessment at constrained sites. Specifically, the landscape model is associative by design and does not identify mechanistic links between biological constraints and proximal causes.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We have explicitly not incorporated channel modification as a predictive mechanism by which biological constraints may occur, although habitat limitations imposed by modification may impose real limits on biology. Alternatively, bioasessment scores can be similar in modified channels compared to natural streams independent of watershed land use</w:t>
      </w:r>
      <w:r>
        <w:t xml:space="preserve"> </w:t>
      </w:r>
      <w:r>
        <w:t xml:space="preserve">(Stein et al.</w:t>
      </w:r>
      <w:r>
        <w:t xml:space="preserve"> </w:t>
      </w:r>
      <w:hyperlink w:anchor="ref-Stein13">
        <w:r>
          <w:rPr>
            <w:rStyle w:val="Hyperlink"/>
          </w:rPr>
          <w:t xml:space="preserve">2013</w:t>
        </w:r>
      </w:hyperlink>
      <w:r>
        <w:t xml:space="preserve">)</w:t>
      </w:r>
      <w:r>
        <w:t xml:space="preserve">. The landscape model describes constraints at scales larger than instream characteristics as a necessary approach to accurately predict bioassessment scores. More comprehensive assessments at individual sites are needed to diagnose the immediate causes of degraded condition.</w:t>
      </w:r>
    </w:p>
    <w:p>
      <w:pPr>
        <w:pStyle w:val="BodyText"/>
      </w:pPr>
      <w:r>
        <w:t xml:space="preserve">An additional consideration in applying the model to inform management decisions is the meaning of biologically constrained in the context of macroinvertebrate communities. Biologically constrained sites were considered those where landscapes were likely to limit the bioassessment index. The CSCI provides an indication of stream health by estimating the macroinvertebrate community that is likely to be present under factors that naturally influence biology for the region and comparing the observed community to the estimate. A constrained site as estimated by the landscape model is only constrained relative to the macroinvertebrate community. In many cases, poor biotic condition of the macroinvertebrate community translates to poor stream condition. However, a constrained macroinvertebrate community does not always mean other aspects diagnostic of stream health are also constrained. Many urban streams can support diverse algal assemblages such that algal-based measures of biotic condition may alternatively suggest good biotic condition relative to macroinvertebrate-based indices. This limitation of the landscape model is not unique to other bioassessment tools and application to other taxa as alternatives lines of evidence is needed for a more complete condition assessment.</w:t>
      </w:r>
    </w:p>
    <w:p>
      <w:pPr>
        <w:pStyle w:val="Heading2"/>
      </w:pPr>
      <w:bookmarkStart w:id="50" w:name="additional-applications-of-the-landscape-model"/>
      <w:r>
        <w:t xml:space="preserve">Additional applications of the landscape model</w:t>
      </w:r>
      <w:bookmarkEnd w:id="50"/>
    </w:p>
    <w:p>
      <w:pPr>
        <w:pStyle w:val="FirstParagraph"/>
      </w:pPr>
      <w:r>
        <w:t xml:space="preserve">This work has immediate relevance for informing use of bioassessment indices in freshwater streams of California, both from the perspective of identifying management priorities and for developing an interpretation of broad scale factors that limit ecological integrity. Our use of geospatial datasets that are descriptive at the national scale suggests that these methods could be applied elsewhere and in unique bioassessment contexts. The NHD-plus and StreamCat datasets cover the entire hydrologic network of the conterminous United States and national-scale bioassessment tools are available through the National Rivers and Streams Assessment</w:t>
      </w:r>
      <w:r>
        <w:t xml:space="preserve"> </w:t>
      </w:r>
      <w:r>
        <w:t xml:space="preserve">(USEPA (US Environmental Protection Agency)</w:t>
      </w:r>
      <w:r>
        <w:t xml:space="preserve"> </w:t>
      </w:r>
      <w:hyperlink w:anchor="ref-USEPA16">
        <w:r>
          <w:rPr>
            <w:rStyle w:val="Hyperlink"/>
          </w:rPr>
          <w:t xml:space="preserve">2016</w:t>
        </w:r>
      </w:hyperlink>
      <w:r>
        <w:t xml:space="preserve">; Hill et al.</w:t>
      </w:r>
      <w:r>
        <w:t xml:space="preserve"> </w:t>
      </w:r>
      <w:hyperlink w:anchor="ref-Hill17">
        <w:r>
          <w:rPr>
            <w:rStyle w:val="Hyperlink"/>
          </w:rPr>
          <w:t xml:space="preserve">2017</w:t>
        </w:r>
      </w:hyperlink>
      <w:r>
        <w:t xml:space="preserve">)</w:t>
      </w:r>
      <w:r>
        <w:t xml:space="preserve">. Statewide extension of the landscape model could be explored to develop a national scale product of constraints on biological condition. Although landscape stressors are ubiquituous at the contintental scale, extension of the landscape modelling approach beyond California should consider regional variation in landscape stressors that are predictive of biotic condition. Urban and agricultural gradients were sufficient to characterize constraints in many regions of California, whereas the model did not perform well in regions where thes gradients did not occur. A national level landscape model must consider alternative predictors provided by the StreamCat model that are sufficient to model biological condition.</w:t>
      </w:r>
    </w:p>
    <w:p>
      <w:pPr>
        <w:pStyle w:val="Heading2"/>
      </w:pPr>
      <w:bookmarkStart w:id="51" w:name="summary"/>
      <w:r>
        <w:t xml:space="preserve">Summary</w:t>
      </w:r>
      <w:bookmarkEnd w:id="51"/>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prescription for causes of impairment, nor does it discount sites from management intervention if constraints are high. The landscape model can inform the interpretation of biotic condition and is an exploratory tool that can help identify where management goals are most likely to be achieved.</w:t>
      </w:r>
    </w:p>
    <w:p>
      <w:pPr>
        <w:pStyle w:val="Heading1"/>
      </w:pPr>
      <w:bookmarkStart w:id="52" w:name="supplement"/>
      <w:r>
        <w:t xml:space="preserve">Supplement</w:t>
      </w:r>
      <w:bookmarkEnd w:id="52"/>
    </w:p>
    <w:p>
      <w:pPr>
        <w:pStyle w:val="FirstParagraph"/>
      </w:pPr>
      <w:r>
        <w:t xml:space="preserve">The SCAPE model application website:</w:t>
      </w:r>
      <w:r>
        <w:t xml:space="preserve"> </w:t>
      </w:r>
      <w:hyperlink r:id="rId53">
        <w:r>
          <w:rPr>
            <w:rStyle w:val="Hyperlink"/>
          </w:rPr>
          <w:t xml:space="preserve">http://shiny.sccwrp.org/scape/</w:t>
        </w:r>
      </w:hyperlink>
    </w:p>
    <w:p>
      <w:pPr>
        <w:pStyle w:val="Heading1"/>
      </w:pPr>
      <w:bookmarkStart w:id="54" w:name="figures"/>
      <w:r>
        <w:t xml:space="preserve">Figures</w:t>
      </w:r>
      <w:bookmarkEnd w:id="54"/>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reach and observed CSCI scores are shown in (b). The watershed is largely undeveloped in the north and heavily urbanized in the south." title="" id="1" name="Picture"/>
            <a:graphic>
              <a:graphicData uri="http://schemas.openxmlformats.org/drawingml/2006/picture">
                <pic:pic>
                  <pic:nvPicPr>
                    <pic:cNvPr descr="figs/sgrshd.png" id="0" name="Picture"/>
                    <pic:cNvPicPr>
                      <a:picLocks noChangeArrowheads="1" noChangeAspect="1"/>
                    </pic:cNvPicPr>
                  </pic:nvPicPr>
                  <pic:blipFill>
                    <a:blip r:embed="rId56"/>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largely undeveloped in the north and heavily urbanized in the south.</w:t>
      </w:r>
    </w:p>
    <w:p>
      <w:pPr>
        <w:pStyle w:val="CaptionedFigure"/>
      </w:pPr>
      <w:r>
        <w:drawing>
          <wp:inline>
            <wp:extent cx="5943600" cy="4754880"/>
            <wp:effectExtent b="0" l="0" r="0" t="0"/>
            <wp:docPr descr="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5573701"/>
            <wp:effectExtent b="0" l="0" r="0" t="0"/>
            <wp:docPr descr="Figure 4 Screenshot of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 title="" id="1" name="Picture"/>
            <a:graphic>
              <a:graphicData uri="http://schemas.openxmlformats.org/drawingml/2006/picture">
                <pic:pic>
                  <pic:nvPicPr>
                    <pic:cNvPr descr="figs/app.png" id="0" name="Picture"/>
                    <pic:cNvPicPr>
                      <a:picLocks noChangeArrowheads="1" noChangeAspect="1"/>
                    </pic:cNvPicPr>
                  </pic:nvPicPr>
                  <pic:blipFill>
                    <a:blip r:embed="rId58"/>
                    <a:stretch>
                      <a:fillRect/>
                    </a:stretch>
                  </pic:blipFill>
                  <pic:spPr bwMode="auto">
                    <a:xfrm>
                      <a:off x="0" y="0"/>
                      <a:ext cx="5943600" cy="5573701"/>
                    </a:xfrm>
                    <a:prstGeom prst="rect">
                      <a:avLst/>
                    </a:prstGeom>
                    <a:noFill/>
                    <a:ln w="9525">
                      <a:noFill/>
                      <a:headEnd/>
                      <a:tailEnd/>
                    </a:ln>
                  </pic:spPr>
                </pic:pic>
              </a:graphicData>
            </a:graphic>
          </wp:inline>
        </w:drawing>
      </w:r>
    </w:p>
    <w:p>
      <w:pPr>
        <w:pStyle w:val="ImageCaption"/>
      </w:pPr>
      <w:r>
        <w:t xml:space="preserve">Figure 4 Screenshot of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w:t>
      </w:r>
    </w:p>
    <w:p>
      <w:pPr>
        <w:pStyle w:val="CaptionedFigure"/>
      </w:pPr>
      <w:r>
        <w:drawing>
          <wp:inline>
            <wp:extent cx="5504749" cy="5504749"/>
            <wp:effectExtent b="0" l="0" r="0" t="0"/>
            <wp:docPr descr="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59"/>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Modoc, NC: North Coast, SN: Sierra Nevada, SC: South Coast.</w:t>
      </w:r>
    </w:p>
    <w:p>
      <w:pPr>
        <w:pStyle w:val="CaptionedFigure"/>
      </w:pPr>
      <w:r>
        <w:drawing>
          <wp:inline>
            <wp:extent cx="5943600" cy="4457700"/>
            <wp:effectExtent b="0" l="0" r="0" t="0"/>
            <wp:docPr descr="Figure 6 Statewide application of the landscape model showing the median predicted CSCI scores for each stream reach (left) and corresponding stream reach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Statewide application of the landscape model showing the median predicted CSCI scores for each stream reach (left) and corresponding stream reach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61"/>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62"/>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tization of recommended actions for each stream type. The reach types (Table 3)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63"/>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prioritization of recommended actions for each stream type. The reach types (Table</w:t>
      </w:r>
      <w:r>
        <w:t xml:space="preserve"> </w:t>
      </w:r>
      <w:r>
        <w:t xml:space="preserve">3</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CaptionedFigure"/>
      </w:pPr>
      <w:r>
        <w:drawing>
          <wp:inline>
            <wp:extent cx="5943600" cy="4245428"/>
            <wp:effectExtent b="0" l="0" r="0" t="0"/>
            <wp:docPr descr="Figure 10 Factors associated with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Modoc, NC: North Coast, SN: Sierra Nevada, SC: South Coast." title="" id="1" name="Picture"/>
            <a:graphic>
              <a:graphicData uri="http://schemas.openxmlformats.org/drawingml/2006/picture">
                <pic:pic>
                  <pic:nvPicPr>
                    <pic:cNvPr descr="figs/calicnstr.png" id="0" name="Picture"/>
                    <pic:cNvPicPr>
                      <a:picLocks noChangeArrowheads="1" noChangeAspect="1"/>
                    </pic:cNvPicPr>
                  </pic:nvPicPr>
                  <pic:blipFill>
                    <a:blip r:embed="rId6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10 Factors associated with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Modoc, NC: North Coast, SN: Sierra Nevada, SC: South Coast.</w:t>
      </w:r>
    </w:p>
    <w:p>
      <w:pPr>
        <w:pStyle w:val="CaptionedFigure"/>
      </w:pPr>
      <w:r>
        <w:drawing>
          <wp:inline>
            <wp:extent cx="5943600" cy="4245428"/>
            <wp:effectExtent b="0" l="0" r="0" t="0"/>
            <wp:docPr descr="Figure 11 Importance measures for landscape variables used to develop the landscape model of expected stream bioassessment scores in California. Values were obtained from quantile regression models of twenty landscape measures shown in Table 1 obtained from the StreamCat dataset (Hill et al. 2016). The importance measures describe the percent increase in mean square error and the increase in node impurity with exclusion of a variable across all random trees for each model (Meinshausen 2017)." title="" id="1" name="Picture"/>
            <a:graphic>
              <a:graphicData uri="http://schemas.openxmlformats.org/drawingml/2006/picture">
                <pic:pic>
                  <pic:nvPicPr>
                    <pic:cNvPr descr="figs/lndscpimp.png" id="0" name="Picture"/>
                    <pic:cNvPicPr>
                      <a:picLocks noChangeArrowheads="1" noChangeAspect="1"/>
                    </pic:cNvPicPr>
                  </pic:nvPicPr>
                  <pic:blipFill>
                    <a:blip r:embed="rId65"/>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11 Importance measures for landscape variables used to develop the landscape model of expected stream bioassessment scores in California. Values were obtained from quantile regression models of twenty landscape measures shown in Table</w:t>
      </w:r>
      <w:r>
        <w:t xml:space="preserve"> </w:t>
      </w:r>
      <w:r>
        <w:t xml:space="preserve">1</w:t>
      </w:r>
      <w:r>
        <w:t xml:space="preserve"> </w:t>
      </w:r>
      <w:r>
        <w:t xml:space="preserve">obtained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importance measures describe the percent increase in mean square error and the increase in node impurity with exclusion of a variable across all random trees for each model</w:t>
      </w:r>
      <w:r>
        <w:t xml:space="preserve"> </w:t>
      </w:r>
      <w:r>
        <w:t xml:space="preserve">(Meinshausen</w:t>
      </w:r>
      <w:r>
        <w:t xml:space="preserve"> </w:t>
      </w:r>
      <w:hyperlink w:anchor="ref-Meinshausen17">
        <w:r>
          <w:rPr>
            <w:rStyle w:val="Hyperlink"/>
          </w:rPr>
          <w:t xml:space="preserve">2017</w:t>
        </w:r>
      </w:hyperlink>
      <w:r>
        <w:t xml:space="preserve">)</w:t>
      </w:r>
      <w:r>
        <w:t xml:space="preserve">.</w:t>
      </w:r>
    </w:p>
    <w:p>
      <w:pPr>
        <w:pStyle w:val="CaptionedFigure"/>
      </w:pPr>
      <w:r>
        <w:drawing>
          <wp:inline>
            <wp:extent cx="5504749" cy="7339665"/>
            <wp:effectExtent b="0" l="0" r="0" t="0"/>
            <wp:docPr descr="Figure 12 Changes in stream reach classes by region and statewide for different scenarios used to define biological constraints. Twenty-seven scenarios were tested that evaluated different combinations of certainty in the CSCI predictions (nine scenarios more certain to less certain as identified by the tail cutoff for the expected range) and potential CSCI threshold (three scenarios for relaxed to more conservative). The percentage of total stream length for each classification is shown for each scenario. CV: Central Valley, CH: Chaparral, DM: Deserts Modoc,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66"/>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12 Changes in stream reach classes by region and statewide for different scenarios used to define biological constraints. Twenty-seven scenarios were tested that evaluated different combinations of certainty in the CSCI predictions (nine scenarios more certain to less certain as identified by the tail cutoff for the expected range) and potential CSCI threshold (three scenarios for relaxed to more conservative). The percentage of total stream length for each classification is shown for each scenario. CV: Central Valley, CH: Chaparral, DM: Deserts Modoc, NC: North Coast, SN: Sierra Nevada, SC: South Coast.</w:t>
      </w:r>
    </w:p>
    <w:p>
      <w:pPr>
        <w:pStyle w:val="Heading1"/>
      </w:pPr>
      <w:bookmarkStart w:id="67" w:name="tables"/>
      <w:r>
        <w:t xml:space="preserve">Tables</w:t>
      </w:r>
      <w:bookmarkEnd w:id="67"/>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The measurement scale for each variable is at the catchment, watershed, and/or riparian scale (100 m buffer) relative to a stream reach. Total urban and agriculture land use variables were based on sums of indvidual variables in StreamCat as noted in the desciption.</w:t>
      </w:r>
    </w:p>
    <w:tbl>
      <w:tblPr>
        <w:tblStyle w:val="Table"/>
        <w:tblW w:type="pct" w:w="0.0"/>
        <w:tblLook w:firstRow="1"/>
        <w:tblCaption w:val="Table 1 Land use variables used to develop the landscape model of stream bioassessment scores. All variables were obtained from StreamCat (Hill et al. 2016). The measurement scale for each variable is at the catchment, watershed, and/or riparian scale (100 m buffer) relative to a stream reach. Total urban and agriculture land use variables were based on sums of indvidual variables in StreamCat as noted in the desciption."/>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CanalDensCat</w:t>
            </w:r>
          </w:p>
        </w:tc>
        <w:tc>
          <w:p>
            <w:pPr>
              <w:pStyle w:val="Compact"/>
              <w:jc w:val="left"/>
            </w:pPr>
            <w:r>
              <w:t xml:space="preserve">catchment</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CanalDensWs</w:t>
            </w:r>
          </w:p>
        </w:tc>
        <w:tc>
          <w:p>
            <w:pPr>
              <w:pStyle w:val="Compact"/>
              <w:jc w:val="left"/>
            </w:pPr>
            <w:r>
              <w:t xml:space="preserve">watershed</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PctImp2006Cat</w:t>
            </w:r>
          </w:p>
        </w:tc>
        <w:tc>
          <w:p>
            <w:pPr>
              <w:pStyle w:val="Compact"/>
              <w:jc w:val="left"/>
            </w:pPr>
            <w:r>
              <w:t xml:space="preserve">catchment</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w:t>
            </w:r>
          </w:p>
        </w:tc>
        <w:tc>
          <w:p>
            <w:pPr>
              <w:pStyle w:val="Compact"/>
              <w:jc w:val="left"/>
            </w:pPr>
            <w:r>
              <w:t xml:space="preserve">watershed</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PctImp2006CatRp100</w:t>
            </w:r>
          </w:p>
        </w:tc>
        <w:tc>
          <w:p>
            <w:pPr>
              <w:pStyle w:val="Compact"/>
              <w:jc w:val="left"/>
            </w:pPr>
            <w:r>
              <w:t xml:space="preserve">catchment,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PctImp2006WsRp100</w:t>
            </w:r>
          </w:p>
        </w:tc>
        <w:tc>
          <w:p>
            <w:pPr>
              <w:pStyle w:val="Compact"/>
              <w:jc w:val="left"/>
            </w:pPr>
            <w:r>
              <w:t xml:space="preserve">watershed,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TotUrb2011Ws</w:t>
            </w:r>
          </w:p>
        </w:tc>
        <w:tc>
          <w:p>
            <w:pPr>
              <w:pStyle w:val="Compact"/>
              <w:jc w:val="left"/>
            </w:pPr>
            <w:r>
              <w:t xml:space="preserve">watershed</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w:t>
            </w:r>
          </w:p>
        </w:tc>
        <w:tc>
          <w:p>
            <w:pPr>
              <w:pStyle w:val="Compact"/>
              <w:jc w:val="left"/>
            </w:pPr>
            <w:r>
              <w:t xml:space="preserve">catchment</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TotUrb2011WsRp100</w:t>
            </w:r>
          </w:p>
        </w:tc>
        <w:tc>
          <w:p>
            <w:pPr>
              <w:pStyle w:val="Compact"/>
              <w:jc w:val="left"/>
            </w:pPr>
            <w:r>
              <w:t xml:space="preserve">watershed,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TotUrb2011CatRp100</w:t>
            </w:r>
          </w:p>
        </w:tc>
        <w:tc>
          <w:p>
            <w:pPr>
              <w:pStyle w:val="Compact"/>
              <w:jc w:val="left"/>
            </w:pPr>
            <w:r>
              <w:t xml:space="preserve">catchment,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TotAg2011Ws</w:t>
            </w:r>
          </w:p>
        </w:tc>
        <w:tc>
          <w:p>
            <w:pPr>
              <w:pStyle w:val="Compact"/>
              <w:jc w:val="left"/>
            </w:pPr>
            <w:r>
              <w:t xml:space="preserve">watershed</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w:t>
            </w:r>
          </w:p>
        </w:tc>
        <w:tc>
          <w:p>
            <w:pPr>
              <w:pStyle w:val="Compact"/>
              <w:jc w:val="left"/>
            </w:pPr>
            <w:r>
              <w:t xml:space="preserve">catchment</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TotAg2011WsRp100</w:t>
            </w:r>
          </w:p>
        </w:tc>
        <w:tc>
          <w:p>
            <w:pPr>
              <w:pStyle w:val="Compact"/>
              <w:jc w:val="left"/>
            </w:pPr>
            <w:r>
              <w:t xml:space="preserve">watershed,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TotAg2011CatRp100</w:t>
            </w:r>
          </w:p>
        </w:tc>
        <w:tc>
          <w:p>
            <w:pPr>
              <w:pStyle w:val="Compact"/>
              <w:jc w:val="left"/>
            </w:pPr>
            <w:r>
              <w:t xml:space="preserve">catchment,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RdDensCat</w:t>
            </w:r>
          </w:p>
        </w:tc>
        <w:tc>
          <w:p>
            <w:pPr>
              <w:pStyle w:val="Compact"/>
              <w:jc w:val="left"/>
            </w:pPr>
            <w:r>
              <w:t xml:space="preserve">catchment</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w:t>
            </w:r>
          </w:p>
        </w:tc>
        <w:tc>
          <w:p>
            <w:pPr>
              <w:pStyle w:val="Compact"/>
              <w:jc w:val="left"/>
            </w:pPr>
            <w:r>
              <w:t xml:space="preserve">watershed</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RdDensCatRp100</w:t>
            </w:r>
          </w:p>
        </w:tc>
        <w:tc>
          <w:p>
            <w:pPr>
              <w:pStyle w:val="Compact"/>
              <w:jc w:val="left"/>
            </w:pPr>
            <w:r>
              <w:t xml:space="preserve">catchment,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RdDensWsRp100</w:t>
            </w:r>
          </w:p>
        </w:tc>
        <w:tc>
          <w:p>
            <w:pPr>
              <w:pStyle w:val="Compact"/>
              <w:jc w:val="left"/>
            </w:pPr>
            <w:r>
              <w:t xml:space="preserve">watershed,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RdCrsCat</w:t>
            </w:r>
          </w:p>
        </w:tc>
        <w:tc>
          <w:p>
            <w:pPr>
              <w:pStyle w:val="Compact"/>
              <w:jc w:val="left"/>
            </w:pPr>
            <w:r>
              <w:t xml:space="preserve">catchment</w:t>
            </w:r>
          </w:p>
        </w:tc>
        <w:tc>
          <w:p>
            <w:pPr>
              <w:pStyle w:val="Compact"/>
              <w:jc w:val="left"/>
            </w:pPr>
            <w:r>
              <w:t xml:space="preserve">Density of roads-stream intersections (2010 Census Tiger Lines-NHD stream lines)</w:t>
            </w:r>
          </w:p>
        </w:tc>
        <w:tc>
          <w:p>
            <w:pPr>
              <w:pStyle w:val="Compact"/>
              <w:jc w:val="left"/>
            </w:pPr>
            <w:r>
              <w:t xml:space="preserve">crossings/sq km</w:t>
            </w:r>
          </w:p>
        </w:tc>
      </w:tr>
      <w:tr>
        <w:tc>
          <w:p>
            <w:pPr>
              <w:pStyle w:val="Compact"/>
              <w:jc w:val="left"/>
            </w:pPr>
            <w:r>
              <w:t xml:space="preserve">RdCrsWs</w:t>
            </w:r>
          </w:p>
        </w:tc>
        <w:tc>
          <w:p>
            <w:pPr>
              <w:pStyle w:val="Compact"/>
              <w:jc w:val="left"/>
            </w:pPr>
            <w:r>
              <w:t xml:space="preserve">watershed</w:t>
            </w:r>
          </w:p>
        </w:tc>
        <w:tc>
          <w:p>
            <w:pPr>
              <w:pStyle w:val="Compact"/>
              <w:jc w:val="left"/>
            </w:pPr>
            <w:r>
              <w:t xml:space="preserve">Density of roads-stream intersections (2010 Census Tiger Lines-NHD stream lines)</w:t>
            </w:r>
          </w:p>
        </w:tc>
        <w:tc>
          <w:p>
            <w:pPr>
              <w:pStyle w:val="Compact"/>
              <w:jc w:val="left"/>
            </w:pPr>
            <w:r>
              <w:t xml:space="preserve">crosssings/sq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w:t>
      </w:r>
    </w:p>
    <w:tbl>
      <w:tblPr>
        <w:tblStyle w:val="Table"/>
        <w:tblW w:type="pct" w:w="0.0"/>
        <w:tblLook w:firstRow="1"/>
        <w:tblCaption w:val="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TableCaption"/>
      </w:pPr>
      <w:r>
        <w:t xml:space="preserve">Table 4 Performance of the landscape model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(RMSE), intercept, and slopes are for comparisons of predicted and observed values to evaluate model performance.</w:t>
      </w:r>
    </w:p>
    <w:tbl>
      <w:tblPr>
        <w:tblStyle w:val="Table"/>
        <w:tblW w:type="pct" w:w="0.0"/>
        <w:tblLook w:firstRow="1"/>
        <w:tblCaption w:val="Table 4 Performance of the landscape model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RMSE),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w:t>
            </w:r>
          </w:p>
        </w:tc>
        <w:tc>
          <w:p>
            <w:pPr>
              <w:pStyle w:val="Compact"/>
              <w:jc w:val="right"/>
            </w:pPr>
            <w:r>
              <w:t xml:space="preserve">0.75</w:t>
            </w:r>
          </w:p>
        </w:tc>
        <w:tc>
          <w:p>
            <w:pPr>
              <w:pStyle w:val="Compact"/>
              <w:jc w:val="right"/>
            </w:pPr>
            <w:r>
              <w:t xml:space="preserve">0.17</w:t>
            </w:r>
          </w:p>
        </w:tc>
        <w:tc>
          <w:p>
            <w:pPr>
              <w:pStyle w:val="Compact"/>
              <w:jc w:val="right"/>
            </w:pPr>
            <w:r>
              <w:t xml:space="preserve">0.34</w:t>
            </w:r>
          </w:p>
        </w:tc>
        <w:tc>
          <w:p>
            <w:pPr>
              <w:pStyle w:val="Compact"/>
              <w:jc w:val="right"/>
            </w:pPr>
            <w:r>
              <w:t xml:space="preserve">0.60</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right"/>
            </w:pPr>
            <w:r>
              <w:t xml:space="preserve">0.71</w:t>
            </w:r>
          </w:p>
        </w:tc>
        <w:tc>
          <w:p>
            <w:pPr>
              <w:pStyle w:val="Compact"/>
              <w:jc w:val="right"/>
            </w:pPr>
            <w:r>
              <w:t xml:space="preserve">0.19</w:t>
            </w:r>
          </w:p>
        </w:tc>
        <w:tc>
          <w:p>
            <w:pPr>
              <w:pStyle w:val="Compact"/>
              <w:jc w:val="right"/>
            </w:pPr>
            <w:r>
              <w:t xml:space="preserve">0.38</w:t>
            </w:r>
          </w:p>
        </w:tc>
        <w:tc>
          <w:p>
            <w:pPr>
              <w:pStyle w:val="Compact"/>
              <w:jc w:val="right"/>
            </w:pPr>
            <w:r>
              <w:t xml:space="preserve">0.54</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right"/>
            </w:pPr>
            <w:r>
              <w:t xml:space="preserve">0.66</w:t>
            </w:r>
          </w:p>
        </w:tc>
        <w:tc>
          <w:p>
            <w:pPr>
              <w:pStyle w:val="Compact"/>
              <w:jc w:val="right"/>
            </w:pPr>
            <w:r>
              <w:t xml:space="preserve">0.15</w:t>
            </w:r>
          </w:p>
        </w:tc>
        <w:tc>
          <w:p>
            <w:pPr>
              <w:pStyle w:val="Compact"/>
              <w:jc w:val="right"/>
            </w:pPr>
            <w:r>
              <w:t xml:space="preserve">0.29</w:t>
            </w:r>
          </w:p>
        </w:tc>
        <w:tc>
          <w:p>
            <w:pPr>
              <w:pStyle w:val="Compact"/>
              <w:jc w:val="right"/>
            </w:pPr>
            <w:r>
              <w:t xml:space="preserve">0.54</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right"/>
            </w:pPr>
            <w:r>
              <w:t xml:space="preserve">0.50</w:t>
            </w:r>
          </w:p>
        </w:tc>
        <w:tc>
          <w:p>
            <w:pPr>
              <w:pStyle w:val="Compact"/>
              <w:jc w:val="right"/>
            </w:pPr>
            <w:r>
              <w:t xml:space="preserve">0.20</w:t>
            </w:r>
          </w:p>
        </w:tc>
        <w:tc>
          <w:p>
            <w:pPr>
              <w:pStyle w:val="Compact"/>
              <w:jc w:val="right"/>
            </w:pPr>
            <w:r>
              <w:t xml:space="preserve">0.63</w:t>
            </w:r>
          </w:p>
        </w:tc>
        <w:tc>
          <w:p>
            <w:pPr>
              <w:pStyle w:val="Compact"/>
              <w:jc w:val="right"/>
            </w:pPr>
            <w:r>
              <w:t xml:space="preserve">0.31</w:t>
            </w:r>
          </w:p>
        </w:tc>
      </w:tr>
      <w:tr>
        <w:tc>
          <w:p>
            <w:pPr>
              <w:pStyle w:val="Compact"/>
            </w:pPr>
          </w:p>
        </w:tc>
        <w:tc>
          <w:p>
            <w:pPr>
              <w:pStyle w:val="Compact"/>
              <w:jc w:val="left"/>
            </w:pPr>
            <w:r>
              <w:t xml:space="preserve">NC</w:t>
            </w:r>
          </w:p>
        </w:tc>
        <w:tc>
          <w:p>
            <w:pPr>
              <w:pStyle w:val="Compact"/>
              <w:jc w:val="right"/>
            </w:pPr>
            <w:r>
              <w:t xml:space="preserve">208</w:t>
            </w:r>
          </w:p>
        </w:tc>
        <w:tc>
          <w:p>
            <w:pPr>
              <w:pStyle w:val="Compact"/>
              <w:jc w:val="left"/>
            </w:pPr>
            <w:r>
              <w:t xml:space="preserve">0.92 (0.2)</w:t>
            </w:r>
          </w:p>
        </w:tc>
        <w:tc>
          <w:p>
            <w:pPr>
              <w:pStyle w:val="Compact"/>
              <w:jc w:val="left"/>
            </w:pPr>
            <w:r>
              <w:t xml:space="preserve">0.94 (0.13)</w:t>
            </w:r>
          </w:p>
        </w:tc>
        <w:tc>
          <w:p>
            <w:pPr>
              <w:pStyle w:val="Compact"/>
              <w:jc w:val="right"/>
            </w:pPr>
            <w:r>
              <w:t xml:space="preserve">0.55</w:t>
            </w:r>
          </w:p>
        </w:tc>
        <w:tc>
          <w:p>
            <w:pPr>
              <w:pStyle w:val="Compact"/>
              <w:jc w:val="right"/>
            </w:pPr>
            <w:r>
              <w:t xml:space="preserve">0.17</w:t>
            </w:r>
          </w:p>
        </w:tc>
        <w:tc>
          <w:p>
            <w:pPr>
              <w:pStyle w:val="Compact"/>
              <w:jc w:val="right"/>
            </w:pPr>
            <w:r>
              <w:t xml:space="preserve">0.61</w:t>
            </w:r>
          </w:p>
        </w:tc>
        <w:tc>
          <w:p>
            <w:pPr>
              <w:pStyle w:val="Compact"/>
              <w:jc w:val="right"/>
            </w:pPr>
            <w:r>
              <w:t xml:space="preserve">0.36</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right"/>
            </w:pPr>
            <w:r>
              <w:t xml:space="preserve">0.75</w:t>
            </w:r>
          </w:p>
        </w:tc>
        <w:tc>
          <w:p>
            <w:pPr>
              <w:pStyle w:val="Compact"/>
              <w:jc w:val="right"/>
            </w:pPr>
            <w:r>
              <w:t xml:space="preserve">0.16</w:t>
            </w:r>
          </w:p>
        </w:tc>
        <w:tc>
          <w:p>
            <w:pPr>
              <w:pStyle w:val="Compact"/>
              <w:jc w:val="right"/>
            </w:pPr>
            <w:r>
              <w:t xml:space="preserve">0.27</w:t>
            </w:r>
          </w:p>
        </w:tc>
        <w:tc>
          <w:p>
            <w:pPr>
              <w:pStyle w:val="Compact"/>
              <w:jc w:val="right"/>
            </w:pPr>
            <w:r>
              <w:t xml:space="preserve">0.65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right"/>
            </w:pPr>
            <w:r>
              <w:t xml:space="preserve">0.45</w:t>
            </w:r>
          </w:p>
        </w:tc>
        <w:tc>
          <w:p>
            <w:pPr>
              <w:pStyle w:val="Compact"/>
              <w:jc w:val="right"/>
            </w:pPr>
            <w:r>
              <w:t xml:space="preserve">0.16</w:t>
            </w:r>
          </w:p>
        </w:tc>
        <w:tc>
          <w:p>
            <w:pPr>
              <w:pStyle w:val="Compact"/>
              <w:jc w:val="right"/>
            </w:pPr>
            <w:r>
              <w:t xml:space="preserve">0.75</w:t>
            </w:r>
          </w:p>
        </w:tc>
        <w:tc>
          <w:p>
            <w:pPr>
              <w:pStyle w:val="Compact"/>
              <w:jc w:val="right"/>
            </w:pPr>
            <w:r>
              <w:t xml:space="preserve">0.23</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0.72</w:t>
            </w:r>
          </w:p>
        </w:tc>
        <w:tc>
          <w:p>
            <w:pPr>
              <w:pStyle w:val="Compact"/>
              <w:jc w:val="right"/>
            </w:pPr>
            <w:r>
              <w:t xml:space="preserve">0.18</w:t>
            </w:r>
          </w:p>
        </w:tc>
        <w:tc>
          <w:p>
            <w:pPr>
              <w:pStyle w:val="Compact"/>
              <w:jc w:val="right"/>
            </w:pPr>
            <w:r>
              <w:t xml:space="preserve">0.36</w:t>
            </w:r>
          </w:p>
        </w:tc>
        <w:tc>
          <w:p>
            <w:pPr>
              <w:pStyle w:val="Compact"/>
              <w:jc w:val="right"/>
            </w:pPr>
            <w:r>
              <w:t xml:space="preserve">0.58</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right"/>
            </w:pPr>
            <w:r>
              <w:t xml:space="preserve">0.74</w:t>
            </w:r>
          </w:p>
        </w:tc>
        <w:tc>
          <w:p>
            <w:pPr>
              <w:pStyle w:val="Compact"/>
              <w:jc w:val="right"/>
            </w:pPr>
            <w:r>
              <w:t xml:space="preserve">0.19</w:t>
            </w:r>
          </w:p>
        </w:tc>
        <w:tc>
          <w:p>
            <w:pPr>
              <w:pStyle w:val="Compact"/>
              <w:jc w:val="right"/>
            </w:pPr>
            <w:r>
              <w:t xml:space="preserve">0.39</w:t>
            </w:r>
          </w:p>
        </w:tc>
        <w:tc>
          <w:p>
            <w:pPr>
              <w:pStyle w:val="Compact"/>
              <w:jc w:val="right"/>
            </w:pPr>
            <w:r>
              <w:t xml:space="preserve">0.56</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right"/>
            </w:pPr>
            <w:r>
              <w:t xml:space="preserve">0.49</w:t>
            </w:r>
          </w:p>
        </w:tc>
        <w:tc>
          <w:p>
            <w:pPr>
              <w:pStyle w:val="Compact"/>
              <w:jc w:val="right"/>
            </w:pPr>
            <w:r>
              <w:t xml:space="preserve">0.19</w:t>
            </w:r>
          </w:p>
        </w:tc>
        <w:tc>
          <w:p>
            <w:pPr>
              <w:pStyle w:val="Compact"/>
              <w:jc w:val="right"/>
            </w:pPr>
            <w:r>
              <w:t xml:space="preserve">0.38</w:t>
            </w:r>
          </w:p>
        </w:tc>
        <w:tc>
          <w:p>
            <w:pPr>
              <w:pStyle w:val="Compact"/>
              <w:jc w:val="right"/>
            </w:pPr>
            <w:r>
              <w:t xml:space="preserve">0.40</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right"/>
            </w:pPr>
            <w:r>
              <w:t xml:space="preserve">0.55</w:t>
            </w:r>
          </w:p>
        </w:tc>
        <w:tc>
          <w:p>
            <w:pPr>
              <w:pStyle w:val="Compact"/>
              <w:jc w:val="right"/>
            </w:pPr>
            <w:r>
              <w:t xml:space="preserve">0.17</w:t>
            </w:r>
          </w:p>
        </w:tc>
        <w:tc>
          <w:p>
            <w:pPr>
              <w:pStyle w:val="Compact"/>
              <w:jc w:val="right"/>
            </w:pPr>
            <w:r>
              <w:t xml:space="preserve">0.63</w:t>
            </w:r>
          </w:p>
        </w:tc>
        <w:tc>
          <w:p>
            <w:pPr>
              <w:pStyle w:val="Compact"/>
              <w:jc w:val="right"/>
            </w:pPr>
            <w:r>
              <w:t xml:space="preserve">0.36</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right"/>
            </w:pPr>
            <w:r>
              <w:t xml:space="preserve">0.55</w:t>
            </w:r>
          </w:p>
        </w:tc>
        <w:tc>
          <w:p>
            <w:pPr>
              <w:pStyle w:val="Compact"/>
              <w:jc w:val="right"/>
            </w:pPr>
            <w:r>
              <w:t xml:space="preserve">0.16</w:t>
            </w:r>
          </w:p>
        </w:tc>
        <w:tc>
          <w:p>
            <w:pPr>
              <w:pStyle w:val="Compact"/>
              <w:jc w:val="right"/>
            </w:pPr>
            <w:r>
              <w:t xml:space="preserve">0.67</w:t>
            </w:r>
          </w:p>
        </w:tc>
        <w:tc>
          <w:p>
            <w:pPr>
              <w:pStyle w:val="Compact"/>
              <w:jc w:val="right"/>
            </w:pPr>
            <w:r>
              <w:t xml:space="preserve">0.31</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0.78 (0.21)</w:t>
            </w:r>
          </w:p>
        </w:tc>
        <w:tc>
          <w:p>
            <w:pPr>
              <w:pStyle w:val="Compact"/>
              <w:jc w:val="right"/>
            </w:pPr>
            <w:r>
              <w:t xml:space="preserve">0.72</w:t>
            </w:r>
          </w:p>
        </w:tc>
        <w:tc>
          <w:p>
            <w:pPr>
              <w:pStyle w:val="Compact"/>
              <w:jc w:val="right"/>
            </w:pPr>
            <w:r>
              <w:t xml:space="preserve">0.17</w:t>
            </w:r>
          </w:p>
        </w:tc>
        <w:tc>
          <w:p>
            <w:pPr>
              <w:pStyle w:val="Compact"/>
              <w:jc w:val="right"/>
            </w:pPr>
            <w:r>
              <w:t xml:space="preserve">0.27</w:t>
            </w:r>
          </w:p>
        </w:tc>
        <w:tc>
          <w:p>
            <w:pPr>
              <w:pStyle w:val="Compact"/>
              <w:jc w:val="right"/>
            </w:pPr>
            <w:r>
              <w:t xml:space="preserve">0.63</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right"/>
            </w:pPr>
            <w:r>
              <w:t xml:space="preserve">0.21</w:t>
            </w:r>
          </w:p>
        </w:tc>
        <w:tc>
          <w:p>
            <w:pPr>
              <w:pStyle w:val="Compact"/>
              <w:jc w:val="right"/>
            </w:pPr>
            <w:r>
              <w:t xml:space="preserve">0.17</w:t>
            </w:r>
          </w:p>
        </w:tc>
        <w:tc>
          <w:p>
            <w:pPr>
              <w:pStyle w:val="Compact"/>
              <w:jc w:val="right"/>
            </w:pPr>
            <w:r>
              <w:t xml:space="preserve">0.88</w:t>
            </w:r>
          </w:p>
        </w:tc>
        <w:tc>
          <w:p>
            <w:pPr>
              <w:pStyle w:val="Compact"/>
              <w:jc w:val="right"/>
            </w:pPr>
            <w:r>
              <w:t xml:space="preserve">0.11</w:t>
            </w:r>
          </w:p>
        </w:tc>
      </w:tr>
    </w:tbl>
    <w:p>
      <w:pPr>
        <w:pStyle w:val="BodyText"/>
      </w:pPr>
      <w:r>
        <w:rPr>
          <w:i/>
        </w:rPr>
        <w:t xml:space="preserve">Table</w:t>
      </w:r>
      <w:r>
        <w:rPr>
          <w:i/>
        </w:rPr>
        <w:t xml:space="preserve"> </w:t>
      </w:r>
      <w:r>
        <w:rPr>
          <w:i/>
        </w:rPr>
        <w:t xml:space="preserve">5</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kilometers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6</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 scoring if the observed scores are above the range of expectations at a reach, expected if within the range, or under 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TableCaption"/>
      </w:pPr>
      <w:r>
        <w:t xml:space="preserve">Table 7 Ranges of expected CSCI scores for sites that are typically urban, agricultural, or open (neither urban nor agricultural) land uses by major regions in California and statewide. Ranges can be used to identify approximate expectations for stream reaches with insufficient data for application of the landscape model. CV: Central Valley, CH: Chaparral, DM: Deserts Modoc, NC: North Coast, SN: Sierra Nevada, SC: South Coast.</w:t>
      </w:r>
    </w:p>
    <w:tbl>
      <w:tblPr>
        <w:tblStyle w:val="Table"/>
        <w:tblW w:type="pct" w:w="0.0"/>
        <w:tblLook w:firstRow="1"/>
        <w:tblCaption w:val="Table 7 Ranges of expected CSCI scores for sites that are typically urban, agricultural, or open (neither urban nor agricultural) land uses by major regions in California and statewide. Ranges can be used to identify approximate expectations for stream reaches with insufficient data for application of the landscape model. CV: Central Valley, CH: Chaparral, DM: Deserts Modoc, NC: North Coast, SN: Sierra Nevada, SC: South Coast."/>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grps</w:t>
            </w:r>
          </w:p>
        </w:tc>
        <w:tc>
          <w:tcPr>
            <w:tcBorders>
              <w:bottom w:val="single"/>
            </w:tcBorders>
            <w:vAlign w:val="bottom"/>
          </w:tcPr>
          <w:p>
            <w:pPr>
              <w:pStyle w:val="Compact"/>
              <w:jc w:val="left"/>
            </w:pPr>
            <w:r>
              <w:t xml:space="preserve">5th - 95th (More certain)</w:t>
            </w:r>
          </w:p>
        </w:tc>
        <w:tc>
          <w:tcPr>
            <w:tcBorders>
              <w:bottom w:val="single"/>
            </w:tcBorders>
            <w:vAlign w:val="bottom"/>
          </w:tcPr>
          <w:p>
            <w:pPr>
              <w:pStyle w:val="Compact"/>
              <w:jc w:val="left"/>
            </w:pPr>
            <w:r>
              <w:t xml:space="preserve">25th - 75th</w:t>
            </w:r>
          </w:p>
        </w:tc>
        <w:tc>
          <w:tcPr>
            <w:tcBorders>
              <w:bottom w:val="single"/>
            </w:tcBorders>
            <w:vAlign w:val="bottom"/>
          </w:tcPr>
          <w:p>
            <w:pPr>
              <w:pStyle w:val="Compact"/>
              <w:jc w:val="left"/>
            </w:pPr>
            <w:r>
              <w:t xml:space="preserve">45th - 55th (Less certain)</w:t>
            </w:r>
          </w:p>
        </w:tc>
      </w:tr>
      <w:tr>
        <w:tc>
          <w:p>
            <w:pPr>
              <w:pStyle w:val="Compact"/>
              <w:jc w:val="left"/>
            </w:pPr>
            <w:r>
              <w:t xml:space="preserve">Statewide</w:t>
            </w:r>
          </w:p>
        </w:tc>
        <w:tc>
          <w:p>
            <w:pPr>
              <w:pStyle w:val="Compact"/>
              <w:jc w:val="left"/>
            </w:pPr>
            <w:r>
              <w:t xml:space="preserve">Urban</w:t>
            </w:r>
          </w:p>
        </w:tc>
        <w:tc>
          <w:p>
            <w:pPr>
              <w:pStyle w:val="Compact"/>
              <w:jc w:val="left"/>
            </w:pPr>
            <w:r>
              <w:t xml:space="preserve">0.3 - 0.89</w:t>
            </w:r>
          </w:p>
        </w:tc>
        <w:tc>
          <w:p>
            <w:pPr>
              <w:pStyle w:val="Compact"/>
              <w:jc w:val="left"/>
            </w:pPr>
            <w:r>
              <w:t xml:space="preserve">0.45 - 0.72</w:t>
            </w:r>
          </w:p>
        </w:tc>
        <w:tc>
          <w:p>
            <w:pPr>
              <w:pStyle w:val="Compact"/>
              <w:jc w:val="left"/>
            </w:pPr>
            <w:r>
              <w:t xml:space="preserve">0.56 - 0.61</w:t>
            </w:r>
          </w:p>
        </w:tc>
      </w:tr>
      <w:tr>
        <w:tc>
          <w:p>
            <w:pPr>
              <w:pStyle w:val="Compact"/>
            </w:pPr>
          </w:p>
        </w:tc>
        <w:tc>
          <w:p>
            <w:pPr>
              <w:pStyle w:val="Compact"/>
              <w:jc w:val="left"/>
            </w:pPr>
            <w:r>
              <w:t xml:space="preserve">Ag</w:t>
            </w:r>
          </w:p>
        </w:tc>
        <w:tc>
          <w:p>
            <w:pPr>
              <w:pStyle w:val="Compact"/>
              <w:jc w:val="left"/>
            </w:pPr>
            <w:r>
              <w:t xml:space="preserve">0.33 - 1</w:t>
            </w:r>
          </w:p>
        </w:tc>
        <w:tc>
          <w:p>
            <w:pPr>
              <w:pStyle w:val="Compact"/>
              <w:jc w:val="left"/>
            </w:pPr>
            <w:r>
              <w:t xml:space="preserve">0.47 - 0.77</w:t>
            </w:r>
          </w:p>
        </w:tc>
        <w:tc>
          <w:p>
            <w:pPr>
              <w:pStyle w:val="Compact"/>
              <w:jc w:val="left"/>
            </w:pPr>
            <w:r>
              <w:t xml:space="preserve">0.57 - 0.63</w:t>
            </w:r>
          </w:p>
        </w:tc>
      </w:tr>
      <w:tr>
        <w:tc>
          <w:p>
            <w:pPr>
              <w:pStyle w:val="Compact"/>
            </w:pPr>
          </w:p>
        </w:tc>
        <w:tc>
          <w:p>
            <w:pPr>
              <w:pStyle w:val="Compact"/>
              <w:jc w:val="left"/>
            </w:pPr>
            <w:r>
              <w:t xml:space="preserve">Open</w:t>
            </w:r>
          </w:p>
        </w:tc>
        <w:tc>
          <w:p>
            <w:pPr>
              <w:pStyle w:val="Compact"/>
              <w:jc w:val="left"/>
            </w:pPr>
            <w:r>
              <w:t xml:space="preserve">0.73 - 1.19</w:t>
            </w:r>
          </w:p>
        </w:tc>
        <w:tc>
          <w:p>
            <w:pPr>
              <w:pStyle w:val="Compact"/>
              <w:jc w:val="left"/>
            </w:pPr>
            <w:r>
              <w:t xml:space="preserve">0.91 - 1.08</w:t>
            </w:r>
          </w:p>
        </w:tc>
        <w:tc>
          <w:p>
            <w:pPr>
              <w:pStyle w:val="Compact"/>
              <w:jc w:val="left"/>
            </w:pPr>
            <w:r>
              <w:t xml:space="preserve">0.99 - 1.02</w:t>
            </w:r>
          </w:p>
        </w:tc>
      </w:tr>
      <w:tr>
        <w:tc>
          <w:p>
            <w:pPr>
              <w:pStyle w:val="Compact"/>
              <w:jc w:val="left"/>
            </w:pPr>
            <w:r>
              <w:t xml:space="preserve">DM</w:t>
            </w:r>
          </w:p>
        </w:tc>
        <w:tc>
          <w:p>
            <w:pPr>
              <w:pStyle w:val="Compact"/>
              <w:jc w:val="left"/>
            </w:pPr>
            <w:r>
              <w:t xml:space="preserve">Urban</w:t>
            </w:r>
          </w:p>
        </w:tc>
        <w:tc>
          <w:p>
            <w:pPr>
              <w:pStyle w:val="Compact"/>
              <w:jc w:val="left"/>
            </w:pPr>
            <w:r>
              <w:t xml:space="preserve">0.43 - 1.11</w:t>
            </w:r>
          </w:p>
        </w:tc>
        <w:tc>
          <w:p>
            <w:pPr>
              <w:pStyle w:val="Compact"/>
              <w:jc w:val="left"/>
            </w:pPr>
            <w:r>
              <w:t xml:space="preserve">0.65 - 0.96</w:t>
            </w:r>
          </w:p>
        </w:tc>
        <w:tc>
          <w:p>
            <w:pPr>
              <w:pStyle w:val="Compact"/>
              <w:jc w:val="left"/>
            </w:pPr>
            <w:r>
              <w:t xml:space="preserve">0.79 - 0.84</w:t>
            </w:r>
          </w:p>
        </w:tc>
      </w:tr>
      <w:tr>
        <w:tc>
          <w:p>
            <w:pPr>
              <w:pStyle w:val="Compact"/>
            </w:pPr>
          </w:p>
        </w:tc>
        <w:tc>
          <w:p>
            <w:pPr>
              <w:pStyle w:val="Compact"/>
              <w:jc w:val="left"/>
            </w:pPr>
            <w:r>
              <w:t xml:space="preserve">Ag</w:t>
            </w:r>
          </w:p>
        </w:tc>
        <w:tc>
          <w:p>
            <w:pPr>
              <w:pStyle w:val="Compact"/>
              <w:jc w:val="left"/>
            </w:pPr>
            <w:r>
              <w:t xml:space="preserve">0.34 - 1.03</w:t>
            </w:r>
          </w:p>
        </w:tc>
        <w:tc>
          <w:p>
            <w:pPr>
              <w:pStyle w:val="Compact"/>
              <w:jc w:val="left"/>
            </w:pPr>
            <w:r>
              <w:t xml:space="preserve">0.48 - 0.79</w:t>
            </w:r>
          </w:p>
        </w:tc>
        <w:tc>
          <w:p>
            <w:pPr>
              <w:pStyle w:val="Compact"/>
              <w:jc w:val="left"/>
            </w:pPr>
            <w:r>
              <w:t xml:space="preserve">0.59 - 0.65</w:t>
            </w:r>
          </w:p>
        </w:tc>
      </w:tr>
      <w:tr>
        <w:tc>
          <w:p>
            <w:pPr>
              <w:pStyle w:val="Compact"/>
            </w:pPr>
          </w:p>
        </w:tc>
        <w:tc>
          <w:p>
            <w:pPr>
              <w:pStyle w:val="Compact"/>
              <w:jc w:val="left"/>
            </w:pPr>
            <w:r>
              <w:t xml:space="preserve">Open</w:t>
            </w:r>
          </w:p>
        </w:tc>
        <w:tc>
          <w:p>
            <w:pPr>
              <w:pStyle w:val="Compact"/>
              <w:jc w:val="left"/>
            </w:pPr>
            <w:r>
              <w:t xml:space="preserve">0.71 - 1.19</w:t>
            </w:r>
          </w:p>
        </w:tc>
        <w:tc>
          <w:p>
            <w:pPr>
              <w:pStyle w:val="Compact"/>
              <w:jc w:val="left"/>
            </w:pPr>
            <w:r>
              <w:t xml:space="preserve">0.9 - 1.08</w:t>
            </w:r>
          </w:p>
        </w:tc>
        <w:tc>
          <w:p>
            <w:pPr>
              <w:pStyle w:val="Compact"/>
              <w:jc w:val="left"/>
            </w:pPr>
            <w:r>
              <w:t xml:space="preserve">0.98 - 1.02</w:t>
            </w:r>
          </w:p>
        </w:tc>
      </w:tr>
      <w:tr>
        <w:tc>
          <w:p>
            <w:pPr>
              <w:pStyle w:val="Compact"/>
              <w:jc w:val="left"/>
            </w:pPr>
            <w:r>
              <w:t xml:space="preserve">SN</w:t>
            </w:r>
          </w:p>
        </w:tc>
        <w:tc>
          <w:p>
            <w:pPr>
              <w:pStyle w:val="Compact"/>
              <w:jc w:val="left"/>
            </w:pPr>
            <w:r>
              <w:t xml:space="preserve">Urban</w:t>
            </w:r>
          </w:p>
        </w:tc>
        <w:tc>
          <w:p>
            <w:pPr>
              <w:pStyle w:val="Compact"/>
              <w:jc w:val="left"/>
            </w:pPr>
            <w:r>
              <w:t xml:space="preserve">0.43 - 1.12</w:t>
            </w:r>
          </w:p>
        </w:tc>
        <w:tc>
          <w:p>
            <w:pPr>
              <w:pStyle w:val="Compact"/>
              <w:jc w:val="left"/>
            </w:pPr>
            <w:r>
              <w:t xml:space="preserve">0.63 - 0.96</w:t>
            </w:r>
          </w:p>
        </w:tc>
        <w:tc>
          <w:p>
            <w:pPr>
              <w:pStyle w:val="Compact"/>
              <w:jc w:val="left"/>
            </w:pPr>
            <w:r>
              <w:t xml:space="preserve">0.78 - 0.84</w:t>
            </w:r>
          </w:p>
        </w:tc>
      </w:tr>
      <w:tr>
        <w:tc>
          <w:p>
            <w:pPr>
              <w:pStyle w:val="Compact"/>
            </w:pPr>
          </w:p>
        </w:tc>
        <w:tc>
          <w:p>
            <w:pPr>
              <w:pStyle w:val="Compact"/>
              <w:jc w:val="left"/>
            </w:pPr>
            <w:r>
              <w:t xml:space="preserve">Ag</w:t>
            </w:r>
          </w:p>
        </w:tc>
        <w:tc>
          <w:p>
            <w:pPr>
              <w:pStyle w:val="Compact"/>
              <w:jc w:val="left"/>
            </w:pPr>
            <w:r>
              <w:t xml:space="preserve">0.35 - 1.08</w:t>
            </w:r>
          </w:p>
        </w:tc>
        <w:tc>
          <w:p>
            <w:pPr>
              <w:pStyle w:val="Compact"/>
              <w:jc w:val="left"/>
            </w:pPr>
            <w:r>
              <w:t xml:space="preserve">0.53 - 0.87</w:t>
            </w:r>
          </w:p>
        </w:tc>
        <w:tc>
          <w:p>
            <w:pPr>
              <w:pStyle w:val="Compact"/>
              <w:jc w:val="left"/>
            </w:pPr>
            <w:r>
              <w:t xml:space="preserve">0.65 - 0.72</w:t>
            </w:r>
          </w:p>
        </w:tc>
      </w:tr>
      <w:tr>
        <w:tc>
          <w:p>
            <w:pPr>
              <w:pStyle w:val="Compact"/>
            </w:pPr>
          </w:p>
        </w:tc>
        <w:tc>
          <w:p>
            <w:pPr>
              <w:pStyle w:val="Compact"/>
              <w:jc w:val="left"/>
            </w:pPr>
            <w:r>
              <w:t xml:space="preserve">Open</w:t>
            </w:r>
          </w:p>
        </w:tc>
        <w:tc>
          <w:p>
            <w:pPr>
              <w:pStyle w:val="Compact"/>
              <w:jc w:val="left"/>
            </w:pPr>
            <w:r>
              <w:t xml:space="preserve">0.73 - 1.2</w:t>
            </w:r>
          </w:p>
        </w:tc>
        <w:tc>
          <w:p>
            <w:pPr>
              <w:pStyle w:val="Compact"/>
              <w:jc w:val="left"/>
            </w:pPr>
            <w:r>
              <w:t xml:space="preserve">0.92 - 1.09</w:t>
            </w:r>
          </w:p>
        </w:tc>
        <w:tc>
          <w:p>
            <w:pPr>
              <w:pStyle w:val="Compact"/>
              <w:jc w:val="left"/>
            </w:pPr>
            <w:r>
              <w:t xml:space="preserve">0.99 - 1.02</w:t>
            </w:r>
          </w:p>
        </w:tc>
      </w:tr>
      <w:tr>
        <w:tc>
          <w:p>
            <w:pPr>
              <w:pStyle w:val="Compact"/>
              <w:jc w:val="left"/>
            </w:pPr>
            <w:r>
              <w:t xml:space="preserve">NC</w:t>
            </w:r>
          </w:p>
        </w:tc>
        <w:tc>
          <w:p>
            <w:pPr>
              <w:pStyle w:val="Compact"/>
              <w:jc w:val="left"/>
            </w:pPr>
            <w:r>
              <w:t xml:space="preserve">Urban</w:t>
            </w:r>
          </w:p>
        </w:tc>
        <w:tc>
          <w:p>
            <w:pPr>
              <w:pStyle w:val="Compact"/>
              <w:jc w:val="left"/>
            </w:pPr>
            <w:r>
              <w:t xml:space="preserve">0.62 - 1.19</w:t>
            </w:r>
          </w:p>
        </w:tc>
        <w:tc>
          <w:p>
            <w:pPr>
              <w:pStyle w:val="Compact"/>
              <w:jc w:val="left"/>
            </w:pPr>
            <w:r>
              <w:t xml:space="preserve">0.86 - 1.09</w:t>
            </w:r>
          </w:p>
        </w:tc>
        <w:tc>
          <w:p>
            <w:pPr>
              <w:pStyle w:val="Compact"/>
              <w:jc w:val="left"/>
            </w:pPr>
            <w:r>
              <w:t xml:space="preserve">0.95 - 1</w:t>
            </w:r>
          </w:p>
        </w:tc>
      </w:tr>
      <w:tr>
        <w:tc>
          <w:p>
            <w:pPr>
              <w:pStyle w:val="Compact"/>
            </w:pPr>
          </w:p>
        </w:tc>
        <w:tc>
          <w:p>
            <w:pPr>
              <w:pStyle w:val="Compact"/>
              <w:jc w:val="left"/>
            </w:pPr>
            <w:r>
              <w:t xml:space="preserve">Ag</w:t>
            </w:r>
          </w:p>
        </w:tc>
        <w:tc>
          <w:p>
            <w:pPr>
              <w:pStyle w:val="Compact"/>
              <w:jc w:val="left"/>
            </w:pPr>
            <w:r>
              <w:t xml:space="preserve">0.35 - 1.08</w:t>
            </w:r>
          </w:p>
        </w:tc>
        <w:tc>
          <w:p>
            <w:pPr>
              <w:pStyle w:val="Compact"/>
              <w:jc w:val="left"/>
            </w:pPr>
            <w:r>
              <w:t xml:space="preserve">0.51 - 0.86</w:t>
            </w:r>
          </w:p>
        </w:tc>
        <w:tc>
          <w:p>
            <w:pPr>
              <w:pStyle w:val="Compact"/>
              <w:jc w:val="left"/>
            </w:pPr>
            <w:r>
              <w:t xml:space="preserve">0.63 - 0.69</w:t>
            </w:r>
          </w:p>
        </w:tc>
      </w:tr>
      <w:tr>
        <w:tc>
          <w:p>
            <w:pPr>
              <w:pStyle w:val="Compact"/>
            </w:pPr>
          </w:p>
        </w:tc>
        <w:tc>
          <w:p>
            <w:pPr>
              <w:pStyle w:val="Compact"/>
              <w:jc w:val="left"/>
            </w:pPr>
            <w:r>
              <w:t xml:space="preserve">Open</w:t>
            </w:r>
          </w:p>
        </w:tc>
        <w:tc>
          <w:p>
            <w:pPr>
              <w:pStyle w:val="Compact"/>
              <w:jc w:val="left"/>
            </w:pPr>
            <w:r>
              <w:t xml:space="preserve">0.76 - 1.18</w:t>
            </w:r>
          </w:p>
        </w:tc>
        <w:tc>
          <w:p>
            <w:pPr>
              <w:pStyle w:val="Compact"/>
              <w:jc w:val="left"/>
            </w:pPr>
            <w:r>
              <w:t xml:space="preserve">0.92 - 1.07</w:t>
            </w:r>
          </w:p>
        </w:tc>
        <w:tc>
          <w:p>
            <w:pPr>
              <w:pStyle w:val="Compact"/>
              <w:jc w:val="left"/>
            </w:pPr>
            <w:r>
              <w:t xml:space="preserve">0.98 - 1.01</w:t>
            </w:r>
          </w:p>
        </w:tc>
      </w:tr>
      <w:tr>
        <w:tc>
          <w:p>
            <w:pPr>
              <w:pStyle w:val="Compact"/>
              <w:jc w:val="left"/>
            </w:pPr>
            <w:r>
              <w:t xml:space="preserve">CH</w:t>
            </w:r>
          </w:p>
        </w:tc>
        <w:tc>
          <w:p>
            <w:pPr>
              <w:pStyle w:val="Compact"/>
              <w:jc w:val="left"/>
            </w:pPr>
            <w:r>
              <w:t xml:space="preserve">Urban</w:t>
            </w:r>
          </w:p>
        </w:tc>
        <w:tc>
          <w:p>
            <w:pPr>
              <w:pStyle w:val="Compact"/>
              <w:jc w:val="left"/>
            </w:pPr>
            <w:r>
              <w:t xml:space="preserve">0.3 - 0.92</w:t>
            </w:r>
          </w:p>
        </w:tc>
        <w:tc>
          <w:p>
            <w:pPr>
              <w:pStyle w:val="Compact"/>
              <w:jc w:val="left"/>
            </w:pPr>
            <w:r>
              <w:t xml:space="preserve">0.47 - 0.74</w:t>
            </w:r>
          </w:p>
        </w:tc>
        <w:tc>
          <w:p>
            <w:pPr>
              <w:pStyle w:val="Compact"/>
              <w:jc w:val="left"/>
            </w:pPr>
            <w:r>
              <w:t xml:space="preserve">0.58 - 0.63</w:t>
            </w:r>
          </w:p>
        </w:tc>
      </w:tr>
      <w:tr>
        <w:tc>
          <w:p>
            <w:pPr>
              <w:pStyle w:val="Compact"/>
            </w:pPr>
          </w:p>
        </w:tc>
        <w:tc>
          <w:p>
            <w:pPr>
              <w:pStyle w:val="Compact"/>
              <w:jc w:val="left"/>
            </w:pPr>
            <w:r>
              <w:t xml:space="preserve">Ag</w:t>
            </w:r>
          </w:p>
        </w:tc>
        <w:tc>
          <w:p>
            <w:pPr>
              <w:pStyle w:val="Compact"/>
              <w:jc w:val="left"/>
            </w:pPr>
            <w:r>
              <w:t xml:space="preserve">0.37 - 1.07</w:t>
            </w:r>
          </w:p>
        </w:tc>
        <w:tc>
          <w:p>
            <w:pPr>
              <w:pStyle w:val="Compact"/>
              <w:jc w:val="left"/>
            </w:pPr>
            <w:r>
              <w:t xml:space="preserve">0.53 - 0.86</w:t>
            </w:r>
          </w:p>
        </w:tc>
        <w:tc>
          <w:p>
            <w:pPr>
              <w:pStyle w:val="Compact"/>
              <w:jc w:val="left"/>
            </w:pPr>
            <w:r>
              <w:t xml:space="preserve">0.64 - 0.7</w:t>
            </w:r>
          </w:p>
        </w:tc>
      </w:tr>
      <w:tr>
        <w:tc>
          <w:p>
            <w:pPr>
              <w:pStyle w:val="Compact"/>
            </w:pPr>
          </w:p>
        </w:tc>
        <w:tc>
          <w:p>
            <w:pPr>
              <w:pStyle w:val="Compact"/>
              <w:jc w:val="left"/>
            </w:pPr>
            <w:r>
              <w:t xml:space="preserve">Open</w:t>
            </w:r>
          </w:p>
        </w:tc>
        <w:tc>
          <w:p>
            <w:pPr>
              <w:pStyle w:val="Compact"/>
              <w:jc w:val="left"/>
            </w:pPr>
            <w:r>
              <w:t xml:space="preserve">0.73 - 1.18</w:t>
            </w:r>
          </w:p>
        </w:tc>
        <w:tc>
          <w:p>
            <w:pPr>
              <w:pStyle w:val="Compact"/>
              <w:jc w:val="left"/>
            </w:pPr>
            <w:r>
              <w:t xml:space="preserve">0.91 - 1.08</w:t>
            </w:r>
          </w:p>
        </w:tc>
        <w:tc>
          <w:p>
            <w:pPr>
              <w:pStyle w:val="Compact"/>
              <w:jc w:val="left"/>
            </w:pPr>
            <w:r>
              <w:t xml:space="preserve">0.98 - 1.01</w:t>
            </w:r>
          </w:p>
        </w:tc>
      </w:tr>
      <w:tr>
        <w:tc>
          <w:p>
            <w:pPr>
              <w:pStyle w:val="Compact"/>
              <w:jc w:val="left"/>
            </w:pPr>
            <w:r>
              <w:t xml:space="preserve">CV</w:t>
            </w:r>
          </w:p>
        </w:tc>
        <w:tc>
          <w:p>
            <w:pPr>
              <w:pStyle w:val="Compact"/>
              <w:jc w:val="left"/>
            </w:pPr>
            <w:r>
              <w:t xml:space="preserve">Urban</w:t>
            </w:r>
          </w:p>
        </w:tc>
        <w:tc>
          <w:p>
            <w:pPr>
              <w:pStyle w:val="Compact"/>
              <w:jc w:val="left"/>
            </w:pPr>
            <w:r>
              <w:t xml:space="preserve">0.33 - 0.96</w:t>
            </w:r>
          </w:p>
        </w:tc>
        <w:tc>
          <w:p>
            <w:pPr>
              <w:pStyle w:val="Compact"/>
              <w:jc w:val="left"/>
            </w:pPr>
            <w:r>
              <w:t xml:space="preserve">0.5 - 0.78</w:t>
            </w:r>
          </w:p>
        </w:tc>
        <w:tc>
          <w:p>
            <w:pPr>
              <w:pStyle w:val="Compact"/>
              <w:jc w:val="left"/>
            </w:pPr>
            <w:r>
              <w:t xml:space="preserve">0.62 - 0.68</w:t>
            </w:r>
          </w:p>
        </w:tc>
      </w:tr>
      <w:tr>
        <w:tc>
          <w:p>
            <w:pPr>
              <w:pStyle w:val="Compact"/>
            </w:pPr>
          </w:p>
        </w:tc>
        <w:tc>
          <w:p>
            <w:pPr>
              <w:pStyle w:val="Compact"/>
              <w:jc w:val="left"/>
            </w:pPr>
            <w:r>
              <w:t xml:space="preserve">Ag</w:t>
            </w:r>
          </w:p>
        </w:tc>
        <w:tc>
          <w:p>
            <w:pPr>
              <w:pStyle w:val="Compact"/>
              <w:jc w:val="left"/>
            </w:pPr>
            <w:r>
              <w:t xml:space="preserve">0.32 - 0.97</w:t>
            </w:r>
          </w:p>
        </w:tc>
        <w:tc>
          <w:p>
            <w:pPr>
              <w:pStyle w:val="Compact"/>
              <w:jc w:val="left"/>
            </w:pPr>
            <w:r>
              <w:t xml:space="preserve">0.45 - 0.73</w:t>
            </w:r>
          </w:p>
        </w:tc>
        <w:tc>
          <w:p>
            <w:pPr>
              <w:pStyle w:val="Compact"/>
              <w:jc w:val="left"/>
            </w:pPr>
            <w:r>
              <w:t xml:space="preserve">0.54 - 0.6</w:t>
            </w:r>
          </w:p>
        </w:tc>
      </w:tr>
      <w:tr>
        <w:tc>
          <w:p>
            <w:pPr>
              <w:pStyle w:val="Compact"/>
            </w:pPr>
          </w:p>
        </w:tc>
        <w:tc>
          <w:p>
            <w:pPr>
              <w:pStyle w:val="Compact"/>
              <w:jc w:val="left"/>
            </w:pPr>
            <w:r>
              <w:t xml:space="preserve">Open</w:t>
            </w:r>
          </w:p>
        </w:tc>
        <w:tc>
          <w:p>
            <w:pPr>
              <w:pStyle w:val="Compact"/>
              <w:jc w:val="left"/>
            </w:pPr>
            <w:r>
              <w:t xml:space="preserve">0.6 - 1.16</w:t>
            </w:r>
          </w:p>
        </w:tc>
        <w:tc>
          <w:p>
            <w:pPr>
              <w:pStyle w:val="Compact"/>
              <w:jc w:val="left"/>
            </w:pPr>
            <w:r>
              <w:t xml:space="preserve">0.8 - 1.02</w:t>
            </w:r>
          </w:p>
        </w:tc>
        <w:tc>
          <w:p>
            <w:pPr>
              <w:pStyle w:val="Compact"/>
              <w:jc w:val="left"/>
            </w:pPr>
            <w:r>
              <w:t xml:space="preserve">0.89 - 0.93</w:t>
            </w:r>
          </w:p>
        </w:tc>
      </w:tr>
      <w:tr>
        <w:tc>
          <w:p>
            <w:pPr>
              <w:pStyle w:val="Compact"/>
              <w:jc w:val="left"/>
            </w:pPr>
            <w:r>
              <w:t xml:space="preserve">SC</w:t>
            </w:r>
          </w:p>
        </w:tc>
        <w:tc>
          <w:p>
            <w:pPr>
              <w:pStyle w:val="Compact"/>
              <w:jc w:val="left"/>
            </w:pPr>
            <w:r>
              <w:t xml:space="preserve">Urban</w:t>
            </w:r>
          </w:p>
        </w:tc>
        <w:tc>
          <w:p>
            <w:pPr>
              <w:pStyle w:val="Compact"/>
              <w:jc w:val="left"/>
            </w:pPr>
            <w:r>
              <w:t xml:space="preserve">0.27 - 0.82</w:t>
            </w:r>
          </w:p>
        </w:tc>
        <w:tc>
          <w:p>
            <w:pPr>
              <w:pStyle w:val="Compact"/>
              <w:jc w:val="left"/>
            </w:pPr>
            <w:r>
              <w:t xml:space="preserve">0.41 - 0.66</w:t>
            </w:r>
          </w:p>
        </w:tc>
        <w:tc>
          <w:p>
            <w:pPr>
              <w:pStyle w:val="Compact"/>
              <w:jc w:val="left"/>
            </w:pPr>
            <w:r>
              <w:t xml:space="preserve">0.51 - 0.56</w:t>
            </w:r>
          </w:p>
        </w:tc>
      </w:tr>
      <w:tr>
        <w:tc>
          <w:p>
            <w:pPr>
              <w:pStyle w:val="Compact"/>
            </w:pPr>
          </w:p>
        </w:tc>
        <w:tc>
          <w:p>
            <w:pPr>
              <w:pStyle w:val="Compact"/>
              <w:jc w:val="left"/>
            </w:pPr>
            <w:r>
              <w:t xml:space="preserve">Ag</w:t>
            </w:r>
          </w:p>
        </w:tc>
        <w:tc>
          <w:p>
            <w:pPr>
              <w:pStyle w:val="Compact"/>
              <w:jc w:val="left"/>
            </w:pPr>
            <w:r>
              <w:t xml:space="preserve">0.35 - 1.06</w:t>
            </w:r>
          </w:p>
        </w:tc>
        <w:tc>
          <w:p>
            <w:pPr>
              <w:pStyle w:val="Compact"/>
              <w:jc w:val="left"/>
            </w:pPr>
            <w:r>
              <w:t xml:space="preserve">0.54 - 0.9</w:t>
            </w:r>
          </w:p>
        </w:tc>
        <w:tc>
          <w:p>
            <w:pPr>
              <w:pStyle w:val="Compact"/>
              <w:jc w:val="left"/>
            </w:pPr>
            <w:r>
              <w:t xml:space="preserve">0.67 - 0.74</w:t>
            </w:r>
          </w:p>
        </w:tc>
      </w:tr>
      <w:tr>
        <w:tc>
          <w:p>
            <w:pPr>
              <w:pStyle w:val="Compact"/>
            </w:pPr>
          </w:p>
        </w:tc>
        <w:tc>
          <w:p>
            <w:pPr>
              <w:pStyle w:val="Compact"/>
              <w:jc w:val="left"/>
            </w:pPr>
            <w:r>
              <w:t xml:space="preserve">Open</w:t>
            </w:r>
          </w:p>
        </w:tc>
        <w:tc>
          <w:p>
            <w:pPr>
              <w:pStyle w:val="Compact"/>
              <w:jc w:val="left"/>
            </w:pPr>
            <w:r>
              <w:t xml:space="preserve">0.77 - 1.19</w:t>
            </w:r>
          </w:p>
        </w:tc>
        <w:tc>
          <w:p>
            <w:pPr>
              <w:pStyle w:val="Compact"/>
              <w:jc w:val="left"/>
            </w:pPr>
            <w:r>
              <w:t xml:space="preserve">0.93 - 1.08</w:t>
            </w:r>
          </w:p>
        </w:tc>
        <w:tc>
          <w:p>
            <w:pPr>
              <w:pStyle w:val="Compact"/>
              <w:jc w:val="left"/>
            </w:pPr>
            <w:r>
              <w:t xml:space="preserve">0.99 - 1.02</w:t>
            </w:r>
          </w:p>
        </w:tc>
      </w:tr>
    </w:tbl>
    <w:p>
      <w:pPr>
        <w:pStyle w:val="Heading1"/>
      </w:pPr>
      <w:bookmarkStart w:id="68" w:name="references"/>
      <w:r>
        <w:t xml:space="preserve">References</w:t>
      </w:r>
      <w:bookmarkEnd w:id="68"/>
    </w:p>
    <w:bookmarkStart w:id="154" w:name="refs"/>
    <w:bookmarkStart w:id="70" w:name="ref-Allan97"/>
    <w:p>
      <w:pPr>
        <w:pStyle w:val="Bibliography"/>
      </w:pPr>
      <w:r>
        <w:t xml:space="preserve">Allan, D., D. Erickson, and J. Fay. 2007.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9">
        <w:r>
          <w:rPr>
            <w:rStyle w:val="Hyperlink"/>
          </w:rPr>
          <w:t xml:space="preserve">https://doi.org/10.1046/j.1365-2427.1997.d01-546.x</w:t>
        </w:r>
      </w:hyperlink>
      <w:r>
        <w:t xml:space="preserve">.</w:t>
      </w:r>
    </w:p>
    <w:bookmarkEnd w:id="70"/>
    <w:bookmarkStart w:id="72"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71">
        <w:r>
          <w:rPr>
            <w:rStyle w:val="Hyperlink"/>
          </w:rPr>
          <w:t xml:space="preserve">https://doi.org/10.1146/annurev.ecolsys.35.120202.110122</w:t>
        </w:r>
      </w:hyperlink>
      <w:r>
        <w:t xml:space="preserve">.</w:t>
      </w:r>
    </w:p>
    <w:bookmarkEnd w:id="72"/>
    <w:bookmarkStart w:id="73"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73"/>
    <w:bookmarkStart w:id="75"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74">
        <w:r>
          <w:rPr>
            <w:rStyle w:val="Hyperlink"/>
          </w:rPr>
          <w:t xml:space="preserve">https://doi.org/10.1016/j.landurbplan.2012.07.009</w:t>
        </w:r>
      </w:hyperlink>
      <w:r>
        <w:t xml:space="preserve">.</w:t>
      </w:r>
    </w:p>
    <w:bookmarkEnd w:id="75"/>
    <w:bookmarkStart w:id="76"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6"/>
    <w:bookmarkStart w:id="77" w:name="ref-CRWQCB14"/>
    <w:p>
      <w:pPr>
        <w:pStyle w:val="Bibliography"/>
      </w:pPr>
      <w:r>
        <w:t xml:space="preserve">California Regional Water Quality Control Board, Los Angeles Region. 2014. “Basin Plan for the Coastal Watersheds of Los Angeles and Ventura Counties.”</w:t>
      </w:r>
    </w:p>
    <w:bookmarkEnd w:id="77"/>
    <w:bookmarkStart w:id="79"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8">
        <w:r>
          <w:rPr>
            <w:rStyle w:val="Hyperlink"/>
          </w:rPr>
          <w:t xml:space="preserve">https://doi.org/10.1111/j.1526-100X.2007.00285.x</w:t>
        </w:r>
      </w:hyperlink>
      <w:r>
        <w:t xml:space="preserve">.</w:t>
      </w:r>
    </w:p>
    <w:bookmarkEnd w:id="79"/>
    <w:bookmarkStart w:id="81"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80">
        <w:r>
          <w:rPr>
            <w:rStyle w:val="Hyperlink"/>
          </w:rPr>
          <w:t xml:space="preserve">https://doi.org/10.1007/s10661-008-0256-z</w:t>
        </w:r>
      </w:hyperlink>
      <w:r>
        <w:t xml:space="preserve">.</w:t>
      </w:r>
    </w:p>
    <w:bookmarkEnd w:id="81"/>
    <w:bookmarkStart w:id="83"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82">
        <w:r>
          <w:rPr>
            <w:rStyle w:val="Hyperlink"/>
          </w:rPr>
          <w:t xml:space="preserve">https://doi.org/10.1016/j.ecolind.2013.07.006</w:t>
        </w:r>
      </w:hyperlink>
      <w:r>
        <w:t xml:space="preserve">.</w:t>
      </w:r>
    </w:p>
    <w:bookmarkEnd w:id="83"/>
    <w:bookmarkStart w:id="85"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4">
        <w:r>
          <w:rPr>
            <w:rStyle w:val="Hyperlink"/>
          </w:rPr>
          <w:t xml:space="preserve">https://doi.org/10.1086/678701</w:t>
        </w:r>
      </w:hyperlink>
      <w:r>
        <w:t xml:space="preserve">.</w:t>
      </w:r>
    </w:p>
    <w:bookmarkEnd w:id="85"/>
    <w:bookmarkStart w:id="87"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6">
        <w:r>
          <w:rPr>
            <w:rStyle w:val="Hyperlink"/>
          </w:rPr>
          <w:t xml:space="preserve">https://doi.org/10.1002/rra.1053</w:t>
        </w:r>
      </w:hyperlink>
      <w:r>
        <w:t xml:space="preserve">.</w:t>
      </w:r>
    </w:p>
    <w:bookmarkEnd w:id="87"/>
    <w:bookmarkStart w:id="89"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8">
        <w:r>
          <w:rPr>
            <w:rStyle w:val="Hyperlink"/>
          </w:rPr>
          <w:t xml:space="preserve">https://doi.org/10.1899/0887-3593(2004)023%3C0599:BWRSUO%3E2.0.CO;2</w:t>
        </w:r>
      </w:hyperlink>
      <w:r>
        <w:t xml:space="preserve">.</w:t>
      </w:r>
    </w:p>
    <w:bookmarkEnd w:id="89"/>
    <w:bookmarkStart w:id="91"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90">
        <w:r>
          <w:rPr>
            <w:rStyle w:val="Hyperlink"/>
          </w:rPr>
          <w:t xml:space="preserve">https://doi.org/10.1111/j.1365-2427.2011.02696.x</w:t>
        </w:r>
      </w:hyperlink>
      <w:r>
        <w:t xml:space="preserve">.</w:t>
      </w:r>
    </w:p>
    <w:bookmarkEnd w:id="91"/>
    <w:bookmarkStart w:id="93"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92">
        <w:r>
          <w:rPr>
            <w:rStyle w:val="Hyperlink"/>
          </w:rPr>
          <w:t xml:space="preserve">https://doi.org/10.1002/etc.2059</w:t>
        </w:r>
      </w:hyperlink>
      <w:r>
        <w:t xml:space="preserve">.</w:t>
      </w:r>
    </w:p>
    <w:bookmarkEnd w:id="93"/>
    <w:bookmarkStart w:id="95"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4">
        <w:r>
          <w:rPr>
            <w:rStyle w:val="Hyperlink"/>
          </w:rPr>
          <w:t xml:space="preserve">https://doi.org/10.1111/j.1752-1688.2000.tb05717.x</w:t>
        </w:r>
      </w:hyperlink>
      <w:r>
        <w:t xml:space="preserve">.</w:t>
      </w:r>
    </w:p>
    <w:bookmarkEnd w:id="95"/>
    <w:bookmarkStart w:id="97"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6">
        <w:r>
          <w:rPr>
            <w:rStyle w:val="Hyperlink"/>
          </w:rPr>
          <w:t xml:space="preserve">https://doi.org/10.1007/s10661-017-6025-0</w:t>
        </w:r>
      </w:hyperlink>
      <w:r>
        <w:t xml:space="preserve">.</w:t>
      </w:r>
    </w:p>
    <w:bookmarkEnd w:id="97"/>
    <w:bookmarkStart w:id="98"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98"/>
    <w:bookmarkStart w:id="100"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99">
        <w:r>
          <w:rPr>
            <w:rStyle w:val="Hyperlink"/>
          </w:rPr>
          <w:t xml:space="preserve">https://doi.org/10.1002/eap.1617</w:t>
        </w:r>
      </w:hyperlink>
      <w:r>
        <w:t xml:space="preserve">.</w:t>
      </w:r>
    </w:p>
    <w:bookmarkEnd w:id="100"/>
    <w:bookmarkStart w:id="102"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101">
        <w:r>
          <w:rPr>
            <w:rStyle w:val="Hyperlink"/>
          </w:rPr>
          <w:t xml:space="preserve">https://doi.org/10.1111/1752-1688.12372</w:t>
        </w:r>
      </w:hyperlink>
      <w:r>
        <w:t xml:space="preserve">.</w:t>
      </w:r>
    </w:p>
    <w:bookmarkEnd w:id="102"/>
    <w:bookmarkStart w:id="104"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3">
        <w:r>
          <w:rPr>
            <w:rStyle w:val="Hyperlink"/>
          </w:rPr>
          <w:t xml:space="preserve">https://doi.org/10.1086/697996</w:t>
        </w:r>
      </w:hyperlink>
      <w:r>
        <w:t xml:space="preserve">.</w:t>
      </w:r>
    </w:p>
    <w:bookmarkEnd w:id="104"/>
    <w:bookmarkStart w:id="106"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5">
        <w:r>
          <w:rPr>
            <w:rStyle w:val="Hyperlink"/>
          </w:rPr>
          <w:t xml:space="preserve">https://doi.org/10.1371/journal.pone.0130710</w:t>
        </w:r>
      </w:hyperlink>
      <w:r>
        <w:t xml:space="preserve">.</w:t>
      </w:r>
    </w:p>
    <w:bookmarkEnd w:id="106"/>
    <w:bookmarkStart w:id="107"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07"/>
    <w:bookmarkStart w:id="109"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08">
        <w:r>
          <w:rPr>
            <w:rStyle w:val="Hyperlink"/>
          </w:rPr>
          <w:t xml:space="preserve">https://doi.org/10.1111/j.1752-1688.2011.00635.x</w:t>
        </w:r>
      </w:hyperlink>
      <w:r>
        <w:t xml:space="preserve">.</w:t>
      </w:r>
    </w:p>
    <w:bookmarkEnd w:id="109"/>
    <w:bookmarkStart w:id="111"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10">
        <w:r>
          <w:rPr>
            <w:rStyle w:val="Hyperlink"/>
          </w:rPr>
          <w:t xml:space="preserve">https://doi.org/10.1016/j.scitotenv.2015.07.083</w:t>
        </w:r>
      </w:hyperlink>
      <w:r>
        <w:t xml:space="preserve">.</w:t>
      </w:r>
    </w:p>
    <w:bookmarkEnd w:id="111"/>
    <w:bookmarkStart w:id="113"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2">
        <w:r>
          <w:rPr>
            <w:rStyle w:val="Hyperlink"/>
          </w:rPr>
          <w:t xml:space="preserve">https://doi.org/10.1007%2Fs00267-008-9151-1</w:t>
        </w:r>
      </w:hyperlink>
      <w:r>
        <w:t xml:space="preserve">.</w:t>
      </w:r>
    </w:p>
    <w:bookmarkEnd w:id="113"/>
    <w:bookmarkStart w:id="114" w:name="ref-MacQueen67"/>
    <w:p>
      <w:pPr>
        <w:pStyle w:val="Bibliography"/>
      </w:pPr>
      <w:r>
        <w:t xml:space="preserve">MacQueen, J. 1967. “Some Methods for Classification and Analysis of Multivariate Observations.” In</w:t>
      </w:r>
      <w:r>
        <w:t xml:space="preserve"> </w:t>
      </w:r>
      <w:r>
        <w:rPr>
          <w:i/>
        </w:rPr>
        <w:t xml:space="preserve">Proceedings of the Fifth Berkeley Symposium on Mathematical Statistics and Probability</w:t>
      </w:r>
      <w:r>
        <w:t xml:space="preserve">, edited by L. M. Le Cam and J. Neyman, 281–97. Berkeley, California, USA: University of California Press.</w:t>
      </w:r>
    </w:p>
    <w:bookmarkEnd w:id="114"/>
    <w:bookmarkStart w:id="116"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5">
        <w:r>
          <w:rPr>
            <w:rStyle w:val="Hyperlink"/>
          </w:rPr>
          <w:t xml:space="preserve">https://doi.org/10.1007/s10661-014-4086-x</w:t>
        </w:r>
      </w:hyperlink>
      <w:r>
        <w:t xml:space="preserve">.</w:t>
      </w:r>
    </w:p>
    <w:bookmarkEnd w:id="116"/>
    <w:bookmarkStart w:id="117"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17"/>
    <w:bookmarkStart w:id="118"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18"/>
    <w:bookmarkStart w:id="120"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19">
        <w:r>
          <w:rPr>
            <w:rStyle w:val="Hyperlink"/>
          </w:rPr>
          <w:t xml:space="preserve">https://CRAN.R-project.org/package=quantregForest</w:t>
        </w:r>
      </w:hyperlink>
      <w:r>
        <w:t xml:space="preserve">.</w:t>
      </w:r>
    </w:p>
    <w:bookmarkEnd w:id="120"/>
    <w:bookmarkStart w:id="121"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21"/>
    <w:bookmarkStart w:id="123"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22">
        <w:r>
          <w:rPr>
            <w:rStyle w:val="Hyperlink"/>
          </w:rPr>
          <w:t xml:space="preserve">https://doi.org/10.1016/j.watres.2004.09.002</w:t>
        </w:r>
      </w:hyperlink>
      <w:r>
        <w:t xml:space="preserve">.</w:t>
      </w:r>
    </w:p>
    <w:bookmarkEnd w:id="123"/>
    <w:bookmarkStart w:id="124"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124"/>
    <w:bookmarkStart w:id="125"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25"/>
    <w:bookmarkStart w:id="127"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26">
        <w:r>
          <w:rPr>
            <w:rStyle w:val="Hyperlink"/>
          </w:rPr>
          <w:t xml:space="preserve">https://doi.org/10.1890/11-0077.1</w:t>
        </w:r>
      </w:hyperlink>
      <w:r>
        <w:t xml:space="preserve">.</w:t>
      </w:r>
    </w:p>
    <w:bookmarkEnd w:id="127"/>
    <w:bookmarkStart w:id="128"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28"/>
    <w:bookmarkStart w:id="130"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29">
        <w:r>
          <w:rPr>
            <w:rStyle w:val="Hyperlink"/>
          </w:rPr>
          <w:t xml:space="preserve">https://doi.org/10.1111/gec3.12039</w:t>
        </w:r>
      </w:hyperlink>
      <w:r>
        <w:t xml:space="preserve">.</w:t>
      </w:r>
    </w:p>
    <w:bookmarkEnd w:id="130"/>
    <w:bookmarkStart w:id="132"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1">
        <w:r>
          <w:rPr>
            <w:rStyle w:val="Hyperlink"/>
          </w:rPr>
          <w:t xml:space="preserve">https://doi.org/10.1007/s10661-010-1385-8</w:t>
        </w:r>
      </w:hyperlink>
      <w:r>
        <w:t xml:space="preserve">.</w:t>
      </w:r>
    </w:p>
    <w:bookmarkEnd w:id="132"/>
    <w:bookmarkStart w:id="134"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33">
        <w:r>
          <w:rPr>
            <w:rStyle w:val="Hyperlink"/>
          </w:rPr>
          <w:t xml:space="preserve">https://doi.org/10.1046/j.1365-2427.2001.00758.x</w:t>
        </w:r>
      </w:hyperlink>
      <w:r>
        <w:t xml:space="preserve">.</w:t>
      </w:r>
    </w:p>
    <w:bookmarkEnd w:id="134"/>
    <w:bookmarkStart w:id="136"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35">
        <w:r>
          <w:rPr>
            <w:rStyle w:val="Hyperlink"/>
          </w:rPr>
          <w:t xml:space="preserve">https://doi.org/10.1111/jawr.12035</w:t>
        </w:r>
      </w:hyperlink>
      <w:r>
        <w:t xml:space="preserve">.</w:t>
      </w:r>
    </w:p>
    <w:bookmarkEnd w:id="136"/>
    <w:bookmarkStart w:id="137"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37"/>
    <w:bookmarkStart w:id="139"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38">
        <w:r>
          <w:rPr>
            <w:rStyle w:val="Hyperlink"/>
          </w:rPr>
          <w:t xml:space="preserve">https://www.waterboards.ca.gov/water_issues/programs/swamp/qapp/swamp_QAPrP_2017_Final.pdf</w:t>
        </w:r>
      </w:hyperlink>
      <w:r>
        <w:t xml:space="preserve">.</w:t>
      </w:r>
    </w:p>
    <w:bookmarkEnd w:id="139"/>
    <w:bookmarkStart w:id="141"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0">
        <w:r>
          <w:rPr>
            <w:rStyle w:val="Hyperlink"/>
          </w:rPr>
          <w:t xml:space="preserve">https://doi.org/10.1111/j.1365-2664.2008.01548.x</w:t>
        </w:r>
      </w:hyperlink>
      <w:r>
        <w:t xml:space="preserve">.</w:t>
      </w:r>
    </w:p>
    <w:bookmarkEnd w:id="141"/>
    <w:bookmarkStart w:id="142"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42"/>
    <w:bookmarkStart w:id="143" w:name="ref-USEPA16"/>
    <w:p>
      <w:pPr>
        <w:pStyle w:val="Bibliography"/>
      </w:pPr>
      <w:r>
        <w:t xml:space="preserve">USEPA (US Environmental Protection Agency). 2016. “National Rivers and Streams Assessment 2008-2009: A Collaborative Survey.” EPA-841-R-16-007. Washington, DC.</w:t>
      </w:r>
    </w:p>
    <w:bookmarkEnd w:id="143"/>
    <w:bookmarkStart w:id="144" w:name="ref-USGS99"/>
    <w:p>
      <w:pPr>
        <w:pStyle w:val="Bibliography"/>
      </w:pPr>
      <w:r>
        <w:t xml:space="preserve">USGS (US Geological Survey). 1999. “The quality of our nation’s waters: nutrients and pesticides.” Reston, Virginia.</w:t>
      </w:r>
    </w:p>
    <w:bookmarkEnd w:id="144"/>
    <w:bookmarkStart w:id="145" w:name="ref-USGS14"/>
    <w:p>
      <w:pPr>
        <w:pStyle w:val="Bibliography"/>
      </w:pPr>
      <w:r>
        <w:t xml:space="preserve">———. 2014. “National Hydrography Dataset available on the World Wide Web.”</w:t>
      </w:r>
    </w:p>
    <w:bookmarkEnd w:id="145"/>
    <w:bookmarkStart w:id="147"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46">
        <w:r>
          <w:rPr>
            <w:rStyle w:val="Hyperlink"/>
          </w:rPr>
          <w:t xml:space="preserve">https://doi.org/10.1023/A:1023374524254</w:t>
        </w:r>
      </w:hyperlink>
      <w:r>
        <w:t xml:space="preserve">.</w:t>
      </w:r>
    </w:p>
    <w:bookmarkEnd w:id="147"/>
    <w:bookmarkStart w:id="149"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48">
        <w:r>
          <w:rPr>
            <w:rStyle w:val="Hyperlink"/>
          </w:rPr>
          <w:t xml:space="preserve">https://doi.org/10.1111/jawr.12032</w:t>
        </w:r>
      </w:hyperlink>
      <w:r>
        <w:t xml:space="preserve">.</w:t>
      </w:r>
    </w:p>
    <w:bookmarkEnd w:id="149"/>
    <w:bookmarkStart w:id="151"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50">
        <w:r>
          <w:rPr>
            <w:rStyle w:val="Hyperlink"/>
          </w:rPr>
          <w:t xml:space="preserve">https://doi.org/10.1371/journal.pone.0090944</w:t>
        </w:r>
      </w:hyperlink>
      <w:r>
        <w:t xml:space="preserve">.</w:t>
      </w:r>
    </w:p>
    <w:bookmarkEnd w:id="151"/>
    <w:bookmarkStart w:id="153"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2">
        <w:r>
          <w:rPr>
            <w:rStyle w:val="Hyperlink"/>
          </w:rPr>
          <w:t xml:space="preserve">https://doi.org/10.1577/1548-8446(1997)022%3C0006:IOWLUO%3E2.0.CO;2</w:t>
        </w:r>
      </w:hyperlink>
      <w:r>
        <w:t xml:space="preserve">.</w:t>
      </w:r>
    </w:p>
    <w:bookmarkEnd w:id="153"/>
    <w:bookmarkEnd w:id="154"/>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hyperlink" Id="rId53" Target="http://shiny.sccwrp.org/scape/" TargetMode="External" /><Relationship Type="http://schemas.openxmlformats.org/officeDocument/2006/relationships/hyperlink" Id="rId119" Target="https://CRAN.R-project.org/package=quantregForest" TargetMode="External" /><Relationship Type="http://schemas.openxmlformats.org/officeDocument/2006/relationships/hyperlink" Id="rId99" Target="https://doi.org/10.1002/eap.1617" TargetMode="External" /><Relationship Type="http://schemas.openxmlformats.org/officeDocument/2006/relationships/hyperlink" Id="rId92" Target="https://doi.org/10.1002/etc.2059" TargetMode="External" /><Relationship Type="http://schemas.openxmlformats.org/officeDocument/2006/relationships/hyperlink" Id="rId86" Target="https://doi.org/10.1002/rra.1053" TargetMode="External" /><Relationship Type="http://schemas.openxmlformats.org/officeDocument/2006/relationships/hyperlink" Id="rId112" Target="https://doi.org/10.1007%2Fs00267-008-9151-1" TargetMode="External" /><Relationship Type="http://schemas.openxmlformats.org/officeDocument/2006/relationships/hyperlink" Id="rId80" Target="https://doi.org/10.1007/s10661-008-0256-z" TargetMode="External" /><Relationship Type="http://schemas.openxmlformats.org/officeDocument/2006/relationships/hyperlink" Id="rId131" Target="https://doi.org/10.1007/s10661-010-1385-8" TargetMode="External" /><Relationship Type="http://schemas.openxmlformats.org/officeDocument/2006/relationships/hyperlink" Id="rId115" Target="https://doi.org/10.1007/s10661-014-4086-x" TargetMode="External" /><Relationship Type="http://schemas.openxmlformats.org/officeDocument/2006/relationships/hyperlink" Id="rId96" Target="https://doi.org/10.1007/s10661-017-6025-0" TargetMode="External" /><Relationship Type="http://schemas.openxmlformats.org/officeDocument/2006/relationships/hyperlink" Id="rId82" Target="https://doi.org/10.1016/j.ecolind.2013.07.006" TargetMode="External" /><Relationship Type="http://schemas.openxmlformats.org/officeDocument/2006/relationships/hyperlink" Id="rId74" Target="https://doi.org/10.1016/j.landurbplan.2012.07.009" TargetMode="External" /><Relationship Type="http://schemas.openxmlformats.org/officeDocument/2006/relationships/hyperlink" Id="rId110" Target="https://doi.org/10.1016/j.scitotenv.2015.07.083" TargetMode="External" /><Relationship Type="http://schemas.openxmlformats.org/officeDocument/2006/relationships/hyperlink" Id="rId122" Target="https://doi.org/10.1016/j.watres.2004.09.002" TargetMode="External" /><Relationship Type="http://schemas.openxmlformats.org/officeDocument/2006/relationships/hyperlink" Id="rId146" Target="https://doi.org/10.1023/A:1023374524254" TargetMode="External" /><Relationship Type="http://schemas.openxmlformats.org/officeDocument/2006/relationships/hyperlink" Id="rId69" Target="https://doi.org/10.1046/j.1365-2427.1997.d01-546.x" TargetMode="External" /><Relationship Type="http://schemas.openxmlformats.org/officeDocument/2006/relationships/hyperlink" Id="rId133" Target="https://doi.org/10.1046/j.1365-2427.2001.00758.x" TargetMode="External" /><Relationship Type="http://schemas.openxmlformats.org/officeDocument/2006/relationships/hyperlink" Id="rId84" Target="https://doi.org/10.1086/678701" TargetMode="External" /><Relationship Type="http://schemas.openxmlformats.org/officeDocument/2006/relationships/hyperlink" Id="rId103" Target="https://doi.org/10.1086/697996" TargetMode="External" /><Relationship Type="http://schemas.openxmlformats.org/officeDocument/2006/relationships/hyperlink" Id="rId101" Target="https://doi.org/10.1111/1752-1688.12372" TargetMode="External" /><Relationship Type="http://schemas.openxmlformats.org/officeDocument/2006/relationships/hyperlink" Id="rId129" Target="https://doi.org/10.1111/gec3.12039" TargetMode="External" /><Relationship Type="http://schemas.openxmlformats.org/officeDocument/2006/relationships/hyperlink" Id="rId90" Target="https://doi.org/10.1111/j.1365-2427.2011.02696.x" TargetMode="External" /><Relationship Type="http://schemas.openxmlformats.org/officeDocument/2006/relationships/hyperlink" Id="rId140" Target="https://doi.org/10.1111/j.1365-2664.2008.01548.x" TargetMode="External" /><Relationship Type="http://schemas.openxmlformats.org/officeDocument/2006/relationships/hyperlink" Id="rId78" Target="https://doi.org/10.1111/j.1526-100X.2007.00285.x" TargetMode="External" /><Relationship Type="http://schemas.openxmlformats.org/officeDocument/2006/relationships/hyperlink" Id="rId94" Target="https://doi.org/10.1111/j.1752-1688.2000.tb05717.x" TargetMode="External" /><Relationship Type="http://schemas.openxmlformats.org/officeDocument/2006/relationships/hyperlink" Id="rId108" Target="https://doi.org/10.1111/j.1752-1688.2011.00635.x" TargetMode="External" /><Relationship Type="http://schemas.openxmlformats.org/officeDocument/2006/relationships/hyperlink" Id="rId148" Target="https://doi.org/10.1111/jawr.12032" TargetMode="External" /><Relationship Type="http://schemas.openxmlformats.org/officeDocument/2006/relationships/hyperlink" Id="rId135" Target="https://doi.org/10.1111/jawr.12035" TargetMode="External" /><Relationship Type="http://schemas.openxmlformats.org/officeDocument/2006/relationships/hyperlink" Id="rId71" Target="https://doi.org/10.1146/annurev.ecolsys.35.120202.110122" TargetMode="External" /><Relationship Type="http://schemas.openxmlformats.org/officeDocument/2006/relationships/hyperlink" Id="rId150" Target="https://doi.org/10.1371/journal.pone.0090944" TargetMode="External" /><Relationship Type="http://schemas.openxmlformats.org/officeDocument/2006/relationships/hyperlink" Id="rId105" Target="https://doi.org/10.1371/journal.pone.0130710" TargetMode="External" /><Relationship Type="http://schemas.openxmlformats.org/officeDocument/2006/relationships/hyperlink" Id="rId152" Target="https://doi.org/10.1577/1548-8446(1997)022%3C0006:IOWLUO%3E2.0.CO;2" TargetMode="External" /><Relationship Type="http://schemas.openxmlformats.org/officeDocument/2006/relationships/hyperlink" Id="rId126" Target="https://doi.org/10.1890/11-0077.1" TargetMode="External" /><Relationship Type="http://schemas.openxmlformats.org/officeDocument/2006/relationships/hyperlink" Id="rId88" Target="https://doi.org/10.1899/0887-3593(2004)023%3C0599:BWRSUO%3E2.0.CO;2" TargetMode="External" /><Relationship Type="http://schemas.openxmlformats.org/officeDocument/2006/relationships/hyperlink" Id="rId138"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53" Target="http://shiny.sccwrp.org/scape/" TargetMode="External" /><Relationship Type="http://schemas.openxmlformats.org/officeDocument/2006/relationships/hyperlink" Id="rId119" Target="https://CRAN.R-project.org/package=quantregForest" TargetMode="External" /><Relationship Type="http://schemas.openxmlformats.org/officeDocument/2006/relationships/hyperlink" Id="rId99" Target="https://doi.org/10.1002/eap.1617" TargetMode="External" /><Relationship Type="http://schemas.openxmlformats.org/officeDocument/2006/relationships/hyperlink" Id="rId92" Target="https://doi.org/10.1002/etc.2059" TargetMode="External" /><Relationship Type="http://schemas.openxmlformats.org/officeDocument/2006/relationships/hyperlink" Id="rId86" Target="https://doi.org/10.1002/rra.1053" TargetMode="External" /><Relationship Type="http://schemas.openxmlformats.org/officeDocument/2006/relationships/hyperlink" Id="rId112" Target="https://doi.org/10.1007%2Fs00267-008-9151-1" TargetMode="External" /><Relationship Type="http://schemas.openxmlformats.org/officeDocument/2006/relationships/hyperlink" Id="rId80" Target="https://doi.org/10.1007/s10661-008-0256-z" TargetMode="External" /><Relationship Type="http://schemas.openxmlformats.org/officeDocument/2006/relationships/hyperlink" Id="rId131" Target="https://doi.org/10.1007/s10661-010-1385-8" TargetMode="External" /><Relationship Type="http://schemas.openxmlformats.org/officeDocument/2006/relationships/hyperlink" Id="rId115" Target="https://doi.org/10.1007/s10661-014-4086-x" TargetMode="External" /><Relationship Type="http://schemas.openxmlformats.org/officeDocument/2006/relationships/hyperlink" Id="rId96" Target="https://doi.org/10.1007/s10661-017-6025-0" TargetMode="External" /><Relationship Type="http://schemas.openxmlformats.org/officeDocument/2006/relationships/hyperlink" Id="rId82" Target="https://doi.org/10.1016/j.ecolind.2013.07.006" TargetMode="External" /><Relationship Type="http://schemas.openxmlformats.org/officeDocument/2006/relationships/hyperlink" Id="rId74" Target="https://doi.org/10.1016/j.landurbplan.2012.07.009" TargetMode="External" /><Relationship Type="http://schemas.openxmlformats.org/officeDocument/2006/relationships/hyperlink" Id="rId110" Target="https://doi.org/10.1016/j.scitotenv.2015.07.083" TargetMode="External" /><Relationship Type="http://schemas.openxmlformats.org/officeDocument/2006/relationships/hyperlink" Id="rId122" Target="https://doi.org/10.1016/j.watres.2004.09.002" TargetMode="External" /><Relationship Type="http://schemas.openxmlformats.org/officeDocument/2006/relationships/hyperlink" Id="rId146" Target="https://doi.org/10.1023/A:1023374524254" TargetMode="External" /><Relationship Type="http://schemas.openxmlformats.org/officeDocument/2006/relationships/hyperlink" Id="rId69" Target="https://doi.org/10.1046/j.1365-2427.1997.d01-546.x" TargetMode="External" /><Relationship Type="http://schemas.openxmlformats.org/officeDocument/2006/relationships/hyperlink" Id="rId133" Target="https://doi.org/10.1046/j.1365-2427.2001.00758.x" TargetMode="External" /><Relationship Type="http://schemas.openxmlformats.org/officeDocument/2006/relationships/hyperlink" Id="rId84" Target="https://doi.org/10.1086/678701" TargetMode="External" /><Relationship Type="http://schemas.openxmlformats.org/officeDocument/2006/relationships/hyperlink" Id="rId103" Target="https://doi.org/10.1086/697996" TargetMode="External" /><Relationship Type="http://schemas.openxmlformats.org/officeDocument/2006/relationships/hyperlink" Id="rId101" Target="https://doi.org/10.1111/1752-1688.12372" TargetMode="External" /><Relationship Type="http://schemas.openxmlformats.org/officeDocument/2006/relationships/hyperlink" Id="rId129" Target="https://doi.org/10.1111/gec3.12039" TargetMode="External" /><Relationship Type="http://schemas.openxmlformats.org/officeDocument/2006/relationships/hyperlink" Id="rId90" Target="https://doi.org/10.1111/j.1365-2427.2011.02696.x" TargetMode="External" /><Relationship Type="http://schemas.openxmlformats.org/officeDocument/2006/relationships/hyperlink" Id="rId140" Target="https://doi.org/10.1111/j.1365-2664.2008.01548.x" TargetMode="External" /><Relationship Type="http://schemas.openxmlformats.org/officeDocument/2006/relationships/hyperlink" Id="rId78" Target="https://doi.org/10.1111/j.1526-100X.2007.00285.x" TargetMode="External" /><Relationship Type="http://schemas.openxmlformats.org/officeDocument/2006/relationships/hyperlink" Id="rId94" Target="https://doi.org/10.1111/j.1752-1688.2000.tb05717.x" TargetMode="External" /><Relationship Type="http://schemas.openxmlformats.org/officeDocument/2006/relationships/hyperlink" Id="rId108" Target="https://doi.org/10.1111/j.1752-1688.2011.00635.x" TargetMode="External" /><Relationship Type="http://schemas.openxmlformats.org/officeDocument/2006/relationships/hyperlink" Id="rId148" Target="https://doi.org/10.1111/jawr.12032" TargetMode="External" /><Relationship Type="http://schemas.openxmlformats.org/officeDocument/2006/relationships/hyperlink" Id="rId135" Target="https://doi.org/10.1111/jawr.12035" TargetMode="External" /><Relationship Type="http://schemas.openxmlformats.org/officeDocument/2006/relationships/hyperlink" Id="rId71" Target="https://doi.org/10.1146/annurev.ecolsys.35.120202.110122" TargetMode="External" /><Relationship Type="http://schemas.openxmlformats.org/officeDocument/2006/relationships/hyperlink" Id="rId150" Target="https://doi.org/10.1371/journal.pone.0090944" TargetMode="External" /><Relationship Type="http://schemas.openxmlformats.org/officeDocument/2006/relationships/hyperlink" Id="rId105" Target="https://doi.org/10.1371/journal.pone.0130710" TargetMode="External" /><Relationship Type="http://schemas.openxmlformats.org/officeDocument/2006/relationships/hyperlink" Id="rId152" Target="https://doi.org/10.1577/1548-8446(1997)022%3C0006:IOWLUO%3E2.0.CO;2" TargetMode="External" /><Relationship Type="http://schemas.openxmlformats.org/officeDocument/2006/relationships/hyperlink" Id="rId126" Target="https://doi.org/10.1890/11-0077.1" TargetMode="External" /><Relationship Type="http://schemas.openxmlformats.org/officeDocument/2006/relationships/hyperlink" Id="rId88" Target="https://doi.org/10.1899/0887-3593(2004)023%3C0599:BWRSUO%3E2.0.CO;2" TargetMode="External" /><Relationship Type="http://schemas.openxmlformats.org/officeDocument/2006/relationships/hyperlink" Id="rId138"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2018-06-29T20:17:04Z</dcterms:created>
  <dcterms:modified xsi:type="dcterms:W3CDTF">2018-06-29T20:17:04Z</dcterms:modified>
</cp:coreProperties>
</file>