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Jul 9 15:10:39 2018 -0700</w:t>
      </w:r>
    </w:p>
    <w:p>
      <w:pPr>
        <w:pStyle w:val="Heading1"/>
      </w:pPr>
      <w:bookmarkStart w:id="30" w:name="abstract"/>
      <w:r>
        <w:t xml:space="preserve">Abstract</w:t>
      </w:r>
      <w:bookmarkEnd w:id="30"/>
    </w:p>
    <w:p>
      <w:pPr>
        <w:pStyle w:val="FirstParagraph"/>
      </w:pPr>
      <w:r>
        <w:t xml:space="preserve">Management goals for stream condition may be difficult or impossible to achieve where large-scale changes on the landscape (e.g., urbanization) impose constraints on the upper limit of achievable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landscape alteration. We applied the model at a local scale to classify sites and prioritize different management actions using guidance from a local stakeholder group from the San Gabriel River Regional Monitoring Program (SGRRMP,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actual limits on biotic condition at spatial scales that can be effectively managed for biological integrity</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interpretable relative to the needs of local stakeholder groups. Explicit information is required to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and proximate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in poor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ecological condition, there is no universal remedy that applies to streams. Restoring streams in urban or agricultural settings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condition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biological constraints with landscape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segments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streams and rivers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Much of this development is recent such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and is not necessarily a strictly defined hydro-geomorphological feature.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condition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Benthic macroinvertebrate data were used to calculate 6270 individual CSCI scores at nearly 3400 unique sites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segment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deviation of observed scores from the model predictions were considered diagnostic of variation not related to landscape effects at a coarse level,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segment at five percent intervals (i.e., 5th, 10th, etc.) from the 5th to 95th percentile of expectations.</w:t>
      </w:r>
    </w:p>
    <w:p>
      <w:pPr>
        <w:pStyle w:val="BodyText"/>
      </w:pPr>
      <w:r>
        <w:t xml:space="preserve">Calibration data for the landscape model were obtained from a random selection of 75% of segments with observed CSCI scores and where sufficient data were available in StreamCat (n = 1965 segments). The random selection was stratified by major regions in California (Figure</w:t>
      </w:r>
      <w:r>
        <w:t xml:space="preserve"> </w:t>
      </w:r>
      <w:r>
        <w:t xml:space="preserve">1</w:t>
      </w:r>
      <w:r>
        <w:t xml:space="preserve">), with each further divided into quartiles based on watershed imperviousness to adequately represent landscape gradients in each region.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segment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1</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could be useful to refine the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statewide and by major regions in California. Stream segment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10th and 90th percentiles of expected scores at a segment were used as a default range in which a high degree of certainty in the model output is assumed. The effect of changing this range (e.g., 25th to 75th percentile) was evaluated to determine the sensitivity of segment classifications on this decision point. Similary, the CSCI threshold was also changed to assess effects of relaxing or increasing flexibility in defining low or high scores. A default threshold of 0.79 as a measure of the 10th percentile of scores at reference (non-impacted) sites was used above, but this value can be increased to examine effects of a more conservative threshold or decreased for a more relaxed threshold. The combined effects of changing both the certainty in the model and the CSCI threshold were evaluated to estimate the changes in stream extent in each classification.</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SGR site priorities for management actions using results from the landscape model was developed through engagement with a local stakeholder group. The San Gabriel River Regional Monitoring Program (SGRRMP, Los Angeles County, California) includes stakeholders from water quality regulatory agencies, municipalities, and non-govermental organizations that cooperatively work to manage aquatic resources in the SGR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San Gabriel River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segment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 </w:t>
      </w:r>
      <w:r>
        <w:t xml:space="preserve">(</w:t>
      </w:r>
      <w:r>
        <w:rPr>
          <w:b/>
        </w:rPr>
        <w:t xml:space="preserve">???</w:t>
      </w:r>
      <w:r>
        <w:t xml:space="preserve">)</w:t>
      </w:r>
      <w:r>
        <w:t xml:space="preserve">). This application provided maps of the extent and type of classification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Stream segments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segment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segments.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the SGRRMP stakeholders demonstrated how management actions can be prioritized through application of the landscape model. About 750 segments in the SGR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most likely to be achieved.</w:t>
      </w:r>
    </w:p>
    <w:p>
      <w:pPr>
        <w:pStyle w:val="BodyText"/>
      </w:pPr>
      <w:r>
        <w:t xml:space="preserve">Results from our analyses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exclude sites from management actions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relatively low expected range of CSCI scores is an indication that stressors originating from the landscape may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Accurate data for quantifying these potential stressors are much less readily available, but this is an area where investments in improving spatial data could yield significant improvements.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using the landscape model is the meaning of biologically constrained in the context of macroinvertebrate communities. Biologically constrained sites were considered those where landscapes were likely to limit the bioassessment index. The CSCI provides an indication of stream condition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the SGRRMP stakeholder group.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SGRRMP. Application of the statewide model to other watersheds must include the engagement of local stakeholders in a similar process to develop recommendations that are adequate to meet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w:t>
      </w:r>
    </w:p>
    <w:tbl>
      <w:tblPr>
        <w:tblStyle w:val="Table"/>
        <w:tblW w:type="pct" w:w="0.0"/>
        <w:tblLook w:firstRow="1"/>
        <w:tblCaption w:val="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
      </w:tblPr>
      <w:tblGrid/>
      <w:tr>
        <w:trPr>
          <w:cnfStyle w:firstRow="1"/>
        </w:trPr>
        <w:tc>
          <w:tcPr>
            <w:tcBorders>
              <w:bottom w:val="single"/>
            </w:tcBorders>
            <w:vAlign w:val="bottom"/>
          </w:tcPr>
          <w:p>
            <w:pPr>
              <w:pStyle w:val="Compact"/>
              <w:jc w:val="left"/>
            </w:pPr>
            <w:r>
              <w:t xml:space="preserve">Segment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segment,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53"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5"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5"/>
    <w:bookmarkStart w:id="67"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6">
        <w:r>
          <w:rPr>
            <w:rStyle w:val="Hyperlink"/>
          </w:rPr>
          <w:t xml:space="preserve">https://doi.org/10.1016/j.landurbplan.2012.07.009</w:t>
        </w:r>
      </w:hyperlink>
      <w:r>
        <w:t xml:space="preserve">.</w:t>
      </w:r>
    </w:p>
    <w:bookmarkEnd w:id="67"/>
    <w:bookmarkStart w:id="69"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68">
        <w:r>
          <w:rPr>
            <w:rStyle w:val="Hyperlink"/>
          </w:rPr>
          <w:t xml:space="preserve">https://doi.org/10.1007/s10661-014-4132-8</w:t>
        </w:r>
      </w:hyperlink>
      <w:r>
        <w:t xml:space="preserve">.</w:t>
      </w:r>
    </w:p>
    <w:bookmarkEnd w:id="69"/>
    <w:bookmarkStart w:id="70"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0"/>
    <w:bookmarkStart w:id="71" w:name="ref-CRWQCB14"/>
    <w:p>
      <w:pPr>
        <w:pStyle w:val="Bibliography"/>
      </w:pPr>
      <w:r>
        <w:t xml:space="preserve">California Regional Water Quality Control Board, Los Angeles Region. 2014. “Basin Plan for the Coastal Watersheds of Los Angeles and Ventura Counties.”</w:t>
      </w:r>
    </w:p>
    <w:bookmarkEnd w:id="71"/>
    <w:bookmarkStart w:id="73"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2">
        <w:r>
          <w:rPr>
            <w:rStyle w:val="Hyperlink"/>
          </w:rPr>
          <w:t xml:space="preserve">https://doi.org/10.1111/j.1526-100X.2007.00285.x</w:t>
        </w:r>
      </w:hyperlink>
      <w:r>
        <w:t xml:space="preserve">.</w:t>
      </w:r>
    </w:p>
    <w:bookmarkEnd w:id="73"/>
    <w:bookmarkStart w:id="75"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4">
        <w:r>
          <w:rPr>
            <w:rStyle w:val="Hyperlink"/>
          </w:rPr>
          <w:t xml:space="preserve">https://doi.org/10.1007/s10661-008-0256-z</w:t>
        </w:r>
      </w:hyperlink>
      <w:r>
        <w:t xml:space="preserve">.</w:t>
      </w:r>
    </w:p>
    <w:bookmarkEnd w:id="75"/>
    <w:bookmarkStart w:id="77"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6">
        <w:r>
          <w:rPr>
            <w:rStyle w:val="Hyperlink"/>
          </w:rPr>
          <w:t xml:space="preserve">https://doi.org/10.1016/j.ecolind.2013.07.006</w:t>
        </w:r>
      </w:hyperlink>
      <w:r>
        <w:t xml:space="preserve">.</w:t>
      </w:r>
    </w:p>
    <w:bookmarkEnd w:id="77"/>
    <w:bookmarkStart w:id="79"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78">
        <w:r>
          <w:rPr>
            <w:rStyle w:val="Hyperlink"/>
          </w:rPr>
          <w:t xml:space="preserve">https://doi.org/10.1086/678701</w:t>
        </w:r>
      </w:hyperlink>
      <w:r>
        <w:t xml:space="preserve">.</w:t>
      </w:r>
    </w:p>
    <w:bookmarkEnd w:id="79"/>
    <w:bookmarkStart w:id="81"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0">
        <w:r>
          <w:rPr>
            <w:rStyle w:val="Hyperlink"/>
          </w:rPr>
          <w:t xml:space="preserve">https://doi.org/10.1002/rra.1053</w:t>
        </w:r>
      </w:hyperlink>
      <w:r>
        <w:t xml:space="preserve">.</w:t>
      </w:r>
    </w:p>
    <w:bookmarkEnd w:id="81"/>
    <w:bookmarkStart w:id="83"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2">
        <w:r>
          <w:rPr>
            <w:rStyle w:val="Hyperlink"/>
          </w:rPr>
          <w:t xml:space="preserve">https://doi.org/10.1899/0887-3593(2004)023%3C0599:BWRSUO%3E2.0.CO;2</w:t>
        </w:r>
      </w:hyperlink>
      <w:r>
        <w:t xml:space="preserve">.</w:t>
      </w:r>
    </w:p>
    <w:bookmarkEnd w:id="83"/>
    <w:bookmarkStart w:id="85"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4">
        <w:r>
          <w:rPr>
            <w:rStyle w:val="Hyperlink"/>
          </w:rPr>
          <w:t xml:space="preserve">https://doi.org/10.1111/j.1365-2427.2011.02696.x</w:t>
        </w:r>
      </w:hyperlink>
      <w:r>
        <w:t xml:space="preserve">.</w:t>
      </w:r>
    </w:p>
    <w:bookmarkEnd w:id="85"/>
    <w:bookmarkStart w:id="87"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6">
        <w:r>
          <w:rPr>
            <w:rStyle w:val="Hyperlink"/>
          </w:rPr>
          <w:t xml:space="preserve">https://doi.org/10.1002/etc.2059</w:t>
        </w:r>
      </w:hyperlink>
      <w:r>
        <w:t xml:space="preserve">.</w:t>
      </w:r>
    </w:p>
    <w:bookmarkEnd w:id="87"/>
    <w:bookmarkStart w:id="88"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88"/>
    <w:bookmarkStart w:id="90"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89">
        <w:r>
          <w:rPr>
            <w:rStyle w:val="Hyperlink"/>
          </w:rPr>
          <w:t xml:space="preserve">https://doi.org/10.1111/j.1752-1688.2000.tb05717.x</w:t>
        </w:r>
      </w:hyperlink>
      <w:r>
        <w:t xml:space="preserve">.</w:t>
      </w:r>
    </w:p>
    <w:bookmarkEnd w:id="90"/>
    <w:bookmarkStart w:id="91"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1"/>
    <w:bookmarkStart w:id="93"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2">
        <w:r>
          <w:rPr>
            <w:rStyle w:val="Hyperlink"/>
          </w:rPr>
          <w:t xml:space="preserve">https://doi.org/10.1007/s10661-017-6025-0</w:t>
        </w:r>
      </w:hyperlink>
      <w:r>
        <w:t xml:space="preserve">.</w:t>
      </w:r>
    </w:p>
    <w:bookmarkEnd w:id="93"/>
    <w:bookmarkStart w:id="94"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94"/>
    <w:bookmarkStart w:id="95"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5"/>
    <w:bookmarkStart w:id="97"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6">
        <w:r>
          <w:rPr>
            <w:rStyle w:val="Hyperlink"/>
          </w:rPr>
          <w:t xml:space="preserve">https://doi.org/10.1002/eap.1617</w:t>
        </w:r>
      </w:hyperlink>
      <w:r>
        <w:t xml:space="preserve">.</w:t>
      </w:r>
    </w:p>
    <w:bookmarkEnd w:id="97"/>
    <w:bookmarkStart w:id="99"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8">
        <w:r>
          <w:rPr>
            <w:rStyle w:val="Hyperlink"/>
          </w:rPr>
          <w:t xml:space="preserve">https://doi.org/10.1111/1752-1688.12372</w:t>
        </w:r>
      </w:hyperlink>
      <w:r>
        <w:t xml:space="preserve">.</w:t>
      </w:r>
    </w:p>
    <w:bookmarkEnd w:id="99"/>
    <w:bookmarkStart w:id="101"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0">
        <w:r>
          <w:rPr>
            <w:rStyle w:val="Hyperlink"/>
          </w:rPr>
          <w:t xml:space="preserve">https://doi.org/10.1086/697996</w:t>
        </w:r>
      </w:hyperlink>
      <w:r>
        <w:t xml:space="preserve">.</w:t>
      </w:r>
    </w:p>
    <w:bookmarkEnd w:id="101"/>
    <w:bookmarkStart w:id="103"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2">
        <w:r>
          <w:rPr>
            <w:rStyle w:val="Hyperlink"/>
          </w:rPr>
          <w:t xml:space="preserve">https://doi.org/10.1371/journal.pone.0130710</w:t>
        </w:r>
      </w:hyperlink>
      <w:r>
        <w:t xml:space="preserve">.</w:t>
      </w:r>
    </w:p>
    <w:bookmarkEnd w:id="103"/>
    <w:bookmarkStart w:id="104"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4"/>
    <w:bookmarkStart w:id="106"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5">
        <w:r>
          <w:rPr>
            <w:rStyle w:val="Hyperlink"/>
          </w:rPr>
          <w:t xml:space="preserve">https://doi.org/10.1111/j.1752-1688.2011.00635.x</w:t>
        </w:r>
      </w:hyperlink>
      <w:r>
        <w:t xml:space="preserve">.</w:t>
      </w:r>
    </w:p>
    <w:bookmarkEnd w:id="106"/>
    <w:bookmarkStart w:id="108"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7">
        <w:r>
          <w:rPr>
            <w:rStyle w:val="Hyperlink"/>
          </w:rPr>
          <w:t xml:space="preserve">https://doi.org/10.1016/j.scitotenv.2015.07.083</w:t>
        </w:r>
      </w:hyperlink>
      <w:r>
        <w:t xml:space="preserve">.</w:t>
      </w:r>
    </w:p>
    <w:bookmarkEnd w:id="108"/>
    <w:bookmarkStart w:id="110"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09">
        <w:r>
          <w:rPr>
            <w:rStyle w:val="Hyperlink"/>
          </w:rPr>
          <w:t xml:space="preserve">https://doi.org/10.1007%2Fs00267-008-9151-1</w:t>
        </w:r>
      </w:hyperlink>
      <w:r>
        <w:t xml:space="preserve">.</w:t>
      </w:r>
    </w:p>
    <w:bookmarkEnd w:id="110"/>
    <w:bookmarkStart w:id="112"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1">
        <w:r>
          <w:rPr>
            <w:rStyle w:val="Hyperlink"/>
          </w:rPr>
          <w:t xml:space="preserve">https://doi.org/10.1007/s10661-014-4086-x</w:t>
        </w:r>
      </w:hyperlink>
      <w:r>
        <w:t xml:space="preserve">.</w:t>
      </w:r>
    </w:p>
    <w:bookmarkEnd w:id="112"/>
    <w:bookmarkStart w:id="11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3"/>
    <w:bookmarkStart w:id="114" w:name="ref-McKay12"/>
    <w:p>
      <w:pPr>
        <w:pStyle w:val="Bibliography"/>
      </w:pPr>
      <w:r>
        <w:t xml:space="preserve">McKay, L., T. Bondelid, T. Dewald, J. Johnston, R. Moore, and A. Reah. 2012. “NHDPlus Version 2: User Guide.”</w:t>
      </w:r>
    </w:p>
    <w:bookmarkEnd w:id="114"/>
    <w:bookmarkStart w:id="115"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5"/>
    <w:bookmarkStart w:id="117"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6">
        <w:r>
          <w:rPr>
            <w:rStyle w:val="Hyperlink"/>
          </w:rPr>
          <w:t xml:space="preserve">https://CRAN.R-project.org/package=quantregForest</w:t>
        </w:r>
      </w:hyperlink>
      <w:r>
        <w:t xml:space="preserve">.</w:t>
      </w:r>
    </w:p>
    <w:bookmarkEnd w:id="117"/>
    <w:bookmarkStart w:id="118"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0">
        <w:r>
          <w:rPr>
            <w:rStyle w:val="Hyperlink"/>
          </w:rPr>
          <w:t xml:space="preserve">https://doi.org/10.1111/j.1365-2427.1987.tb01027.x</w:t>
        </w:r>
      </w:hyperlink>
      <w:r>
        <w:t xml:space="preserve">.</w:t>
      </w:r>
    </w:p>
    <w:bookmarkEnd w:id="121"/>
    <w:bookmarkStart w:id="123"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2">
        <w:r>
          <w:rPr>
            <w:rStyle w:val="Hyperlink"/>
          </w:rPr>
          <w:t xml:space="preserve">https://doi.org/10.1016/j.watres.2004.09.002</w:t>
        </w:r>
      </w:hyperlink>
      <w:r>
        <w:t xml:space="preserve">.</w:t>
      </w:r>
    </w:p>
    <w:bookmarkEnd w:id="123"/>
    <w:bookmarkStart w:id="124"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24"/>
    <w:bookmarkStart w:id="12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5"/>
    <w:bookmarkStart w:id="127"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6">
        <w:r>
          <w:rPr>
            <w:rStyle w:val="Hyperlink"/>
          </w:rPr>
          <w:t xml:space="preserve">https://doi.org/10.1890/11-0077.1</w:t>
        </w:r>
      </w:hyperlink>
      <w:r>
        <w:t xml:space="preserve">.</w:t>
      </w:r>
    </w:p>
    <w:bookmarkEnd w:id="127"/>
    <w:bookmarkStart w:id="128"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8"/>
    <w:bookmarkStart w:id="130"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9">
        <w:r>
          <w:rPr>
            <w:rStyle w:val="Hyperlink"/>
          </w:rPr>
          <w:t xml:space="preserve">https://doi.org/10.1111/gec3.12039</w:t>
        </w:r>
      </w:hyperlink>
      <w:r>
        <w:t xml:space="preserve">.</w:t>
      </w:r>
    </w:p>
    <w:bookmarkEnd w:id="130"/>
    <w:bookmarkStart w:id="132"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1">
        <w:r>
          <w:rPr>
            <w:rStyle w:val="Hyperlink"/>
          </w:rPr>
          <w:t xml:space="preserve">https://doi.org/10.1007/s10661-010-1385-8</w:t>
        </w:r>
      </w:hyperlink>
      <w:r>
        <w:t xml:space="preserve">.</w:t>
      </w:r>
    </w:p>
    <w:bookmarkEnd w:id="132"/>
    <w:bookmarkStart w:id="134"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3">
        <w:r>
          <w:rPr>
            <w:rStyle w:val="Hyperlink"/>
          </w:rPr>
          <w:t xml:space="preserve">https://doi.org/10.1046/j.1365-2427.2001.00758.x</w:t>
        </w:r>
      </w:hyperlink>
      <w:r>
        <w:t xml:space="preserve">.</w:t>
      </w:r>
    </w:p>
    <w:bookmarkEnd w:id="134"/>
    <w:bookmarkStart w:id="13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5">
        <w:r>
          <w:rPr>
            <w:rStyle w:val="Hyperlink"/>
          </w:rPr>
          <w:t xml:space="preserve">https://doi.org/10.1111/jawr.12035</w:t>
        </w:r>
      </w:hyperlink>
      <w:r>
        <w:t xml:space="preserve">.</w:t>
      </w:r>
    </w:p>
    <w:bookmarkEnd w:id="136"/>
    <w:bookmarkStart w:id="137"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7"/>
    <w:bookmarkStart w:id="139"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8">
        <w:r>
          <w:rPr>
            <w:rStyle w:val="Hyperlink"/>
          </w:rPr>
          <w:t xml:space="preserve">https://www.waterboards.ca.gov/water_issues/programs/swamp/qapp/swamp_QAPrP_2017_Final.pdf</w:t>
        </w:r>
      </w:hyperlink>
      <w:r>
        <w:t xml:space="preserve">.</w:t>
      </w:r>
    </w:p>
    <w:bookmarkEnd w:id="139"/>
    <w:bookmarkStart w:id="141"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0">
        <w:r>
          <w:rPr>
            <w:rStyle w:val="Hyperlink"/>
          </w:rPr>
          <w:t xml:space="preserve">https://doi.org/10.1111/j.1365-2664.2008.01548.x</w:t>
        </w:r>
      </w:hyperlink>
      <w:r>
        <w:t xml:space="preserve">.</w:t>
      </w:r>
    </w:p>
    <w:bookmarkEnd w:id="141"/>
    <w:bookmarkStart w:id="142"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2"/>
    <w:bookmarkStart w:id="143" w:name="ref-USEPA16"/>
    <w:p>
      <w:pPr>
        <w:pStyle w:val="Bibliography"/>
      </w:pPr>
      <w:r>
        <w:t xml:space="preserve">USEPA (US Environmental Protection Agency). 2016. “National Rivers and Streams Assessment 2008-2009: A Collaborative Survey.” EPA-841-R-16-007. Washington, DC.</w:t>
      </w:r>
    </w:p>
    <w:bookmarkEnd w:id="143"/>
    <w:bookmarkStart w:id="144" w:name="ref-USGS99"/>
    <w:p>
      <w:pPr>
        <w:pStyle w:val="Bibliography"/>
      </w:pPr>
      <w:r>
        <w:t xml:space="preserve">USGS (US Geological Survey). 1999. “The quality of our nation’s waters: nutrients and pesticides.” Reston, Virginia.</w:t>
      </w:r>
    </w:p>
    <w:bookmarkEnd w:id="144"/>
    <w:bookmarkStart w:id="14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5">
        <w:r>
          <w:rPr>
            <w:rStyle w:val="Hyperlink"/>
          </w:rPr>
          <w:t xml:space="preserve">https://doi.org/10.1023/A:1023374524254</w:t>
        </w:r>
      </w:hyperlink>
      <w:r>
        <w:t xml:space="preserve">.</w:t>
      </w:r>
    </w:p>
    <w:bookmarkEnd w:id="146"/>
    <w:bookmarkStart w:id="148"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7">
        <w:r>
          <w:rPr>
            <w:rStyle w:val="Hyperlink"/>
          </w:rPr>
          <w:t xml:space="preserve">https://doi.org/10.1111/jawr.12032</w:t>
        </w:r>
      </w:hyperlink>
      <w:r>
        <w:t xml:space="preserve">.</w:t>
      </w:r>
    </w:p>
    <w:bookmarkEnd w:id="148"/>
    <w:bookmarkStart w:id="15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9">
        <w:r>
          <w:rPr>
            <w:rStyle w:val="Hyperlink"/>
          </w:rPr>
          <w:t xml:space="preserve">https://doi.org/10.1371/journal.pone.0090944</w:t>
        </w:r>
      </w:hyperlink>
      <w:r>
        <w:t xml:space="preserve">.</w:t>
      </w:r>
    </w:p>
    <w:bookmarkEnd w:id="150"/>
    <w:bookmarkStart w:id="152"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1">
        <w:r>
          <w:rPr>
            <w:rStyle w:val="Hyperlink"/>
          </w:rPr>
          <w:t xml:space="preserve">https://doi.org/10.1577/1548-8446(1997)022%3C0006:IOWLUO%3E2.0.CO;2</w:t>
        </w:r>
      </w:hyperlink>
      <w:r>
        <w:t xml:space="preserve">.</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2018-07-10T18:25:00Z</dcterms:created>
  <dcterms:modified xsi:type="dcterms:W3CDTF">2018-07-10T18:25:00Z</dcterms:modified>
</cp:coreProperties>
</file>