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jpg" ContentType="image/jpeg"/>
  <Override PartName="/word/media/rId52.jpg" ContentType="image/jpeg"/>
  <Override PartName="/word/media/rId50.png" ContentType="image/png"/>
  <Override PartName="/word/media/rId51.jpg" ContentType="image/jpeg"/>
  <Override PartName="/word/media/rId5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Mon May 13 17:26:16 2019 -0700</w:t>
      </w:r>
    </w:p>
    <w:p>
      <w:pPr>
        <w:pStyle w:val="Heading1"/>
      </w:pPr>
      <w:bookmarkStart w:id="30" w:name="abstract"/>
      <w:r>
        <w:t xml:space="preserve">Abstract</w:t>
      </w:r>
      <w:bookmarkEnd w:id="30"/>
    </w:p>
    <w:p>
      <w:pPr>
        <w:pStyle w:val="FirstParagraph"/>
      </w:pPr>
      <w:r>
        <w:t xml:space="preserve">Stream management goals for biological integrity may be difficult to achieve in developed landscapes where channel modification and other factors constrain in-stream conditions. To evaluate potential constraints on biological integrity, we developed a statewide landscape model for California that estimates ranges of likely scores for a macroinvertebrate-based index that are typical at a site with the observed level of landscape alteration. This context can support prioritization decisions for stream management, like identifying reaches for restoration or enhanced protection based on how observed scores relate to the model expectations. Median scores were accurately predicted by the model for all sites in California with bioassessment data (Pearson correlation r = 0.75 between observed and predicted for calibration data, r = 0.72 for validation). The model also predicted that 15% of streams statewide are constrained for biological integrity within their present developed landscape, particularly for urban and agricultural areas in the South Coast, Central Valley, and Bay Area regions. We worked with a local stakeholder group from the San Gabriel River watershed (Los Angeles County, California) to evaluate how the statewide model could support local management decisions. To achieve this purpose, we created an interactive application, the Stream Classification and Priority Explorer (SCAPE), that compares observed scores with expectations from the landscape model to assign priorities. We observed model predictions consistent with the land use gradient from the upper to lower watershed, where potential limits to achieving biological integrity were more common in the heavily urbanized lower watershed. However, most of the sites in the lower watershed scored within their expected ranges, and were therefore given a low priority for restoration. In contrast, two low-scoring sites in the undeveloped upper watershed were prioritized for causal assessment and possible future restoration, whereas three high-scoring sites were prioritized for protection. The availability of geospatial and bioassessment data at the national level suggests that these tools can easily be applied to inform management decisions at other locations where altered landscapes may limit biological integrity.</w:t>
      </w:r>
    </w:p>
    <w:p>
      <w:pPr>
        <w:pStyle w:val="BodyText"/>
      </w:pPr>
      <w:r>
        <w:t xml:space="preserve">Key words: Bioassessment, biotic integrity, streams, urbanization, modified channels, landscape stressors, random forests, prioritization, data visualization, stakeholder group</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provides a broad context for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achieving a reference condition of biological integrity (i.e., having structure and function comparable to natural habitat for the same region,</w:t>
      </w:r>
      <w:r>
        <w:t xml:space="preserve"> </w:t>
      </w:r>
      <w:r>
        <w:t xml:space="preserve">Karr et al. (</w:t>
      </w:r>
      <w:hyperlink w:anchor="ref-Karr86">
        <w:r>
          <w:rPr>
            <w:rStyle w:val="Hyperlink"/>
          </w:rPr>
          <w:t xml:space="preserve">1986</w:t>
        </w:r>
      </w:hyperlink>
      <w:r>
        <w:t xml:space="preserve">)</w:t>
      </w:r>
      <w:r>
        <w:t xml:space="preserve">) may be challenging if landscape conditions (e.g., watershed imperviousness) limit the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Resource management decisions could be improved if information is available that describes these limitations. A landscape context is required that describes how likely a site is to achieve biological integrity, which can inform how bioassessment data supports decisions or be used to identify priorities.</w:t>
      </w:r>
    </w:p>
    <w:p>
      <w:pPr>
        <w:pStyle w:val="BodyText"/>
      </w:pPr>
      <w:r>
        <w:t xml:space="preserve">Prioritizing among sites that are affected by landscape alteration is a critical challenge for managers in urban and agricultural settings</w:t>
      </w:r>
      <w:r>
        <w:t xml:space="preserve"> </w:t>
      </w:r>
      <w:r>
        <w:t xml:space="preserve">(Walsh et al.</w:t>
      </w:r>
      <w:r>
        <w:t xml:space="preserve"> </w:t>
      </w:r>
      <w:hyperlink w:anchor="ref-Walsh05">
        <w:r>
          <w:rPr>
            <w:rStyle w:val="Hyperlink"/>
          </w:rPr>
          <w:t xml:space="preserve">2005</w:t>
        </w:r>
      </w:hyperlink>
      <w:r>
        <w:t xml:space="preserve">; Beechie et al.</w:t>
      </w:r>
      <w:r>
        <w:t xml:space="preserve"> </w:t>
      </w:r>
      <w:hyperlink w:anchor="ref-Beechi07">
        <w:r>
          <w:rPr>
            <w:rStyle w:val="Hyperlink"/>
          </w:rPr>
          <w:t xml:space="preserve">2007</w:t>
        </w:r>
      </w:hyperlink>
      <w:r>
        <w:t xml:space="preserve">; Paul et al.</w:t>
      </w:r>
      <w:r>
        <w:t xml:space="preserve"> </w:t>
      </w:r>
      <w:hyperlink w:anchor="ref-Paul08">
        <w:r>
          <w:rPr>
            <w:rStyle w:val="Hyperlink"/>
          </w:rPr>
          <w:t xml:space="preserve">2008</w:t>
        </w:r>
      </w:hyperlink>
      <w:r>
        <w:t xml:space="preserve">)</w:t>
      </w:r>
      <w:r>
        <w:t xml:space="preserve">. In developed landscapes, the majority of stream miles are in poor biotic condition</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Restoring streams in urban or agricultural settings can be costly, success is not universally defined, and achieving regional reference-like conditions may be difficult</w:t>
      </w:r>
      <w:r>
        <w:t xml:space="preserve"> </w:t>
      </w:r>
      <w:r>
        <w:t xml:space="preserve">(Bernhardt et al.</w:t>
      </w:r>
      <w:r>
        <w:t xml:space="preserve"> </w:t>
      </w:r>
      <w:hyperlink w:anchor="ref-Bernhardt07">
        <w:r>
          <w:rPr>
            <w:rStyle w:val="Hyperlink"/>
          </w:rPr>
          <w:t xml:space="preserve">2007</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Conventional approaches to protect and restore biological integrity have commonly focused on direct improvements at the site 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in addition to upstream preventive measures that may be incentivized or enforced through regulation. Although these approaches can lead to improvements in ecological condition(e.g.,</w:t>
      </w:r>
      <w:r>
        <w:t xml:space="preserve"> </w:t>
      </w:r>
      <w:r>
        <w:t xml:space="preserve">Bernhardt et al. (</w:t>
      </w:r>
      <w:hyperlink w:anchor="ref-Bernhardt07">
        <w:r>
          <w:rPr>
            <w:rStyle w:val="Hyperlink"/>
          </w:rPr>
          <w:t xml:space="preserve">2007</w:t>
        </w:r>
      </w:hyperlink>
      <w:r>
        <w:t xml:space="preserve">)</w:t>
      </w:r>
      <w:r>
        <w:t xml:space="preserve">), there is no universal remedy for achieving biological integrity in streams. In urban areas, protective thresholds for biological integrity have been debated</w:t>
      </w:r>
      <w:r>
        <w:t xml:space="preserve"> </w:t>
      </w:r>
      <w:r>
        <w:t xml:space="preserve">(Cuffney et al.</w:t>
      </w:r>
      <w:r>
        <w:t xml:space="preserve"> </w:t>
      </w:r>
      <w:hyperlink w:anchor="ref-Cuffney11">
        <w:r>
          <w:rPr>
            <w:rStyle w:val="Hyperlink"/>
          </w:rPr>
          <w:t xml:space="preserve">2011</w:t>
        </w:r>
      </w:hyperlink>
      <w:r>
        <w:t xml:space="preserve">)</w:t>
      </w:r>
      <w:r>
        <w:t xml:space="preserve">. For biological integrity, several states have implemented a tiered aquatic life use or alternative use designation as potential approaches to account for baseline shifts in ecosystem condition from channel modification (e.g.,</w:t>
      </w:r>
      <w:r>
        <w:t xml:space="preserve"> </w:t>
      </w:r>
      <w:r>
        <w:t xml:space="preserve">Florida Department of Environmental Protection (</w:t>
      </w:r>
      <w:hyperlink w:anchor="ref-FLDEP11">
        <w:r>
          <w:rPr>
            <w:rStyle w:val="Hyperlink"/>
          </w:rPr>
          <w:t xml:space="preserve">2011</w:t>
        </w:r>
      </w:hyperlink>
      <w:r>
        <w:t xml:space="preserve">)</w:t>
      </w:r>
      <w:r>
        <w:t xml:space="preserve">,</w:t>
      </w:r>
      <w:r>
        <w:t xml:space="preserve"> </w:t>
      </w:r>
      <w:r>
        <w:t xml:space="preserve">US Environmental Protection Agency, Region 10 (</w:t>
      </w:r>
      <w:hyperlink w:anchor="ref-USEPA13">
        <w:r>
          <w:rPr>
            <w:rStyle w:val="Hyperlink"/>
          </w:rPr>
          <w:t xml:space="preserve">2013</w:t>
        </w:r>
      </w:hyperlink>
      <w:r>
        <w:t xml:space="preserve">)</w:t>
      </w:r>
      <w:r>
        <w:t xml:space="preserve">,</w:t>
      </w:r>
      <w:r>
        <w:t xml:space="preserve"> </w:t>
      </w:r>
      <w:r>
        <w:t xml:space="preserve">Midwest Biodiversity Institute (</w:t>
      </w:r>
      <w:hyperlink w:anchor="ref-MBI16">
        <w:r>
          <w:rPr>
            <w:rStyle w:val="Hyperlink"/>
          </w:rPr>
          <w:t xml:space="preserve">2016</w:t>
        </w:r>
      </w:hyperlink>
      <w:r>
        <w:t xml:space="preserve">)</w:t>
      </w:r>
      <w:r>
        <w:t xml:space="preserve">, permitted under section 303(c)(2) of the Clean Water Act). Other approaches may include site-specific criteria or alternative thresholds with implementation clarifications (e.g.,</w:t>
      </w:r>
      <w:r>
        <w:t xml:space="preserve"> </w:t>
      </w:r>
      <w:r>
        <w:t xml:space="preserve">Board (</w:t>
      </w:r>
      <w:hyperlink w:anchor="ref-SDWB16">
        <w:r>
          <w:rPr>
            <w:rStyle w:val="Hyperlink"/>
          </w:rPr>
          <w:t xml:space="preserve">2016</w:t>
        </w:r>
      </w:hyperlink>
      <w:r>
        <w:t xml:space="preserve">)</w:t>
      </w:r>
      <w:r>
        <w:t xml:space="preserve">).</w:t>
      </w:r>
    </w:p>
    <w:p>
      <w:pPr>
        <w:pStyle w:val="BodyText"/>
      </w:pPr>
      <w:r>
        <w:t xml:space="preserve">Herein, we define constrained streams as those where present landscapes are likely to limit management options for restoring biological integrity. This definition describes a biological expectation and is distinct from the classical definition used in the general stream ecology literature (e.g., a physically constrained channel in the morphological sense). By describing an expected range of biological conditions due to factors that constrain biointegrity and may be difficult to manage, efforts to improve or protect condition could be prioritized at less constrained sites where alternative or more easily managed factors are influencing condition. For example, a monitoring site with an observed biological index score that is above an expected range of attainability could be assigned a higher management priority (i.e., for protection) relative to a site that is scoring within the expected range based on landscape development. A predictive model of bioassessment scores that is based on landscape metrics (e.g., imperviousness) could describe constraints on biological integrity, particularly for factors that are difficult to manage and are often associated with instream stressors. Analysis methods that characterize biotic and abiotic factors that limit assemblage composition have been explored by others (i.e., limiting factor theory,</w:t>
      </w:r>
      <w:r>
        <w:t xml:space="preserve"> </w:t>
      </w:r>
      <w:r>
        <w:t xml:space="preserve">Chessman, Muschal, and Royal (</w:t>
      </w:r>
      <w:hyperlink w:anchor="ref-Chessman08">
        <w:r>
          <w:rPr>
            <w:rStyle w:val="Hyperlink"/>
          </w:rPr>
          <w:t xml:space="preserve">2008</w:t>
        </w:r>
      </w:hyperlink>
      <w:r>
        <w:t xml:space="preserve">)</w:t>
      </w:r>
      <w:r>
        <w:t xml:space="preserve">,</w:t>
      </w:r>
      <w:r>
        <w:t xml:space="preserve"> </w:t>
      </w:r>
      <w:r>
        <w:t xml:space="preserve">Chessman (</w:t>
      </w:r>
      <w:hyperlink w:anchor="ref-Chessman14">
        <w:r>
          <w:rPr>
            <w:rStyle w:val="Hyperlink"/>
          </w:rPr>
          <w:t xml:space="preserve">2014</w:t>
        </w:r>
      </w:hyperlink>
      <w:r>
        <w:t xml:space="preserve">)</w:t>
      </w:r>
      <w:r>
        <w:t xml:space="preserve">). Similar concepts have been applied in a landscape context to describe variation in biological communities and metrics at different spatial scales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although they have not been developed to describe constraints as defined above.</w:t>
      </w:r>
    </w:p>
    <w:p>
      <w:pPr>
        <w:pStyle w:val="BodyText"/>
      </w:pPr>
      <w:r>
        <w:t xml:space="preserve">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w:t>
      </w:r>
      <w:r>
        <w:t xml:space="preserve">and previous modelling efforts have successfully used geospatial data to predict stream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Many of these models are based on the understanding of relationships between stream condition and watershed characteristics</w:t>
      </w:r>
      <w:r>
        <w:t xml:space="preserve"> </w:t>
      </w:r>
      <w:r>
        <w:t xml:space="preserve">(Hynes</w:t>
      </w:r>
      <w:r>
        <w:t xml:space="preserve"> </w:t>
      </w:r>
      <w:hyperlink w:anchor="ref-Hynes75">
        <w:r>
          <w:rPr>
            <w:rStyle w:val="Hyperlink"/>
          </w:rPr>
          <w:t xml:space="preserve">1975</w:t>
        </w:r>
      </w:hyperlink>
      <w:r>
        <w:t xml:space="preserve">; Johnson et al.</w:t>
      </w:r>
      <w:r>
        <w:t xml:space="preserve"> </w:t>
      </w:r>
      <w:hyperlink w:anchor="ref-Johnson97">
        <w:r>
          <w:rPr>
            <w:rStyle w:val="Hyperlink"/>
          </w:rPr>
          <w:t xml:space="preserve">1997</w:t>
        </w:r>
      </w:hyperlink>
      <w:r>
        <w:t xml:space="preserve">; Richards et al.</w:t>
      </w:r>
      <w:r>
        <w:t xml:space="preserve"> </w:t>
      </w:r>
      <w:hyperlink w:anchor="ref-Richards97">
        <w:r>
          <w:rPr>
            <w:rStyle w:val="Hyperlink"/>
          </w:rPr>
          <w:t xml:space="preserve">1997</w:t>
        </w:r>
      </w:hyperlink>
      <w:r>
        <w:t xml:space="preserve">)</w:t>
      </w:r>
      <w:r>
        <w:t xml:space="preserve">, which can be broadly conceptualized within the Driver-Pressure-Stress-Impact-Response (DPSIR) framework that describes relationships between the origins and consequences of environmental problems</w:t>
      </w:r>
      <w:r>
        <w:t xml:space="preserve"> </w:t>
      </w:r>
      <w:r>
        <w:t xml:space="preserve">(Smeets and Weterings</w:t>
      </w:r>
      <w:r>
        <w:t xml:space="preserve"> </w:t>
      </w:r>
      <w:hyperlink w:anchor="ref-Smeets99">
        <w:r>
          <w:rPr>
            <w:rStyle w:val="Hyperlink"/>
          </w:rPr>
          <w:t xml:space="preserve">1999</w:t>
        </w:r>
      </w:hyperlink>
      <w:r>
        <w:t xml:space="preserve">)</w:t>
      </w:r>
      <w:r>
        <w:t xml:space="preserve">. However, past efforts have primarily focused on characterizing condition at unsampled locations, often predicting the most likely condition by estimating averages. Alternative modelling approaches, such as quantile-based methods (e.g.,</w:t>
      </w:r>
      <w:r>
        <w:t xml:space="preserve"> </w:t>
      </w:r>
      <w:r>
        <w:t xml:space="preserve">Cade and Noon (</w:t>
      </w:r>
      <w:hyperlink w:anchor="ref-Cade03">
        <w:r>
          <w:rPr>
            <w:rStyle w:val="Hyperlink"/>
          </w:rPr>
          <w:t xml:space="preserve">2003</w:t>
        </w:r>
      </w:hyperlink>
      <w:r>
        <w:t xml:space="preserve">)</w:t>
      </w:r>
      <w:r>
        <w:t xml:space="preserve">), could be used to predict a range of expectations for biotic integrity from geospatial data. This approach differs fundamentally from previous efforts of estimating average condition by providing an estimate of the minimum and maximum scores that are likely given the landscape context. Once the responses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was to present the development and application of a landscape model to predict a lower and upper bioassessment score that would be expected at a stream reach based on land use. Our specific objectives were to 1) develop and validate the landscape model, 2) apply the model results to categorize all stream segments in California into constraint classes, and 3) provide a case study within a single watershed to demonstrate how model predictions and classifications can be used to prioritize management actions at a local scale. The model was developed and applied to all streams and rivers in California, specifically focusing on the potential of urban and agricultural land use to constrain biological condition. The case study demonstrated how the statewide model could be used to classify and prioritize at the regional scale using guidance from a local stakeholder group from a heavily urbanized watershed. Managers currently have no prioritization tools for evaluating the context of biological integrity scores in their watershed. An interactive software application, the Stream Classification and Priority Explorer (SCAPE), was developed for our case study to help stakeholders choose regional management priorities from the statewide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California covers 424,000 km</w:t>
      </w:r>
      <m:oMath>
        <m:sSup>
          <m:e>
            <m:r>
              <m:t>​</m:t>
            </m:r>
          </m:e>
          <m:sup>
            <m:r>
              <m:t>2</m:t>
            </m:r>
          </m:sup>
        </m:sSup>
      </m:oMath>
      <w:r>
        <w:t xml:space="preserve"> </w:t>
      </w:r>
      <w:r>
        <w:t xml:space="preserve">of land with extreme diversity in several environmental gradients, such as elevation, geology, and climate (Figure</w:t>
      </w:r>
      <w:r>
        <w:t xml:space="preserve"> </w:t>
      </w:r>
      <w:r>
        <w:t xml:space="preserve">1</w:t>
      </w:r>
      <w:r>
        <w:t xml:space="preserve">a,</w:t>
      </w:r>
      <w:r>
        <w:t xml:space="preserve"> </w:t>
      </w:r>
      <w:r>
        <w:t xml:space="preserve">Ode et al. (</w:t>
      </w:r>
      <w:hyperlink w:anchor="ref-Ode16">
        <w:r>
          <w:rPr>
            <w:rStyle w:val="Hyperlink"/>
          </w:rPr>
          <w:t xml:space="preserve">2016</w:t>
        </w:r>
      </w:hyperlink>
      <w:r>
        <w:t xml:space="preserve">)</w:t>
      </w:r>
      <w:r>
        <w:t xml:space="preserve">). Temperate rainforests occur in the north (North Coast region, NC), deserts and plateaus in the northeast and southeast (Deserts and Modoc Plateau region, DM), and Mediterranean climates in coastal regions (Chaparral and South Coast regions, CH and SC). The Central Valley region (CV) is largely agricultural and drains a large mountainous area in the east-central region of the state (Sierra Nevada region, SN). Urban development is concentrated in coastal areas in the central (San Francisco Bay Area, Chapparal region) and southern (Los Angeles, San Diego metropolitan area, South Coast) regions of the state. Landscape alteration has been relatively recent, with one estimate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Silviculture and logging activities have also occurred in forested regions (SN, NC). For analysis, the state was evaluated as a whole and by the major regions described above</w:t>
      </w:r>
      <w:r>
        <w:t xml:space="preserve"> </w:t>
      </w:r>
      <w:r>
        <w:t xml:space="preserve">(Ode et al.</w:t>
      </w:r>
      <w:r>
        <w:t xml:space="preserve"> </w:t>
      </w:r>
      <w:hyperlink w:anchor="ref-Ode11">
        <w:r>
          <w:rPr>
            <w:rStyle w:val="Hyperlink"/>
          </w:rPr>
          <w:t xml:space="preserve">2011</w:t>
        </w:r>
      </w:hyperlink>
      <w:r>
        <w:t xml:space="preserve">)</w:t>
      </w:r>
      <w:r>
        <w:t xml:space="preserve">.</w:t>
      </w:r>
    </w:p>
    <w:p>
      <w:pPr>
        <w:pStyle w:val="BodyText"/>
      </w:pPr>
      <w:r>
        <w:t xml:space="preserve">The landscape model was developed using land use data, national stream hydrography layers, and biological assessments. A general assumption was that water quality issues could be conceptually linked to societal and economic drivers, reflected through the link between land use and stream biotic integrity (e.g., under the DPSIR framework, Figure</w:t>
      </w:r>
      <w:r>
        <w:t xml:space="preserve"> </w:t>
      </w:r>
      <w:r>
        <w:t xml:space="preserve">2</w:t>
      </w:r>
      <w:r>
        <w:t xml:space="preserve">,</w:t>
      </w:r>
      <w:r>
        <w:t xml:space="preserve"> </w:t>
      </w:r>
      <w:r>
        <w:t xml:space="preserve">Smeets and Weterings (</w:t>
      </w:r>
      <w:hyperlink w:anchor="ref-Smeets99">
        <w:r>
          <w:rPr>
            <w:rStyle w:val="Hyperlink"/>
          </w:rPr>
          <w:t xml:space="preserve">1999</w:t>
        </w:r>
      </w:hyperlink>
      <w:r>
        <w:t xml:space="preserve">)</w:t>
      </w:r>
      <w:r>
        <w:t xml:space="preserve">). 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based on NHD-Plus flowlines.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that provided estimates of land use at the riparian zone (i.e., a 100-m buffer on each side of the stream segment), the catchment (i.e., nearby landscape flowing directly into the immediate stream segment, excluding upstream segments), and the entire upstream watershed for each NHD-Plus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that compares the observed taxa and metrics at a site to those expected under least disturbed reference conditions</w:t>
      </w:r>
      <w:r>
        <w:t xml:space="preserve"> </w:t>
      </w:r>
      <w:r>
        <w:t xml:space="preserve">(Stoddard et al.</w:t>
      </w:r>
      <w:r>
        <w:t xml:space="preserve"> </w:t>
      </w:r>
      <w:hyperlink w:anchor="ref-Stoddard06">
        <w:r>
          <w:rPr>
            <w:rStyle w:val="Hyperlink"/>
          </w:rPr>
          <w:t xml:space="preserve">2006</w:t>
        </w:r>
      </w:hyperlink>
      <w:r>
        <w:t xml:space="preserve">)</w:t>
      </w:r>
      <w:r>
        <w:t xml:space="preserve">.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values near 1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for the original index, has been proposed as a threshold below which a site does not meet designated biological uses</w:t>
      </w:r>
      <w:r>
        <w:t xml:space="preserve"> </w:t>
      </w:r>
      <w:r>
        <w:t xml:space="preserve">(Board</w:t>
      </w:r>
      <w:r>
        <w:t xml:space="preserve"> </w:t>
      </w:r>
      <w:hyperlink w:anchor="ref-SDWB16">
        <w:r>
          <w:rPr>
            <w:rStyle w:val="Hyperlink"/>
          </w:rPr>
          <w:t xml:space="preserve">2016</w:t>
        </w:r>
      </w:hyperlink>
      <w:r>
        <w:t xml:space="preserve">)</w:t>
      </w:r>
      <w:r>
        <w:t xml:space="preserve">. As described below, the expected CSCI scores obtained from the landscape model were compared to this threshold to identify different constraint classes.</w:t>
      </w:r>
    </w:p>
    <w:p>
      <w:pPr>
        <w:pStyle w:val="BodyText"/>
      </w:pPr>
      <w:r>
        <w:t xml:space="preserve">Benthic macroinvertebrate data were used to calculate 6270 individual CSCI scores at nearly 3400 unique sites between 2000 and 2016 (Figure</w:t>
      </w:r>
      <w:r>
        <w:t xml:space="preserve"> </w:t>
      </w:r>
      <w:r>
        <w:t xml:space="preserve">1</w:t>
      </w:r>
      <w:r>
        <w:t xml:space="preserve">b). We aggregated data collected under more than 20 federal, state, and regional bioassessment programs. Some of these programs employed a spatially balanced probabilistic design (e.g., the statewide Perennial Stream Assessment</w:t>
      </w:r>
      <w:r>
        <w:t xml:space="preserve"> </w:t>
      </w:r>
      <w:r>
        <w:t xml:space="preserve">(Rehn</w:t>
      </w:r>
      <w:r>
        <w:t xml:space="preserve"> </w:t>
      </w:r>
      <w:hyperlink w:anchor="ref-Rehn15">
        <w:r>
          <w:rPr>
            <w:rStyle w:val="Hyperlink"/>
          </w:rPr>
          <w:t xml:space="preserve">2015</w:t>
        </w:r>
      </w:hyperlink>
      <w:r>
        <w:t xml:space="preserve">)</w:t>
      </w:r>
      <w:r>
        <w:t xml:space="preserve">, or the Stormwater Monitoring Coalition’s survey of southern California streams,</w:t>
      </w:r>
      <w:r>
        <w:t xml:space="preserve"> </w:t>
      </w:r>
      <w:r>
        <w:t xml:space="preserve">Mazor (</w:t>
      </w:r>
      <w:hyperlink w:anchor="ref-Mazor15">
        <w:r>
          <w:rPr>
            <w:rStyle w:val="Hyperlink"/>
          </w:rPr>
          <w:t xml:space="preserve">2015</w:t>
        </w:r>
      </w:hyperlink>
      <w:r>
        <w:t xml:space="preserve">)</w:t>
      </w:r>
      <w:r>
        <w:t xml:space="preserve">), while other programs used different designs for project-specific purposes (such as the statewide Reference Condition Monitoring Program,</w:t>
      </w:r>
      <w:r>
        <w:t xml:space="preserve"> </w:t>
      </w:r>
      <w:r>
        <w:t xml:space="preserve">Ode et al. (</w:t>
      </w:r>
      <w:hyperlink w:anchor="ref-Ode16">
        <w:r>
          <w:rPr>
            <w:rStyle w:val="Hyperlink"/>
          </w:rPr>
          <w:t xml:space="preserve">2016</w:t>
        </w:r>
      </w:hyperlink>
      <w:r>
        <w:t xml:space="preserve">)</w:t>
      </w:r>
      <w:r>
        <w:t xml:space="preserve">). Most of these programs targeted perennial streams, although an unknown number of intermittent streams with flows lasting into the normal sampling period were included</w:t>
      </w:r>
      <w:r>
        <w:t xml:space="preserve"> </w:t>
      </w:r>
      <w:r>
        <w:t xml:space="preserve">(Mazor et al.</w:t>
      </w:r>
      <w:r>
        <w:t xml:space="preserve"> </w:t>
      </w:r>
      <w:hyperlink w:anchor="ref-Mazor14">
        <w:r>
          <w:rPr>
            <w:rStyle w:val="Hyperlink"/>
          </w:rPr>
          <w:t xml:space="preserve">2014</w:t>
        </w:r>
      </w:hyperlink>
      <w:r>
        <w:t xml:space="preserve">)</w:t>
      </w:r>
      <w:r>
        <w:t xml:space="preserve">, particularly in more arid southern California. Because these programs are extensive, most regions and stream-types where perennial wadeable streams are located were represented in the calibration data set.</w:t>
      </w:r>
    </w:p>
    <w:p>
      <w:pPr>
        <w:pStyle w:val="BodyText"/>
      </w:pPr>
      <w:r>
        <w:t xml:space="preserve">Field samples were collected during base flow conditions typically between May and July following methods in</w:t>
      </w:r>
      <w:r>
        <w:t xml:space="preserve"> </w:t>
      </w:r>
      <w:r>
        <w:t xml:space="preserve">Ode, Fetscher, and Busse (</w:t>
      </w:r>
      <w:hyperlink w:anchor="ref-Ode16b">
        <w:r>
          <w:rPr>
            <w:rStyle w:val="Hyperlink"/>
          </w:rPr>
          <w:t xml:space="preserve">2016</w:t>
        </w:r>
      </w:hyperlink>
      <w:r>
        <w:t xml:space="preserve">)</w:t>
      </w:r>
      <w:r>
        <w:t xml:space="preserve">. Bioassessment sites were snapped to the closest NHD-plus stream segment in ArcGIS</w:t>
      </w:r>
      <w:r>
        <w:t xml:space="preserve"> </w:t>
      </w:r>
      <w:r>
        <w:t xml:space="preserve">(ESRI (Environmental Systems Research Institute)</w:t>
      </w:r>
      <w:r>
        <w:t xml:space="preserve"> </w:t>
      </w:r>
      <w:hyperlink w:anchor="ref-ESRI16">
        <w:r>
          <w:rPr>
            <w:rStyle w:val="Hyperlink"/>
          </w:rPr>
          <w:t xml:space="preserve">2016</w:t>
        </w:r>
      </w:hyperlink>
      <w:r>
        <w:t xml:space="preserve">)</w:t>
      </w:r>
      <w:r>
        <w:t xml:space="preserve">. In cases where multiple sites were located on the same segment, the most downstream site was selected for model calibration under the assumption that the landscape data in StreamCat were most relevant to this site. One sample date was chosen randomly for sites with multiple dates so that one CSCI score was matched to a site. This created a final dataset of 2620 unique field observations used to calibrate and validate the landscape model.</w:t>
      </w:r>
    </w:p>
    <w:p>
      <w:pPr>
        <w:pStyle w:val="Heading2"/>
      </w:pPr>
      <w:bookmarkStart w:id="34" w:name="X85b5c06138aa5178ef8274abe52130fa4d41c8b"/>
      <w:r>
        <w:t xml:space="preserve">Building and validating the landscape model</w:t>
      </w:r>
      <w:bookmarkEnd w:id="34"/>
    </w:p>
    <w:p>
      <w:pPr>
        <w:pStyle w:val="FirstParagraph"/>
      </w:pPr>
      <w:r>
        <w:t xml:space="preserve">Expected CSCI scores were modelled using estimates of canal/ditch density, imperviousness, road density/crossings, and urban and agricultural land use for each stream segment (Table</w:t>
      </w:r>
      <w:r>
        <w:t xml:space="preserve"> </w:t>
      </w:r>
      <w:r>
        <w:t xml:space="preserve">1</w:t>
      </w:r>
      <w:r>
        <w:t xml:space="preserve">, Figure S1). StreamCat was used as the only source for predictor variables because of consistent methods and linkage to NHD-Plus flowlines</w:t>
      </w:r>
      <w:r>
        <w:t xml:space="preserve"> </w:t>
      </w:r>
      <w:r>
        <w:t xml:space="preserve">(Hill et al.</w:t>
      </w:r>
      <w:r>
        <w:t xml:space="preserve"> </w:t>
      </w:r>
      <w:hyperlink w:anchor="ref-Hill16">
        <w:r>
          <w:rPr>
            <w:rStyle w:val="Hyperlink"/>
          </w:rPr>
          <w:t xml:space="preserve">2016</w:t>
        </w:r>
      </w:hyperlink>
      <w:r>
        <w:t xml:space="preserve">)</w:t>
      </w:r>
      <w:r>
        <w:t xml:space="preserve">. Preliminary analyses indicated that these variables produced a predictive model with comparable performance relative to a larger model with additional predictors. These variables were chosen specifically as indicators of land-management activities that were most likely to limit the attainability of biological integrity. Landscape variables were preferred over in-stream data because landscape stressors can be more challenging to manage, and we wanted to quantify biological impacts relative to these challenges. Further, presence or absence of channel modification was not used to quantify limits on biological integrity because landscape predictors were more broadly inclusive of the problem (e.g., modified channels are often but not always constrained, constrained channels are not always modified). Overall, the model was associative by design and was intended as a predictive tool that does not describe specific mechanisms of biological alteration. We assumed that deviation of observed scores from the model predictions (i.e., residuals) could be used to describe in-stream factors associated with condition for follow-up analysis.</w:t>
      </w:r>
    </w:p>
    <w:p>
      <w:pPr>
        <w:pStyle w:val="BodyText"/>
      </w:pPr>
      <w:r>
        <w:t xml:space="preserve">The model was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can quantify complex, non-linear relationships and interactions between variables and can be more effective with large datasets relative to more commonly-used approaches, such as multiple regression</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can estimate a lower and an upper limit for the conditional distribution of likely scores that might be expected at a site given land use, which can be used to identify sites where that range includes management targets. Quantile regression forests were used to predict CSCI scores in each stream segment at five percent increments (i.e., 5th, 10th, etc.) from the 5th to 95th percentile of expectations. The statewide validated model (described below) was used to predict percentile expectations of CSCI scores at all stream segments where predictors were available. For example, the 50th percentile prediction was the most likely score for a stream segment given observed values for landscape variables, whereas a lower (e.g., 5th percentile) and upper (95th percentile) conditional quantile (and points in between) were also predicted. The quantregForest package</w:t>
      </w:r>
      <w:r>
        <w:t xml:space="preserve"> </w:t>
      </w:r>
      <w:r>
        <w:t xml:space="preserve">(Meinshausen</w:t>
      </w:r>
      <w:r>
        <w:t xml:space="preserve"> </w:t>
      </w:r>
      <w:hyperlink w:anchor="ref-Meinshausen17">
        <w:r>
          <w:rPr>
            <w:rStyle w:val="Hyperlink"/>
          </w:rPr>
          <w:t xml:space="preserve">2017</w:t>
        </w:r>
      </w:hyperlink>
      <w:r>
        <w:t xml:space="preserve">)</w:t>
      </w:r>
      <w:r>
        <w:t xml:space="preserve"> </w:t>
      </w:r>
      <w:r>
        <w:t xml:space="preserve">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was used to develop the landscape model using the default settings.</w:t>
      </w:r>
    </w:p>
    <w:p>
      <w:pPr>
        <w:pStyle w:val="BodyText"/>
      </w:pPr>
      <w:r>
        <w:t xml:space="preserve">We stratified sample data to ensure sufficient representation of landscape gradients across major regions in the state (Figure</w:t>
      </w:r>
      <w:r>
        <w:t xml:space="preserve"> </w:t>
      </w:r>
      <w:r>
        <w:t xml:space="preserve">1</w:t>
      </w:r>
      <w:r>
        <w:t xml:space="preserve">). Calibration data for the landscape model were obtained from a random selection of 75% of segments with observed CSCI scores, where the selection was based on a random draw from strata of quartiles defined by increasing watershed imperviousness relative to each region (n = 1965 segments). This ensured that the model was calibrated with data that covered the variation of landscape development among regions (i.e., regions with low development were not under-represented and those with high development were not over-represented). The remaining 25% of sites were used for model validation (n = 655). Where multiple samples were available at a single site, one sample was selected at random for both calibration and validation purposes. All predictions for the calibration dataset were obtained using out-of-bag estimates from the random forest model to prevent bias and over-fitting. Out-of-bag predictions are based on the subset of trees in the random forest model in which calibration data were excluded during training</w:t>
      </w:r>
      <w:r>
        <w:t xml:space="preserve"> </w:t>
      </w:r>
      <w:r>
        <w:t xml:space="preserve">(Mazor et al.</w:t>
      </w:r>
      <w:r>
        <w:t xml:space="preserve"> </w:t>
      </w:r>
      <w:hyperlink w:anchor="ref-Mazor16">
        <w:r>
          <w:rPr>
            <w:rStyle w:val="Hyperlink"/>
          </w:rPr>
          <w:t xml:space="preserve">2016</w:t>
        </w:r>
      </w:hyperlink>
      <w:r>
        <w:t xml:space="preserve">; Meinshausen</w:t>
      </w:r>
      <w:r>
        <w:t xml:space="preserve"> </w:t>
      </w:r>
      <w:hyperlink w:anchor="ref-Meinshausen17">
        <w:r>
          <w:rPr>
            <w:rStyle w:val="Hyperlink"/>
          </w:rPr>
          <w:t xml:space="preserve">2017</w:t>
        </w:r>
      </w:hyperlink>
      <w:r>
        <w:t xml:space="preserve">)</w:t>
      </w:r>
      <w:r>
        <w:t xml:space="preserve">.</w:t>
      </w:r>
    </w:p>
    <w:p>
      <w:pPr>
        <w:pStyle w:val="BodyText"/>
      </w:pPr>
      <w:r>
        <w:t xml:space="preserve">Model performance metrics were chosen to evaluate both predictive ability of the landscape model and potential for bias which may vary depending on different land use gradients across the state. Performance was assessed for the statewide dataset and within each major region by comparing differences between observed CSCI scores and median predictions at the same locations. Differences were evaluated using Pearson correlations and root mean squared errors (RMSE); high correlation coefficients and low RMSE values indicated good predictive ability. Regression analysis between observed and predicted scores was used to assess potential bias based on intercept and slope values differing from 0 and 1, respectively.</w:t>
      </w:r>
    </w:p>
    <w:p>
      <w:pPr>
        <w:pStyle w:val="Heading2"/>
      </w:pPr>
      <w:bookmarkStart w:id="35" w:name="Xc05a6c56ac20bfe687c1728096f6ccaa58b388f"/>
      <w:r>
        <w:t xml:space="preserve">Statewide application of the landscape model</w:t>
      </w:r>
      <w:bookmarkEnd w:id="35"/>
    </w:p>
    <w:p>
      <w:pPr>
        <w:pStyle w:val="FirstParagraph"/>
      </w:pPr>
      <w:r>
        <w:t xml:space="preserve">We applied the landscape model to 138716 stream segments statewide to estimate the extent of streams in one of four different constraint classes: likely unconstrained, possibly unconstrained, possibly constrained, and likely constrained (Table</w:t>
      </w:r>
      <w:r>
        <w:t xml:space="preserve"> </w:t>
      </w:r>
      <w:r>
        <w:t xml:space="preserve">2</w:t>
      </w:r>
      <w:r>
        <w:t xml:space="preserve">). Ranges in predictor variables between the statewide and calibration datasets were similar, such that over-extrapolation of the model domain to the statewide data was unlikely. The classification process is described in Figure</w:t>
      </w:r>
      <w:r>
        <w:t xml:space="preserve"> </w:t>
      </w:r>
      <w:r>
        <w:t xml:space="preserve">3</w:t>
      </w:r>
      <w:r>
        <w:t xml:space="preserve">a through c. Classifications were based on the comparison of a CSCI threshold representing a management goal and the predicted range or predicted median score at a segment. These two decision points (i.e., the threshold and the size of the predicted range) were critical in defining segment classifications. We used a CSCI threshold of 0.79 following previous examples</w:t>
      </w:r>
      <w:r>
        <w:t xml:space="preserve"> </w:t>
      </w:r>
      <w:r>
        <w:t xml:space="preserve">(Mazor et al.</w:t>
      </w:r>
      <w:r>
        <w:t xml:space="preserve"> </w:t>
      </w:r>
      <w:hyperlink w:anchor="ref-Mazor16">
        <w:r>
          <w:rPr>
            <w:rStyle w:val="Hyperlink"/>
          </w:rPr>
          <w:t xml:space="preserve">2016</w:t>
        </w:r>
      </w:hyperlink>
      <w:r>
        <w:t xml:space="preserve">; Board</w:t>
      </w:r>
      <w:r>
        <w:t xml:space="preserve"> </w:t>
      </w:r>
      <w:hyperlink w:anchor="ref-SDWB16">
        <w:r>
          <w:rPr>
            <w:rStyle w:val="Hyperlink"/>
          </w:rPr>
          <w:t xml:space="preserve">2016</w:t>
        </w:r>
      </w:hyperlink>
      <w:r>
        <w:t xml:space="preserve">)</w:t>
      </w:r>
      <w:r>
        <w:t xml:space="preserve"> </w:t>
      </w:r>
      <w:r>
        <w:t xml:space="preserve">and a lower and upper bound from the 10th to the 90th percentiles of expected CSCI scores. Stream segments where the predicted 90th quantile score was below the threshold were considered likely constrained, whereas those where the predicted 10th percentile was above the threshold were considered likely unconstrained (Figure</w:t>
      </w:r>
      <w:r>
        <w:t xml:space="preserve"> </w:t>
      </w:r>
      <w:r>
        <w:t xml:space="preserve">3</w:t>
      </w:r>
      <w:r>
        <w:t xml:space="preserve">c). The remaining sites were classified as possibly unconstrained or possibly constrained, based on whether the median expectation was above or below the threshold respectively (Table</w:t>
      </w:r>
      <w:r>
        <w:t xml:space="preserve"> </w:t>
      </w:r>
      <w:r>
        <w:t xml:space="preserve">2</w:t>
      </w:r>
      <w:r>
        <w:t xml:space="preserve">).</w:t>
      </w:r>
    </w:p>
    <w:p>
      <w:pPr>
        <w:pStyle w:val="BodyText"/>
      </w:pPr>
      <w:r>
        <w:t xml:space="preserve">The influence of the key decision points on the extent of segment classifications created by the landscape model was evaluated. Stream segment classifications depend on the percentile range of score expectations (or certainty) from the landscape model (Figure</w:t>
      </w:r>
      <w:r>
        <w:t xml:space="preserve"> </w:t>
      </w:r>
      <w:r>
        <w:t xml:space="preserve">3</w:t>
      </w:r>
      <w:r>
        <w:t xml:space="preserve">b) and the CSCI threshold for evaluating the overlap extent (Figure</w:t>
      </w:r>
      <w:r>
        <w:t xml:space="preserve"> </w:t>
      </w:r>
      <w:r>
        <w:t xml:space="preserve">3</w:t>
      </w:r>
      <w:r>
        <w:t xml:space="preserve">c). For the certainty range, these bounds do not describe statistical certainty in the traditional sense (e.g., confidence interval), but rather a desired range that is defined as a potentially acceptable lower and upper limit around the median prediction for a CSCI score given landscape development.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w:t>
      </w:r>
      <w:r>
        <w:t xml:space="preserve"> </w:t>
      </w:r>
      <w:r>
        <w:t xml:space="preserve">1</w:t>
      </w:r>
      <w:r>
        <w:t xml:space="preserve">b)</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segments in each class statewide and by major regions were estimated for each of the twenty-four scenarios (width by threshold combinations). Although some of the results can be assumed (e.g., increasing CSCI thresholds causes more sites to be classified as constrained), we expected differences among regions based on differences in land use.</w:t>
      </w:r>
    </w:p>
    <w:p>
      <w:pPr>
        <w:pStyle w:val="BodyText"/>
      </w:pPr>
      <w:r>
        <w:t xml:space="preserve">A categorization scheme was developed for sites where biomonitoring data were available to compare observed CSCI scores to the range of expected scores from the model (Figure</w:t>
      </w:r>
      <w:r>
        <w:t xml:space="preserve"> </w:t>
      </w:r>
      <w:r>
        <w:t xml:space="preserve">3</w:t>
      </w:r>
      <w:r>
        <w:t xml:space="preserve">d). This post-hoc classification was necessary to determine if observed CSCI scores were under- or over-scoring relative to landscape expectations, which can help prioritize management actions. For example, managers may choose to prioritize sites with index scores above or below the landscape model predictions differently than those that are within the expected range.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site was considered as</w:t>
      </w:r>
      <w:r>
        <w:t xml:space="preserve"> </w:t>
      </w:r>
      <w:r>
        <w:t xml:space="preserve">“</w:t>
      </w:r>
      <w:r>
        <w:t xml:space="preserve">expected</w:t>
      </w:r>
      <w:r>
        <w:t xml:space="preserve">”</w:t>
      </w:r>
      <w:r>
        <w:t xml:space="preserve"> </w:t>
      </w:r>
      <w:r>
        <w:t xml:space="preserve">within the context of the landscape model.</w:t>
      </w:r>
    </w:p>
    <w:p>
      <w:pPr>
        <w:pStyle w:val="Heading1"/>
      </w:pPr>
      <w:bookmarkStart w:id="36" w:name="results"/>
      <w:r>
        <w:t xml:space="preserve">Results</w:t>
      </w:r>
      <w:bookmarkEnd w:id="36"/>
    </w:p>
    <w:p>
      <w:pPr>
        <w:pStyle w:val="Heading2"/>
      </w:pPr>
      <w:bookmarkStart w:id="37" w:name="model-performance"/>
      <w:r>
        <w:t xml:space="preserve">Model performance</w:t>
      </w:r>
      <w:bookmarkEnd w:id="37"/>
    </w:p>
    <w:p>
      <w:pPr>
        <w:pStyle w:val="FirstParagraph"/>
      </w:pPr>
      <w:r>
        <w:t xml:space="preserve">There was generally good agreement between observed and predicted CSCI scores statewide (Table</w:t>
      </w:r>
      <w:r>
        <w:t xml:space="preserve"> </w:t>
      </w:r>
      <w:r>
        <w:t xml:space="preserve">3</w:t>
      </w:r>
      <w:r>
        <w:t xml:space="preserve">, Figure S2). For the calibration dataset, observed and predicted values were correlated (r = 0.75, RMSE = 0.17), with an intercept (0.04) and slope (0.93) that indicated minimal median prediction bias. Performance was similar with the validation dataset (r = 0.72, RMSE = 0.18, intercept = 0.07, slope = 0.90).</w:t>
      </w:r>
    </w:p>
    <w:p>
      <w:pPr>
        <w:pStyle w:val="BodyText"/>
      </w:pPr>
      <w:r>
        <w:t xml:space="preserve">Overall, the model performed well in regions with a mix of urban, agricultural, and open land (e.g., South Coast and Chaparral regions), whereas performance was weakest in regions without strong development gradients (e.g., Sierra Nevada region) (Table</w:t>
      </w:r>
      <w:r>
        <w:t xml:space="preserve"> </w:t>
      </w:r>
      <w:r>
        <w:t xml:space="preserve">3</w:t>
      </w:r>
      <w:r>
        <w:t xml:space="preserve">, Figure S2, S3). Performance for the Chaparral and South Coast regions were comparable or slightly improved compared to the statewide dataset for both the calibration (r = 0.71, 0.75, respectively) and validation (r = 0.74, 0.72) datasets. Model predictions for the Central Valley, Desert/Modoc, and North Coast regions had worse performance compared to the statewide results, with correlations of approximately 0.66, 0.50, and 0.55 with observed values in the calibration dataset and 0.49, 0.55, and 0.55 in the validation dataset. Model performance was weakest for the Sierra Nevada region (calibration r = 0.45, validation r = 0.21), where timber harvesting, rather than urban or agricultural development, is the most widespread stressor. A slight bias in model predictions was observed for the Central Valley and North Coast, where the former was over-predicted and the latter was under-predicted (Figure S2).</w:t>
      </w:r>
    </w:p>
    <w:p>
      <w:pPr>
        <w:pStyle w:val="Heading2"/>
      </w:pPr>
      <w:bookmarkStart w:id="38" w:name="statewide-patterns-in-stream-constraints"/>
      <w:r>
        <w:t xml:space="preserve">Statewide patterns in stream constraints</w:t>
      </w:r>
      <w:bookmarkEnd w:id="38"/>
    </w:p>
    <w:p>
      <w:pPr>
        <w:pStyle w:val="FirstParagraph"/>
      </w:pPr>
      <w:r>
        <w:t xml:space="preserve">Statewide, spatial patterns in the predicted limits of biological integrity were similar to patterns in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4</w:t>
      </w:r>
      <w:r>
        <w:t xml:space="preserve">). Likely unconstrained streams were common in the Sierra Nevada (50%), North Coast (46%), and Desert/Modoc (46%) regions, whereas likely constrained were relatively abundant in the Central Valley (22%) and South Coast (15%) regions. However, constrained and unconstrained streams were both found in every region (Figure</w:t>
      </w:r>
      <w:r>
        <w:t xml:space="preserve"> </w:t>
      </w:r>
      <w:r>
        <w:t xml:space="preserve">4</w:t>
      </w:r>
      <w:r>
        <w:t xml:space="preserve">)</w:t>
      </w:r>
    </w:p>
    <w:p>
      <w:pPr>
        <w:pStyle w:val="BodyText"/>
      </w:pPr>
      <w:r>
        <w:t xml:space="preserve">Observed CSCI scores were within the predicted decile range as often as expected (i.e., 80% statewide, based on the 10th and 90th conditional quantiles), and over-scoring sites were roughly as common (9%) as under-scoring sites (10%) (Table</w:t>
      </w:r>
      <w:r>
        <w:t xml:space="preserve"> </w:t>
      </w:r>
      <w:r>
        <w:t xml:space="preserve">5</w:t>
      </w:r>
      <w:r>
        <w:t xml:space="preserve">). Similar patterns were observed within regions, although a slightly larger percentage of sites in the Central Valley were under-scoring compared to the other regions, which may have been evidence of a slight bias of over-predicting in this region. Over-scoring sites were slightly more common in the South Coast and Sierra Nevada regions, whereas under-scoring sites were more common in others (i.e., the Chaparral, Central Valley, and Desert/Modoc regions).</w:t>
      </w:r>
    </w:p>
    <w:p>
      <w:pPr>
        <w:pStyle w:val="BodyText"/>
      </w:pPr>
      <w:r>
        <w:t xml:space="preserve">Changing key decision points of the landscape model affected the estimates of the extent of streams in each class (Figure</w:t>
      </w:r>
      <w:r>
        <w:t xml:space="preserve"> </w:t>
      </w:r>
      <w:r>
        <w:t xml:space="preserve">5</w:t>
      </w:r>
      <w:r>
        <w:t xml:space="preserve">). Unsurprisingly, decreasing the certainty of predictions from the landscape model by narrowing the quantile range (5th-95th to 45th-55th) shifted a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However, the effects of these decision points varied greatly by region. For example, over 80% of segments in the Central Valley were classified as likely constrained using a high CSCI threshold with the narrowest range of predictions, whereas less than 1% of segments were in this category using a low CSCI threshold with the widest range of predictions. Opposite trends were observed in regions with reduced land use pressures. For example, almost all stream segments in the North Coast and Sierra Nevada regions were classified as likely unconstrained using a low CSCI threshold and narrow range of predictions.</w:t>
      </w:r>
    </w:p>
    <w:p>
      <w:pPr>
        <w:pStyle w:val="Heading1"/>
      </w:pPr>
      <w:bookmarkStart w:id="39" w:name="discussion"/>
      <w:r>
        <w:t xml:space="preserve">Discussion</w:t>
      </w:r>
      <w:bookmarkEnd w:id="39"/>
    </w:p>
    <w:p>
      <w:pPr>
        <w:pStyle w:val="FirstParagraph"/>
      </w:pPr>
      <w:r>
        <w:t xml:space="preserve">Managing for biological integrity requires the use of 1) assessment tools that can accurately evaluate condition, and 2) tools that provide an estimate of the range of attainable conditions relative to the landscape. The landscape model was developed with these needs in mind to better inform application of the CSCI for decision-making relative to landscape constraints on biological condition. Statewide application of the model demonstrated where streams are likely constrained on a regional basis, whereas application in a case study (described below) demonstrated how the model can be used by local stakeholders to prioritize management actions that are informed by landscape context. The landscape model can inform the interpretation of biotic condition and is a decision-making tool that can help identify where management goals could be focused.</w:t>
      </w:r>
    </w:p>
    <w:p>
      <w:pPr>
        <w:pStyle w:val="BodyText"/>
      </w:pPr>
      <w:r>
        <w:t xml:space="preserve">Model performance was comparable to similar studies that focused on developing predictions of biological condition from geospatial data.</w:t>
      </w:r>
      <w:r>
        <w:t xml:space="preserve"> </w:t>
      </w:r>
      <w:r>
        <w:t xml:space="preserve">Hill et al. (</w:t>
      </w:r>
      <w:hyperlink w:anchor="ref-Hill17">
        <w:r>
          <w:rPr>
            <w:rStyle w:val="Hyperlink"/>
          </w:rPr>
          <w:t xml:space="preserve">2017</w:t>
        </w:r>
      </w:hyperlink>
      <w:r>
        <w:t xml:space="preserve">)</w:t>
      </w:r>
      <w:r>
        <w:t xml:space="preserve"> </w:t>
      </w:r>
      <w:r>
        <w:t xml:space="preserve">developed a national model to predict stream site condition that correctly classified sites at about 75% of locations, depending on region. Importantly, regionally specific models were more accurate than a single national model. For continuous predictions of biointegrity index scores,</w:t>
      </w:r>
      <w:r>
        <w:t xml:space="preserve"> </w:t>
      </w:r>
      <w:r>
        <w:t xml:space="preserve">Carlisle, Falcone, and Meador (</w:t>
      </w:r>
      <w:hyperlink w:anchor="ref-Carlisle09">
        <w:r>
          <w:rPr>
            <w:rStyle w:val="Hyperlink"/>
          </w:rPr>
          <w:t xml:space="preserve">2009</w:t>
        </w:r>
      </w:hyperlink>
      <w:r>
        <w:t xml:space="preserve">)</w:t>
      </w:r>
      <w:r>
        <w:t xml:space="preserve"> </w:t>
      </w:r>
      <w:r>
        <w:t xml:space="preserve">developed a model for a large area of the eastern United States. Models for continuous data were able to correctly identify class membership from an a posteriori prediction at about 85% of sites, which was similar in precision to models that were developed solely for categorical responses. For the landscape model herein, a comparison of the percentage of correctly classified sites that were above the 10th percentile of reference site scores (0.79) for observed data compared to predicted data showed that our model had comparable performance to other studies. The landscape model had 83% predictive accuracy for classifying sites as altered (&lt;0.79) or unaltered (&gt;0.79) for the statewide results. However, the goal of our model was distinct from previous studies, such that our intent was not to predict bioassessment scores at unsampled locations, but rather to describe variation in scores as a function of land use to identify constraints. Interpretation of predictive accuracies between models should consider the differences in the goals for each model.</w:t>
      </w:r>
    </w:p>
    <w:p>
      <w:pPr>
        <w:pStyle w:val="Heading2"/>
      </w:pPr>
      <w:bookmarkStart w:id="40" w:name="X58b2c5e5afb581fa03fb14296175705d714ed91"/>
      <w:r>
        <w:t xml:space="preserve">Case study: Application of the landscape model to the San Gabriel River watershed</w:t>
      </w:r>
      <w:bookmarkEnd w:id="40"/>
    </w:p>
    <w:p>
      <w:pPr>
        <w:pStyle w:val="FirstParagraph"/>
      </w:pPr>
      <w:r>
        <w:t xml:space="preserve">Results from the statewide model were applied in a regional context through local application with a stakeholder group from the San Gabriel River watershed (Los Angeles County, California, Figure S4). The statewide model provides only a range of expected scores for a stream segment. Comparison of observed index scores from an actual biological sample with the results from the model can establish a basis for how managers prioritize sites. For example, managers may prioritize sites with observed scores that are above the modelled expectation differently than those that are scoring within the ranges predicted by the model. Alternatively, a site scoring as expected in an unconstrained segment could be a higher priority for managers than a site scoring as expected in a constrained segment; the latter may require more resources for comparable changes in biotic condition. As such, the lower San Gabriel watershed is heavily urbanized with many modified channels (Figure S4b) and managers require prioritization tools to identify where efforts should be focused among many sites in the context of landscape development. Information from the landscape model allowed the stakeholder group to develop management priorities based on how actual CSCI scores compared to biological expectations from the model (Figure S5).</w:t>
      </w:r>
    </w:p>
    <w:p>
      <w:pPr>
        <w:pStyle w:val="BodyText"/>
      </w:pPr>
      <w:r>
        <w:t xml:space="preserve">Management priorities for individual sites that were important for the stakeholder group included the following actions (Table S1, Figure S6):</w:t>
      </w:r>
    </w:p>
    <w:p>
      <w:pPr>
        <w:pStyle w:val="Compact"/>
        <w:numPr>
          <w:numId w:val="1001"/>
          <w:ilvl w:val="0"/>
        </w:numPr>
      </w:pPr>
      <w:r>
        <w:t xml:space="preserve">Investigate: Conduct additional monitoring at a site or review of supplementary data (e.g., field visits, review aerial imagery);</w:t>
      </w:r>
    </w:p>
    <w:p>
      <w:pPr>
        <w:pStyle w:val="Compact"/>
        <w:numPr>
          <w:numId w:val="1001"/>
          <w:ilvl w:val="0"/>
        </w:numPr>
      </w:pPr>
      <w:r>
        <w:t xml:space="preserve">Protect: Recommend additional scrutiny of any proposed development and/or projects that could affect a site;</w:t>
      </w:r>
    </w:p>
    <w:p>
      <w:pPr>
        <w:pStyle w:val="Compact"/>
        <w:numPr>
          <w:numId w:val="1001"/>
          <w:ilvl w:val="0"/>
        </w:numPr>
      </w:pPr>
      <w:r>
        <w:t xml:space="preserve">Restore: Pursue targeted action for causal assessment and/or restoration activity at a site.</w:t>
      </w:r>
    </w:p>
    <w:p>
      <w:pPr>
        <w:pStyle w:val="FirstParagraph"/>
      </w:pPr>
      <w:r>
        <w:t xml:space="preserve">These priority actions were first identified independent from the landscape model and then assigned to each site by the stakeholder group based on a comparison of observed CSCI scores and the expected range of scores from the landscape model. In general, stakeholders assigned higher priority for all three actions to sites in likely unconstrained segments where CSCI scores were over- or under-scoring or at sites that were possibly unconstrained but the observed CSCI scores were below the biological threshold (dotted line in Figure S6, Table S1). Constrained sites were given lower priority overall or restoration actions were recommended as a lower priority despite low CSCI scores. Continuing current practices (e.g., routine monitoring, neither of the above actions) was also identified by the stakeholders as necessary for these low priority sites. Recommended actions to investigate were applied to both over-scoring and under-scoring sites, protect was given a high priority exclusively at over-scoring sites, and restore was more common at under-scoring sites.</w:t>
      </w:r>
    </w:p>
    <w:p>
      <w:pPr>
        <w:pStyle w:val="BodyText"/>
      </w:pPr>
      <w:r>
        <w:t xml:space="preserve">The landscape model is primarily an exploratory tool to help identify patterns among monitoring sites where more intensive analyses may be appropriate. This application was tested through engagement of our local stakeholder group. Rather than identifying individual sites in need of specific management actions, the group used the landscape model to characterize patterns on the landscape that were consistent with the recommended management priorities. In doing so, the group explored and discussed potential management actions relative to the landscape characteristics of the watershed. The final decision by the group to prioritize management actions for the different sites in broad categories of protect, restore, and investigate was based on group discussions to reach agreement on how outcomes from the model could be applied. Facilitated discussions that directly engage stakeholders have been suggested by others as effective mechanisms that allow recommendations provided by these tools to be adopted in formal decision-making</w:t>
      </w:r>
      <w:r>
        <w:t xml:space="preserve"> </w:t>
      </w:r>
      <w:r>
        <w:t xml:space="preserve">(Stein et al.</w:t>
      </w:r>
      <w:r>
        <w:t xml:space="preserve"> </w:t>
      </w:r>
      <w:hyperlink w:anchor="ref-Stein17">
        <w:r>
          <w:rPr>
            <w:rStyle w:val="Hyperlink"/>
          </w:rPr>
          <w:t xml:space="preserve">2017</w:t>
        </w:r>
      </w:hyperlink>
      <w:r>
        <w:t xml:space="preserve">)</w:t>
      </w:r>
      <w:r>
        <w:t xml:space="preserve">. However, the recommended actions have relevance only in the interests of the San Gabriel Regional Monitoring Program. Localized applications of the statewide model must engage stakeholders in a similar process to develop recommendations that are specific to regional needs at the watershed scale</w:t>
      </w:r>
      <w:r>
        <w:t xml:space="preserve"> </w:t>
      </w:r>
      <w:r>
        <w:t xml:space="preserve">(Brody</w:t>
      </w:r>
      <w:r>
        <w:t xml:space="preserve"> </w:t>
      </w:r>
      <w:hyperlink w:anchor="ref-Brody03">
        <w:r>
          <w:rPr>
            <w:rStyle w:val="Hyperlink"/>
          </w:rPr>
          <w:t xml:space="preserve">2003</w:t>
        </w:r>
      </w:hyperlink>
      <w:r>
        <w:t xml:space="preserve">; Reed</w:t>
      </w:r>
      <w:r>
        <w:t xml:space="preserve"> </w:t>
      </w:r>
      <w:hyperlink w:anchor="ref-Reed08">
        <w:r>
          <w:rPr>
            <w:rStyle w:val="Hyperlink"/>
          </w:rPr>
          <w:t xml:space="preserve">2008</w:t>
        </w:r>
      </w:hyperlink>
      <w:r>
        <w:t xml:space="preserve">)</w:t>
      </w:r>
      <w:r>
        <w:t xml:space="preserve">.</w:t>
      </w:r>
    </w:p>
    <w:p>
      <w:pPr>
        <w:pStyle w:val="BodyText"/>
      </w:pPr>
      <w:r>
        <w:t xml:space="preserve">Engagement with the stakeholder group was facilitated through creation of an interactive and online application, the Stream Classification and Priority Explorer (SCAPE, Figure S7,</w:t>
      </w:r>
      <w:r>
        <w:t xml:space="preserve"> </w:t>
      </w:r>
      <w:hyperlink r:id="rId41">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The SCAPE application can be used to select and visualize management priorities for all monitoring sites in the San Gabriel watershed (Figure S8) and was also critical for demonstrating how results from the statewide model could be used at a regional scale. Because of this application, the stakeholder group was able to explore the potential impacts of biointegrity policies currently under review in California, such as the effect of changing a potential threshold for defining biological use attainment and how the assigned priorities shift accordingly. Additionally, the SCAPE application correctly identified sites where discrepancies between CSCI scores and other measures of stream condition had been previously observed. Without the landscape context provided by the model (i.e., Figure S5, right side), stakeholders had limited information to prioritize among sites (i.e., no context for scores, Figure S5, left side).</w:t>
      </w:r>
    </w:p>
    <w:p>
      <w:pPr>
        <w:pStyle w:val="BodyText"/>
      </w:pPr>
      <w:r>
        <w:t xml:space="preserve">The SCAPE application also demonstrated core concepts of the model and allowed stakeholders to explore the key decision points that affected the model output. Specifically, drop-down menus and sliders allowed users to change certainties in the CSCI score predictions (e.g., 10th and 90th percentile predictions) and explore alternative thresholds for biological objectives (e.g., 10th percentile of reference scores that defined constraint classes). This functionality allowed the stakeholders to develop recommendations that were completely independent of the model, i.e., decisions were not hard-wired into the model nor SCAPE. Results in Figure</w:t>
      </w:r>
      <w:r>
        <w:t xml:space="preserve"> </w:t>
      </w:r>
      <w:r>
        <w:t xml:space="preserve">5</w:t>
      </w:r>
      <w:r>
        <w:t xml:space="preserve"> </w:t>
      </w:r>
      <w:r>
        <w:t xml:space="preserve">also demonstrate the broader implications of how the key decision points affected model results at regional and statewide scales. These results and the functionality provided by SCAPE demonstrate flexibility of the landscape model and the considerations that should be made for regional applications. For example, constraint classifications and the decision points that define them may have little relevance in regions without development gradients that are not captured well by the model (e.g., Sierra Nevada, North Coast). Conversely, the chosen range for the lower and upper expectation of biological integrity is a tradeoff between which constraint classes are most appropriate for a region. Wider ranges force more stream segments into the</w:t>
      </w:r>
      <w:r>
        <w:t xml:space="preserve"> </w:t>
      </w:r>
      <w:r>
        <w:t xml:space="preserve">“</w:t>
      </w:r>
      <w:r>
        <w:t xml:space="preserve">possible</w:t>
      </w:r>
      <w:r>
        <w:t xml:space="preserve">”</w:t>
      </w:r>
      <w:r>
        <w:t xml:space="preserve"> </w:t>
      </w:r>
      <w:r>
        <w:t xml:space="preserve">constraint classes, whereas smaller ranges provide more separation of segments into the likely constrained or likely unconstrained classes. The specific choice is a management decision and we provide the ability to evaluate tradeoffs both in SCAPE and with our results herein.</w:t>
      </w:r>
    </w:p>
    <w:p>
      <w:pPr>
        <w:pStyle w:val="Heading2"/>
      </w:pPr>
      <w:bookmarkStart w:id="42" w:name="Xccb9a57635177e36794f6d5487c2edbda3a9ab3"/>
      <w:r>
        <w:t xml:space="preserve">Alternative applications of the landscape model</w:t>
      </w:r>
      <w:bookmarkEnd w:id="42"/>
    </w:p>
    <w:p>
      <w:pPr>
        <w:pStyle w:val="FirstParagraph"/>
      </w:pPr>
      <w:r>
        <w:t xml:space="preserve">Results from our analysis could be used for managing the biological integrity of streams under state or federal water quality mandates (e.g. </w:t>
      </w:r>
      <w:r>
        <w:t xml:space="preserve">“</w:t>
      </w:r>
      <w:r>
        <w:t xml:space="preserve">biological criteria</w:t>
      </w:r>
      <w:r>
        <w:t xml:space="preserve">”</w:t>
      </w:r>
      <w:r>
        <w:t xml:space="preserve"> </w:t>
      </w:r>
      <w:r>
        <w:t xml:space="preserve">under the Clean Water Act). Management activities for biological integrity could involve the protection of sites meeting or exceeding biological objectives or the restoration of sites that have the potential to meet or exceed biological objectives. The selection of appropriate management actions for streams requires the consideration of the physical and chemical condition of streams concurrent with biological monitoring results. The landscape model can place observed scores in an appropriate context relative to their exepcted condition for the landscape. This information could provide flexibility in the selection of regulatory or management actions at specific sites or within larger regions (e.g., hydrologic subareas), and to further prioritize where and when actions should take place based on the resources needed for protection or restoration actions. For example, for sites that meet biological objectives but where the models predict some degree of constraint, regulatory actions may be associated with protecting that condition and could be implemented in the short-term to prevent degradation. Moreover, additional actions could be recommended to determine why these sites score above the constrained expectations, such as causal assessments to identify site-specific characteristics contributing to biointegrity (e.g., intact physical habitat independent of landscape development). This flexibility is not intended to exclude sites from consideration that are less likely to achieve biological objectives, but rather to facilitate the decision-making process through a more transparent application of the model in a regulatory application. The landscape model could also help identify where tiered aquatic life uses (TALU,</w:t>
      </w:r>
      <w:r>
        <w:t xml:space="preserve"> </w:t>
      </w:r>
      <w:r>
        <w:t xml:space="preserve">Davies and Jackson (</w:t>
      </w:r>
      <w:hyperlink w:anchor="ref-Davies06">
        <w:r>
          <w:rPr>
            <w:rStyle w:val="Hyperlink"/>
          </w:rPr>
          <w:t xml:space="preserve">2006</w:t>
        </w:r>
      </w:hyperlink>
      <w:r>
        <w:t xml:space="preserve">)</w:t>
      </w:r>
      <w:r>
        <w:t xml:space="preserve">) may be needed. However, the model is not intended, nor is it is sufficient, as a standalone tool for this purpose because it lacks specificity as to what uses may apply under different landscape conditions.</w:t>
      </w:r>
    </w:p>
    <w:p>
      <w:pPr>
        <w:pStyle w:val="BodyText"/>
      </w:pPr>
      <w:r>
        <w:t xml:space="preserve">Non-regulatory applications of the landscape model are also possible by identifying where additional restoration, monitoring, or protection may have the most benefit. For example, landscape models could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 More generally, these applications could represent a novel use of bioassessment data beyond the pass/fail paradigm in the regulatory sense, for example, as tools for land use planning</w:t>
      </w:r>
      <w:r>
        <w:t xml:space="preserve"> </w:t>
      </w:r>
      <w:r>
        <w:t xml:space="preserve">(Bailey et al.</w:t>
      </w:r>
      <w:r>
        <w:t xml:space="preserve"> </w:t>
      </w:r>
      <w:hyperlink w:anchor="ref-Bailey07">
        <w:r>
          <w:rPr>
            <w:rStyle w:val="Hyperlink"/>
          </w:rPr>
          <w:t xml:space="preserve">2007</w:t>
        </w:r>
      </w:hyperlink>
      <w:r>
        <w:t xml:space="preserve">)</w:t>
      </w:r>
      <w:r>
        <w:t xml:space="preserve">. In many cases, including California, bioassessment indices have been sufficiently developed to allow large-scale condition assessment across regions, yet they are rarely used as planning tools to guide decisions on where resources should be focused</w:t>
      </w:r>
      <w:r>
        <w:t xml:space="preserve"> </w:t>
      </w:r>
      <w:r>
        <w:t xml:space="preserve">(Nel et al.</w:t>
      </w:r>
      <w:r>
        <w:t xml:space="preserve"> </w:t>
      </w:r>
      <w:hyperlink w:anchor="ref-Nel09">
        <w:r>
          <w:rPr>
            <w:rStyle w:val="Hyperlink"/>
          </w:rPr>
          <w:t xml:space="preserve">2009</w:t>
        </w:r>
      </w:hyperlink>
      <w:r>
        <w:t xml:space="preserve">)</w:t>
      </w:r>
      <w:r>
        <w:t xml:space="preserve">. Our landscape model makes bioassessment data in California more accessible and identifies an appropriate expectation for the information, enabling the potential for both regulatory and non-regulatory applications.</w:t>
      </w:r>
    </w:p>
    <w:p>
      <w:pPr>
        <w:pStyle w:val="BodyText"/>
      </w:pPr>
      <w:r>
        <w:t xml:space="preserve">Several states have implemented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Institute</w:t>
      </w:r>
      <w:r>
        <w:t xml:space="preserve"> </w:t>
      </w:r>
      <w:hyperlink w:anchor="ref-MBI16">
        <w:r>
          <w:rPr>
            <w:rStyle w:val="Hyperlink"/>
          </w:rPr>
          <w:t xml:space="preserve">2016</w:t>
        </w:r>
      </w:hyperlink>
      <w:r>
        <w:t xml:space="preserve">)</w:t>
      </w:r>
      <w:r>
        <w:t xml:space="preserve">. Although our results generally support the link between impacted biology and channel modification, a regulatory framework based on direct channel modification may be insufficient because constraints are more accurately defined relative to landscape development. As defined for the model, a constrained channel may or may not be engineered (see supplement for Tecolote Creek example, Figure S9), but an engineered channel in a developed landscape will typically be constrained. Furthermore, channel modification does not always result in biological degradation, particularly if the contributing watershed is largely undeveloped. For example,</w:t>
      </w:r>
      <w:r>
        <w:t xml:space="preserve"> </w:t>
      </w:r>
      <w:r>
        <w:t xml:space="preserve">Stein et al. (</w:t>
      </w:r>
      <w:hyperlink w:anchor="ref-Stein13">
        <w:r>
          <w:rPr>
            <w:rStyle w:val="Hyperlink"/>
          </w:rPr>
          <w:t xml:space="preserve">2013</w:t>
        </w:r>
      </w:hyperlink>
      <w:r>
        <w:t xml:space="preserve">)</w:t>
      </w:r>
      <w:r>
        <w:t xml:space="preserve"> </w:t>
      </w:r>
      <w:r>
        <w:t xml:space="preserve">observed reference-like bioassessment index scores in armored reaches within national forest lands in southern California. A classification framework for biological constraints using only channel modification would provide incomplete and potentially misleading information on streams. Ideally, context for evaluating biological condition from a landscape model, in conjunction with reach-specific data on channel modification, should be used.</w:t>
      </w:r>
    </w:p>
    <w:p>
      <w:pPr>
        <w:pStyle w:val="BodyText"/>
      </w:pPr>
      <w:r>
        <w:t xml:space="preserve">Our approach to assessing constrained streams is readily transferable outside of California. The landscape model could be applied to other bioassessment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More importantly,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across the United States. National bioassessment indices have been developed and the landscape model could be developed as a national-scale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 Global geospatial datasets of freshwater-specific environmental variables are also available and could be used to develop similar models outside of the United States</w:t>
      </w:r>
      <w:r>
        <w:t xml:space="preserve"> </w:t>
      </w:r>
      <w:r>
        <w:t xml:space="preserve">(Domisch, Amatulli, and Jetz</w:t>
      </w:r>
      <w:r>
        <w:t xml:space="preserve"> </w:t>
      </w:r>
      <w:hyperlink w:anchor="ref-Domi15">
        <w:r>
          <w:rPr>
            <w:rStyle w:val="Hyperlink"/>
          </w:rPr>
          <w:t xml:space="preserve">2015</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Our case study provided an example of how our model helped establish priorities at the local-scale and a similar process could be used for applying different landscape models in other states.</w:t>
      </w:r>
    </w:p>
    <w:p>
      <w:pPr>
        <w:pStyle w:val="Heading2"/>
      </w:pPr>
      <w:bookmarkStart w:id="43" w:name="model-assumptions-and-limitations"/>
      <w:r>
        <w:t xml:space="preserve">Model assumptions and limitations</w:t>
      </w:r>
      <w:bookmarkEnd w:id="43"/>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where conditions are presumably constrained. As such, landscape variables were chosen to capture the effects of development on CSCI scores in these areas (Table</w:t>
      </w:r>
      <w:r>
        <w:t xml:space="preserve"> </w:t>
      </w:r>
      <w:r>
        <w:t xml:space="preserve">1</w:t>
      </w:r>
      <w:r>
        <w:t xml:space="preserve">). Application of the model in regions where different stressors have strong impacts on stream condition should consider the relevance of urban and agricultural stressors and if an alternative model that better captures other stressor gradients is needed. For example, our results suggest that streams in the North Coast and Sierra Nevada regions are largely unconstrained, but the landscape model was a poor predictor of CSCI scores in these areas. The dominant stressors likely to affect stream condition in these regions originate from sources that are less common in developed landscapes, such as silviculture and cannabis cultivation. The current landscape model does not adequately capture these impacts outside of urban and agricultural environments. Moreover, poor model predictions are compounded by low sensitivity of the CSCI to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not explicitly available in StreamCat, but surrogates could be explored in future models (e.g., coverage of introduced vegetation classes as a proxy for silviculture). Regardless, investments in improving spatial data could yield significant improvements in further development of bioassessment indices and tools for their interpretation.</w:t>
      </w:r>
    </w:p>
    <w:p>
      <w:pPr>
        <w:pStyle w:val="BodyText"/>
      </w:pPr>
      <w:r>
        <w:t xml:space="preserve">An additional assumption is that the landscape model can adequately discriminate between intractable constraints on biology that are spatially and temporally pervasive relative to more manageable constraints. That is, we assumed that the impacts of stressors included in the model, such as urbanization, require long-term extensive mitigation planning, whereas stressors associated with deviations from model predictions can be mitigated in the short-term using focused actions. These assumptions are not unique to our model and have been used in other applications that have evaluated biological potential</w:t>
      </w:r>
      <w:r>
        <w:t xml:space="preserve"> </w:t>
      </w:r>
      <w:r>
        <w:t xml:space="preserve">(Paul et al.</w:t>
      </w:r>
      <w:r>
        <w:t xml:space="preserve"> </w:t>
      </w:r>
      <w:hyperlink w:anchor="ref-Paul08">
        <w:r>
          <w:rPr>
            <w:rStyle w:val="Hyperlink"/>
          </w:rPr>
          <w:t xml:space="preserve">2008</w:t>
        </w:r>
      </w:hyperlink>
      <w:r>
        <w:t xml:space="preserve">; Chessman</w:t>
      </w:r>
      <w:r>
        <w:t xml:space="preserve"> </w:t>
      </w:r>
      <w:hyperlink w:anchor="ref-Chessman14">
        <w:r>
          <w:rPr>
            <w:rStyle w:val="Hyperlink"/>
          </w:rPr>
          <w:t xml:space="preserve">2014</w:t>
        </w:r>
      </w:hyperlink>
      <w:r>
        <w:t xml:space="preserve">; Waite et al.</w:t>
      </w:r>
      <w:r>
        <w:t xml:space="preserve"> </w:t>
      </w:r>
      <w:hyperlink w:anchor="ref-Waite14">
        <w:r>
          <w:rPr>
            <w:rStyle w:val="Hyperlink"/>
          </w:rPr>
          <w:t xml:space="preserve">2014</w:t>
        </w:r>
      </w:hyperlink>
      <w:r>
        <w:t xml:space="preserve">)</w:t>
      </w:r>
      <w:r>
        <w:t xml:space="preserve">. However, many stressors excluded from the model can have long-lasting impacts, leading to management scenarios where long-term recovery may only be possible with sustained and costly application of resources. For example, logging activities can impact benthic macroinvertebrate communities for a decade or more after harvesting activities have stopped</w:t>
      </w:r>
      <w:r>
        <w:t xml:space="preserve"> </w:t>
      </w:r>
      <w:r>
        <w:t xml:space="preserve">(Stone and Wallace</w:t>
      </w:r>
      <w:r>
        <w:t xml:space="preserve"> </w:t>
      </w:r>
      <w:hyperlink w:anchor="ref-Stone98">
        <w:r>
          <w:rPr>
            <w:rStyle w:val="Hyperlink"/>
          </w:rPr>
          <w:t xml:space="preserve">1998</w:t>
        </w:r>
      </w:hyperlink>
      <w:r>
        <w:t xml:space="preserve">; Quinn and Wright-Stow</w:t>
      </w:r>
      <w:r>
        <w:t xml:space="preserve"> </w:t>
      </w:r>
      <w:hyperlink w:anchor="ref-Quinn08">
        <w:r>
          <w:rPr>
            <w:rStyle w:val="Hyperlink"/>
          </w:rPr>
          <w:t xml:space="preserve">2008</w:t>
        </w:r>
      </w:hyperlink>
      <w:r>
        <w:t xml:space="preserve">)</w:t>
      </w:r>
      <w:r>
        <w:t xml:space="preserve">. In urban areas, pervasive and profound alteration to groundwater and hydrology is common and stream communities in groundwater fed systems may require substantial time and resources for restoration. The potential legacy impacts of large-scale alterations of the natural environment are not well-captured by the current model, neither from a spatial nor temporal perspective. A more refined application of the landscape model would be necessary to evaluate different scales of impact, which could include developing separate models for each region, as well as more careful selection of model inputs to capture scales of interest for potential impacts on stream condition.</w:t>
      </w:r>
    </w:p>
    <w:p>
      <w:pPr>
        <w:pStyle w:val="BodyText"/>
      </w:pPr>
      <w:r>
        <w:t xml:space="preserve">The landscape model describes constraints at scales larger than instream characteristics as a necessary approach to accurately predict bioassessment scores. Additional analyses that evaluate how different predictors influence model performance at different quantiles could provide insight into how landscape factors relate to constraints</w:t>
      </w:r>
      <w:r>
        <w:t xml:space="preserve"> </w:t>
      </w:r>
      <w:r>
        <w:t xml:space="preserve">(e.g., Koenker and Machado</w:t>
      </w:r>
      <w:r>
        <w:t xml:space="preserve"> </w:t>
      </w:r>
      <w:hyperlink w:anchor="ref-Koenker99">
        <w:r>
          <w:rPr>
            <w:rStyle w:val="Hyperlink"/>
          </w:rPr>
          <w:t xml:space="preserve">1999</w:t>
        </w:r>
      </w:hyperlink>
      <w:r>
        <w:t xml:space="preserve">)</w:t>
      </w:r>
      <w:r>
        <w:t xml:space="preserve">.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 More comprehensive assessments at individual sites may be needed to diagnose the immediate causes of degraded condition.</w:t>
      </w:r>
    </w:p>
    <w:p>
      <w:pPr>
        <w:pStyle w:val="BodyText"/>
      </w:pPr>
      <w:r>
        <w:t xml:space="preserve">An additional consideration in using the landscape model is the meaning of biologically constrained relative to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assemblages) are also constrained. Urban streams sometimes support diverse algal assemblages such that algal-based measures of biotic condition may alternatively suggest good biotic condition relative to macroinvertebrate-based indices</w:t>
      </w:r>
      <w:r>
        <w:t xml:space="preserve"> </w:t>
      </w:r>
      <w:r>
        <w:t xml:space="preserve">(Brown et al.</w:t>
      </w:r>
      <w:r>
        <w:t xml:space="preserve"> </w:t>
      </w:r>
      <w:hyperlink w:anchor="ref-Brown09">
        <w:r>
          <w:rPr>
            <w:rStyle w:val="Hyperlink"/>
          </w:rPr>
          <w:t xml:space="preserve">2009</w:t>
        </w:r>
      </w:hyperlink>
      <w:r>
        <w:t xml:space="preserve">; Mazor, Beck, and Brown</w:t>
      </w:r>
      <w:r>
        <w:t xml:space="preserve"> </w:t>
      </w:r>
      <w:hyperlink w:anchor="ref-Mazor18">
        <w:r>
          <w:rPr>
            <w:rStyle w:val="Hyperlink"/>
          </w:rPr>
          <w:t xml:space="preserve">2018</w:t>
        </w:r>
      </w:hyperlink>
      <w:r>
        <w:t xml:space="preserve">)</w:t>
      </w:r>
      <w:r>
        <w:t xml:space="preserve">. Broadening the landscape model to include multiple taxonomic assemblages or endpoints would allow a more complete assessment of how condition relates to landscape alteration.</w:t>
      </w:r>
    </w:p>
    <w:p>
      <w:pPr>
        <w:pStyle w:val="BodyText"/>
      </w:pPr>
      <w:r>
        <w:t xml:space="preserve">Finally, there are a few concerns applying a landscape modelling approach for bioassessment using the NHD-Plus flowlines as a base layer. We applied our model to the entire network of the NHD-Plus represented in StreamCat, which included a large number of intermittent or ephemeral streams, as well as non-wadeable rivers. Therefore, the application of model results in these stream-types is open to question, valid only to the degree that the CSCI and its response to landscape disturbance can represent more relevant measures of biological integrity. In regions where ephemeral streams are particularly common (e.g., the inland deserts or the South Coast region), estimates of the extent of constrained or unconstrained streams may be inaccurate.</w:t>
      </w:r>
    </w:p>
    <w:p>
      <w:pPr>
        <w:pStyle w:val="Heading2"/>
      </w:pPr>
      <w:bookmarkStart w:id="44" w:name="summary"/>
      <w:r>
        <w:t xml:space="preserve">Summary</w:t>
      </w:r>
      <w:bookmarkEnd w:id="44"/>
    </w:p>
    <w:p>
      <w:pPr>
        <w:pStyle w:val="FirstParagraph"/>
      </w:pPr>
      <w:r>
        <w:t xml:space="preserve">We demonstrated the use of quantile regression forests to successfully predict a lower and upper range of expected biological index scores that could be observed at a stream segment as a result of landscape development. Although random forest models have been increasingly used in bioassessment applications, our approach is the first to use quantile models to develop biological expectations. As such, additional work could build on this initial approach to apply these models in different locations, to alternative biological response endpoints, or to explore different predictors that capture regionally-specific stressor gradients. The predictive performance of quantile regression forests in bioassessment applications have also not been fully explored, such as understanding the accuracy of predictions or the relative importance of predictors at different quantiles. Our approach suggests these models are promising and future work could focus on any of the above suggestions to better understand the utility of these tools in applied contexts.</w:t>
      </w:r>
    </w:p>
    <w:p>
      <w:pPr>
        <w:pStyle w:val="BodyText"/>
      </w:pPr>
      <w:r>
        <w:t xml:space="preserve">The landscape model can be used to characterize the extent of biologically constrained channels in developed landscapes and provides a tool to determine how managers can best prioritize resources for stream management by understanding landscape factors that might constrain each segment. Our application to the San Gabriel watershed demonstrated how the statewide results can be used at a spatial scale where many management decisions are implemented through close interaction with a regional stakeholder group with direct interests in the local resources. The approach leverages information from multiple sources to develop a context for biological assessment that provides an expectation of what is likely to be achieved based on current land use development. This can facilitate more targeted management actions that vary depending on the landscape context and can also inform decisions on extent and effort for future monitoring locations.</w:t>
      </w:r>
    </w:p>
    <w:p>
      <w:pPr>
        <w:pStyle w:val="Heading1"/>
      </w:pPr>
      <w:bookmarkStart w:id="45" w:name="supplement"/>
      <w:r>
        <w:t xml:space="preserve">Supplement</w:t>
      </w:r>
      <w:bookmarkEnd w:id="45"/>
    </w:p>
    <w:p>
      <w:pPr>
        <w:pStyle w:val="FirstParagraph"/>
      </w:pPr>
      <w:r>
        <w:t xml:space="preserve">Geospatial data of model results mapped to stream reaches in California is provided at</w:t>
      </w:r>
      <w:r>
        <w:t xml:space="preserve"> </w:t>
      </w:r>
      <w:r>
        <w:t xml:space="preserve">Beck (</w:t>
      </w:r>
      <w:hyperlink w:anchor="ref-Beck18d">
        <w:r>
          <w:rPr>
            <w:rStyle w:val="Hyperlink"/>
          </w:rPr>
          <w:t xml:space="preserve">2018</w:t>
        </w:r>
      </w:hyperlink>
      <w:hyperlink w:anchor="ref-Beck18d">
        <w:r>
          <w:rPr>
            <w:rStyle w:val="Hyperlink"/>
          </w:rPr>
          <w:t xml:space="preserve">a</w:t>
        </w:r>
      </w:hyperlink>
      <w:r>
        <w:t xml:space="preserve">)</w:t>
      </w:r>
      <w:r>
        <w:t xml:space="preserve">. The SCAPE model application website is available at</w:t>
      </w:r>
      <w:r>
        <w:t xml:space="preserve"> </w:t>
      </w:r>
      <w:hyperlink r:id="rId41">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hyperlink w:anchor="ref-Beck18c">
        <w:r>
          <w:rPr>
            <w:rStyle w:val="Hyperlink"/>
          </w:rPr>
          <w:t xml:space="preserve">b</w:t>
        </w:r>
      </w:hyperlink>
      <w:r>
        <w:t xml:space="preserve">)</w:t>
      </w:r>
      <w:r>
        <w:t xml:space="preserve">. Additional of the case study, figures, and tables are available in the supplement.</w:t>
      </w:r>
    </w:p>
    <w:p>
      <w:pPr>
        <w:pStyle w:val="Heading1"/>
      </w:pPr>
      <w:bookmarkStart w:id="46" w:name="author-contributions"/>
      <w:r>
        <w:t xml:space="preserve">Author contributions</w:t>
      </w:r>
      <w:bookmarkEnd w:id="46"/>
    </w:p>
    <w:p>
      <w:pPr>
        <w:pStyle w:val="FirstParagraph"/>
      </w:pPr>
      <w:r>
        <w:t xml:space="preserve">MB, RM, SJ, KW, JW, PO, RH, CL, MS, and ES performed the research and analyzed the data. MB, RM, SJ, JW, PO, RH, and CL wrote the paper. RM, SJ, KW, and PO provided data. All authors discussed the methods and results and contributed to the development of the manuscript.</w:t>
      </w:r>
    </w:p>
    <w:p>
      <w:pPr>
        <w:pStyle w:val="Heading1"/>
      </w:pPr>
      <w:bookmarkStart w:id="47" w:name="acknowledgments"/>
      <w:r>
        <w:t xml:space="preserve">Acknowledgments</w:t>
      </w:r>
      <w:bookmarkEnd w:id="47"/>
    </w:p>
    <w:p>
      <w:pPr>
        <w:pStyle w:val="FirstParagraph"/>
      </w:pPr>
      <w:r>
        <w:t xml:space="preserve">The authors acknowledge support from the San Gabriel River Regional Monitoring Program and the California State Water Resources Control Board. We thank Phil Markle and Lester Yuan for reviewing an earlier draft of the manuscript.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w:t>
      </w:r>
    </w:p>
    <w:p>
      <w:pPr>
        <w:pStyle w:val="Heading1"/>
      </w:pPr>
      <w:bookmarkStart w:id="48" w:name="figures"/>
      <w:r>
        <w:t xml:space="preserve">Figures</w:t>
      </w:r>
      <w:bookmarkEnd w:id="48"/>
    </w:p>
    <w:p>
      <w:pPr>
        <w:pStyle w:val="CaptionedFigure"/>
      </w:pPr>
      <w:r>
        <w:drawing>
          <wp:inline>
            <wp:extent cx="5943600" cy="4245428"/>
            <wp:effectExtent b="0" l="0" r="0" t="0"/>
            <wp:docPr descr="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jpeg" id="0" name="Picture"/>
                    <pic:cNvPicPr>
                      <a:picLocks noChangeArrowheads="1" noChangeAspect="1"/>
                    </pic:cNvPicPr>
                  </pic:nvPicPr>
                  <pic:blipFill>
                    <a:blip r:embed="rId49"/>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943600" cy="5022822"/>
            <wp:effectExtent b="0" l="0" r="0" t="0"/>
            <wp:docPr descr="Figure 2 Conceptualized response and management pathways captured by the landscape model under the Driver-Pressure-Stress-Impact-Response (DPSIR) framework (Smeets and Weterings 1999). Landscape predictors provided in StreamCat (Hill et al. 2017) were used to describe pressures from urban and agricultural development that could impact the macroinvertebrate community in streams by altering physical and chemical habitat. Biological response was measured using the CSCI (Mazor et al. 2016) 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 title="" id="1" name="Picture"/>
            <a:graphic>
              <a:graphicData uri="http://schemas.openxmlformats.org/drawingml/2006/picture">
                <pic:pic>
                  <pic:nvPicPr>
                    <pic:cNvPr descr="figs/dpsirfig.png" id="0" name="Picture"/>
                    <pic:cNvPicPr>
                      <a:picLocks noChangeArrowheads="1" noChangeAspect="1"/>
                    </pic:cNvPicPr>
                  </pic:nvPicPr>
                  <pic:blipFill>
                    <a:blip r:embed="rId50"/>
                    <a:stretch>
                      <a:fillRect/>
                    </a:stretch>
                  </pic:blipFill>
                  <pic:spPr bwMode="auto">
                    <a:xfrm>
                      <a:off x="0" y="0"/>
                      <a:ext cx="5943600" cy="5022822"/>
                    </a:xfrm>
                    <a:prstGeom prst="rect">
                      <a:avLst/>
                    </a:prstGeom>
                    <a:noFill/>
                    <a:ln w="9525">
                      <a:noFill/>
                      <a:headEnd/>
                      <a:tailEnd/>
                    </a:ln>
                  </pic:spPr>
                </pic:pic>
              </a:graphicData>
            </a:graphic>
          </wp:inline>
        </w:drawing>
      </w:r>
    </w:p>
    <w:p>
      <w:pPr>
        <w:pStyle w:val="ImageCaption"/>
      </w:pPr>
      <w:r>
        <w:t xml:space="preserve">Figure 2 Conceptualized response and management pathways captured by the landscape model under the Driver-Pressure-Stress-Impact-Response (DPSIR) framework</w:t>
      </w:r>
      <w:r>
        <w:t xml:space="preserve"> </w:t>
      </w:r>
      <w:r>
        <w:t xml:space="preserve">(Smeets and Weterings</w:t>
      </w:r>
      <w:r>
        <w:t xml:space="preserve"> </w:t>
      </w:r>
      <w:hyperlink w:anchor="ref-Smeets99">
        <w:r>
          <w:rPr>
            <w:rStyle w:val="Hyperlink"/>
          </w:rPr>
          <w:t xml:space="preserve">1999</w:t>
        </w:r>
      </w:hyperlink>
      <w:r>
        <w:t xml:space="preserve">)</w:t>
      </w:r>
      <w:r>
        <w:t xml:space="preserve">. Landscape predictors provided in StreamCat</w:t>
      </w:r>
      <w:r>
        <w:t xml:space="preserve"> </w:t>
      </w:r>
      <w:r>
        <w:t xml:space="preserve">(Hill et al.</w:t>
      </w:r>
      <w:r>
        <w:t xml:space="preserve"> </w:t>
      </w:r>
      <w:hyperlink w:anchor="ref-Hill17">
        <w:r>
          <w:rPr>
            <w:rStyle w:val="Hyperlink"/>
          </w:rPr>
          <w:t xml:space="preserve">2017</w:t>
        </w:r>
      </w:hyperlink>
      <w:r>
        <w:t xml:space="preserve">)</w:t>
      </w:r>
      <w:r>
        <w:t xml:space="preserve"> </w:t>
      </w:r>
      <w:r>
        <w:t xml:space="preserve">were used to describe pressures from urban and agricultural development that could impact the macroinvertebrate community in streams by altering physical and chemical habitat. Biological response was measured using the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w:t>
      </w:r>
    </w:p>
    <w:p>
      <w:pPr>
        <w:pStyle w:val="CaptionedFigure"/>
      </w:pPr>
      <w:r>
        <w:drawing>
          <wp:inline>
            <wp:extent cx="5943600" cy="371475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jpeg" id="0" name="Picture"/>
                    <pic:cNvPicPr>
                      <a:picLocks noChangeArrowheads="1" noChangeAspect="1"/>
                    </pic:cNvPicPr>
                  </pic:nvPicPr>
                  <pic:blipFill>
                    <a:blip r:embed="rId51"/>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3657600" cy="5029200"/>
            <wp:effectExtent b="0" l="0" r="0" t="0"/>
            <wp:docPr descr="Figure 4 Statewide application of the landscape model showing the stream segment classifications. Major regional boundaries are also shown (see Figure 1)." title="" id="1" name="Picture"/>
            <a:graphic>
              <a:graphicData uri="http://schemas.openxmlformats.org/drawingml/2006/picture">
                <pic:pic>
                  <pic:nvPicPr>
                    <pic:cNvPr descr="figs/calires.jpeg" id="0" name="Picture"/>
                    <pic:cNvPicPr>
                      <a:picLocks noChangeArrowheads="1" noChangeAspect="1"/>
                    </pic:cNvPicPr>
                  </pic:nvPicPr>
                  <pic:blipFill>
                    <a:blip r:embed="rId52"/>
                    <a:stretch>
                      <a:fillRect/>
                    </a:stretch>
                  </pic:blipFill>
                  <pic:spPr bwMode="auto">
                    <a:xfrm>
                      <a:off x="0" y="0"/>
                      <a:ext cx="3657600" cy="50292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stream segment classifications. Major regional boundaries are also shown (see Figure</w:t>
      </w:r>
      <w:r>
        <w:t xml:space="preserve"> </w:t>
      </w:r>
      <w:r>
        <w:t xml:space="preserve">1</w:t>
      </w:r>
      <w:r>
        <w:t xml:space="preserve">).</w:t>
      </w:r>
    </w:p>
    <w:p>
      <w:pPr>
        <w:pStyle w:val="CaptionedFigure"/>
      </w:pPr>
      <w:r>
        <w:drawing>
          <wp:inline>
            <wp:extent cx="5029200" cy="4572000"/>
            <wp:effectExtent b="0" l="0" r="0" t="0"/>
            <wp:docPr descr="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title="" id="1" name="Picture"/>
            <a:graphic>
              <a:graphicData uri="http://schemas.openxmlformats.org/drawingml/2006/picture">
                <pic:pic>
                  <pic:nvPicPr>
                    <pic:cNvPr descr="figs/sensplo.jpeg" id="0" name="Picture"/>
                    <pic:cNvPicPr>
                      <a:picLocks noChangeArrowheads="1" noChangeAspect="1"/>
                    </pic:cNvPicPr>
                  </pic:nvPicPr>
                  <pic:blipFill>
                    <a:blip r:embed="rId53"/>
                    <a:stretch>
                      <a:fillRect/>
                    </a:stretch>
                  </pic:blipFill>
                  <pic:spPr bwMode="auto">
                    <a:xfrm>
                      <a:off x="0" y="0"/>
                      <a:ext cx="5029200" cy="4572000"/>
                    </a:xfrm>
                    <a:prstGeom prst="rect">
                      <a:avLst/>
                    </a:prstGeom>
                    <a:noFill/>
                    <a:ln w="9525">
                      <a:noFill/>
                      <a:headEnd/>
                      <a:tailEnd/>
                    </a:ln>
                  </pic:spPr>
                </pic:pic>
              </a:graphicData>
            </a:graphic>
          </wp:inline>
        </w:drawing>
      </w:r>
    </w:p>
    <w:p>
      <w:pPr>
        <w:pStyle w:val="ImageCaption"/>
      </w:pPr>
      <w:r>
        <w:t xml:space="preserve">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pPr>
        <w:pStyle w:val="Heading1"/>
      </w:pPr>
      <w:bookmarkStart w:id="54" w:name="tables"/>
      <w:r>
        <w:t xml:space="preserve">Tables</w:t>
      </w:r>
      <w:bookmarkEnd w:id="54"/>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and applied to stream segments in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w:t>
      </w:r>
    </w:p>
    <w:tbl>
      <w:tblPr>
        <w:tblStyle w:val="Table"/>
        <w:tblW w:type="pct" w:w="0.0"/>
        <w:tblLook w:firstRow="1"/>
        <w:tblCaption w:val="Table 1 Land use variables used to develop the landscape model of stream bioassessment scores. All variables were obtained from StreamCat (Hill et al. 2016) and applied to stream segments in the National Hydrography Dataset Plus (NHD-plus) (McKay et al. 2012).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w:t>
            </w:r>
          </w:p>
        </w:tc>
        <w:tc>
          <w:p>
            <w:pPr>
              <w:pStyle w:val="Compact"/>
              <w:jc w:val="left"/>
            </w:pPr>
            <w:r>
              <w:t xml:space="preserve">Cat, Ws</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w:t>
            </w:r>
          </w:p>
        </w:tc>
        <w:tc>
          <w:p>
            <w:pPr>
              <w:pStyle w:val="Compact"/>
              <w:jc w:val="left"/>
            </w:pPr>
            <w:r>
              <w:t xml:space="preserve">Cat, Ws, Cat + Rp100, Ws + Rp100</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t>
            </w:r>
          </w:p>
        </w:tc>
        <w:tc>
          <w:p>
            <w:pPr>
              <w:pStyle w:val="Compact"/>
              <w:jc w:val="left"/>
            </w:pPr>
            <w:r>
              <w:t xml:space="preserve">Cat, Ws, Cat + Rp100, Ws + Rp100</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t>
            </w:r>
          </w:p>
        </w:tc>
        <w:tc>
          <w:p>
            <w:pPr>
              <w:pStyle w:val="Compact"/>
              <w:jc w:val="left"/>
            </w:pPr>
            <w:r>
              <w:t xml:space="preserve">Cat, Ws, Cat + Rp100, Ws + Rp100</w:t>
            </w:r>
          </w:p>
        </w:tc>
        <w:tc>
          <w:p>
            <w:pPr>
              <w:pStyle w:val="Compact"/>
              <w:jc w:val="left"/>
            </w:pPr>
            <w:r>
              <w:t xml:space="preserve">Total agricultural land use as sum of hay and crops (NLCD 2011)</w:t>
            </w:r>
          </w:p>
        </w:tc>
        <w:tc>
          <w:p>
            <w:pPr>
              <w:pStyle w:val="Compact"/>
              <w:jc w:val="left"/>
            </w:pPr>
            <w:r>
              <w:t xml:space="preserve">%</w:t>
            </w:r>
          </w:p>
        </w:tc>
      </w:tr>
      <w:tr>
        <w:tc>
          <w:p>
            <w:pPr>
              <w:pStyle w:val="Compact"/>
              <w:jc w:val="left"/>
            </w:pPr>
            <w:r>
              <w:t xml:space="preserve">RdDens</w:t>
            </w:r>
          </w:p>
        </w:tc>
        <w:tc>
          <w:p>
            <w:pPr>
              <w:pStyle w:val="Compact"/>
              <w:jc w:val="left"/>
            </w:pPr>
            <w:r>
              <w:t xml:space="preserve">Cat, Ws, Cat + Rp100, Ws + Rp100</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w:t>
            </w:r>
          </w:p>
        </w:tc>
        <w:tc>
          <w:p>
            <w:pPr>
              <w:pStyle w:val="Compact"/>
              <w:jc w:val="left"/>
            </w:pPr>
            <w:r>
              <w:t xml:space="preserve">Cat, Ws</w:t>
            </w:r>
          </w:p>
        </w:tc>
        <w:tc>
          <w:p>
            <w:pPr>
              <w:pStyle w:val="Compact"/>
              <w:jc w:val="left"/>
            </w:pPr>
            <w:r>
              <w:t xml:space="preserve">Density of roads-stream intersections (2010 Census Tiger Lines-NHD stream lines)</w:t>
            </w:r>
          </w:p>
        </w:tc>
        <w:tc>
          <w:p>
            <w:pPr>
              <w:pStyle w:val="Compact"/>
              <w:jc w:val="left"/>
            </w:pPr>
            <w:r>
              <w:t xml:space="preserve">crossings/sq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range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Lower bound of prediction range is below threshold, but median prediction is above</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Upper bound of prediction range is above threshold, but median prediction is below</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range is below threshold</w:t>
            </w:r>
          </w:p>
        </w:tc>
        <w:tc>
          <w:p>
            <w:pPr>
              <w:pStyle w:val="Compact"/>
              <w:jc w:val="left"/>
            </w:pPr>
            <w:r>
              <w:t xml:space="preserve">90th percentile &lt; 0.79</w:t>
            </w:r>
          </w:p>
        </w:tc>
      </w:tr>
    </w:tbl>
    <w:p>
      <w:pPr>
        <w:pStyle w:val="TableCaption"/>
      </w:pPr>
      <w:r>
        <w:t xml:space="preserve">Table 3 Performance of the landscape model by calibration (Cal) and validation (Val) datasets in predicting CSCI scores. The statewide dataset (Figure</w:t>
      </w:r>
      <w:r>
        <w:t xml:space="preserve"> </w:t>
      </w:r>
      <w:r>
        <w:t xml:space="preserve">4</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Style w:val="Table"/>
        <w:tblW w:type="pct" w:w="0.0"/>
        <w:tblLook w:firstRow="1"/>
        <w:tblCaption w:val="Table 3 Performance of the landscape model by calibration (Cal) and validation (Val)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0.04</w:t>
            </w:r>
          </w:p>
        </w:tc>
        <w:tc>
          <w:p>
            <w:pPr>
              <w:pStyle w:val="Compact"/>
              <w:jc w:val="left"/>
            </w:pPr>
            <w:r>
              <w:t xml:space="preserve">0.93</w:t>
            </w:r>
          </w:p>
        </w:tc>
      </w:tr>
      <w:tr>
        <w:tc>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0.03</w:t>
            </w:r>
          </w:p>
        </w:tc>
        <w:tc>
          <w:p>
            <w:pPr>
              <w:pStyle w:val="Compact"/>
              <w:jc w:val="left"/>
            </w:pPr>
            <w:r>
              <w:t xml:space="preserve">0.92</w:t>
            </w:r>
          </w:p>
        </w:tc>
      </w:tr>
      <w:tr>
        <w:tc>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0.05</w:t>
            </w:r>
          </w:p>
        </w:tc>
        <w:tc>
          <w:p>
            <w:pPr>
              <w:pStyle w:val="Compact"/>
              <w:jc w:val="left"/>
            </w:pPr>
            <w:r>
              <w:t xml:space="preserve">0.81</w:t>
            </w:r>
          </w:p>
        </w:tc>
      </w:tr>
      <w:tr>
        <w:tc>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0.15</w:t>
            </w:r>
          </w:p>
        </w:tc>
        <w:tc>
          <w:p>
            <w:pPr>
              <w:pStyle w:val="Compact"/>
              <w:jc w:val="left"/>
            </w:pPr>
            <w:r>
              <w:t xml:space="preserve">0.79</w:t>
            </w:r>
          </w:p>
        </w:tc>
      </w:tr>
      <w:tr>
        <w:tc>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0.12</w:t>
            </w:r>
          </w:p>
        </w:tc>
        <w:tc>
          <w:p>
            <w:pPr>
              <w:pStyle w:val="Compact"/>
              <w:jc w:val="left"/>
            </w:pPr>
            <w:r>
              <w:t xml:space="preserve">0.86</w:t>
            </w:r>
          </w:p>
        </w:tc>
      </w:tr>
      <w:tr>
        <w:tc>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0.11</w:t>
            </w:r>
          </w:p>
        </w:tc>
        <w:tc>
          <w:p>
            <w:pPr>
              <w:pStyle w:val="Compact"/>
              <w:jc w:val="left"/>
            </w:pPr>
            <w:r>
              <w:t xml:space="preserve">0.87</w:t>
            </w:r>
          </w:p>
        </w:tc>
      </w:tr>
      <w:tr>
        <w:tc>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0.12</w:t>
            </w:r>
          </w:p>
        </w:tc>
        <w:tc>
          <w:p>
            <w:pPr>
              <w:pStyle w:val="Compact"/>
              <w:jc w:val="left"/>
            </w:pPr>
            <w:r>
              <w:t xml:space="preserve">0.88</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0.07</w:t>
            </w:r>
          </w:p>
        </w:tc>
        <w:tc>
          <w:p>
            <w:pPr>
              <w:pStyle w:val="Compact"/>
              <w:jc w:val="left"/>
            </w:pPr>
            <w:r>
              <w:t xml:space="preserve">0.90</w:t>
            </w:r>
          </w:p>
        </w:tc>
      </w:tr>
      <w:tr>
        <w:tc>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-0.04</w:t>
            </w:r>
          </w:p>
        </w:tc>
        <w:tc>
          <w:p>
            <w:pPr>
              <w:pStyle w:val="Compact"/>
              <w:jc w:val="left"/>
            </w:pPr>
            <w:r>
              <w:t xml:space="preserve">0.98</w:t>
            </w:r>
          </w:p>
        </w:tc>
      </w:tr>
      <w:tr>
        <w:tc>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0.16</w:t>
            </w:r>
          </w:p>
        </w:tc>
        <w:tc>
          <w:p>
            <w:pPr>
              <w:pStyle w:val="Compact"/>
              <w:jc w:val="left"/>
            </w:pPr>
            <w:r>
              <w:t xml:space="preserve">0.60</w:t>
            </w:r>
          </w:p>
        </w:tc>
      </w:tr>
      <w:tr>
        <w:tc>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0.07</w:t>
            </w:r>
          </w:p>
        </w:tc>
        <w:tc>
          <w:p>
            <w:pPr>
              <w:pStyle w:val="Compact"/>
              <w:jc w:val="left"/>
            </w:pPr>
            <w:r>
              <w:t xml:space="preserve">0.83</w:t>
            </w:r>
          </w:p>
        </w:tc>
      </w:tr>
      <w:tr>
        <w:tc>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0.00</w:t>
            </w:r>
          </w:p>
        </w:tc>
        <w:tc>
          <w:p>
            <w:pPr>
              <w:pStyle w:val="Compact"/>
              <w:jc w:val="left"/>
            </w:pPr>
            <w:r>
              <w:t xml:space="preserve">0.98</w:t>
            </w:r>
          </w:p>
        </w:tc>
      </w:tr>
      <w:tr>
        <w:tc>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0.17</w:t>
            </w:r>
          </w:p>
        </w:tc>
        <w:tc>
          <w:p>
            <w:pPr>
              <w:pStyle w:val="Compact"/>
              <w:jc w:val="left"/>
            </w:pPr>
            <w:r>
              <w:t xml:space="preserve">0.81</w:t>
            </w:r>
          </w:p>
        </w:tc>
      </w:tr>
      <w:tr>
        <w:tc>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0.57</w:t>
            </w:r>
          </w:p>
        </w:tc>
        <w:tc>
          <w:p>
            <w:pPr>
              <w:pStyle w:val="Compact"/>
              <w:jc w:val="left"/>
            </w:pPr>
            <w:r>
              <w:t xml:space="preserve">0.41</w:t>
            </w:r>
          </w:p>
        </w:tc>
      </w:tr>
    </w:tbl>
    <w:p>
      <w:pPr>
        <w:pStyle w:val="BodyText"/>
      </w:pPr>
      <w:r>
        <w:rPr>
          <w:i/>
        </w:rPr>
        <w:t xml:space="preserve">Table</w:t>
      </w:r>
      <w:r>
        <w:rPr>
          <w:i/>
        </w:rPr>
        <w:t xml:space="preserve"> </w:t>
      </w:r>
      <w:r>
        <w:rPr>
          <w:i/>
        </w:rPr>
        <w:t xml:space="preserve">4</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461"/>
        <w:gridCol w:w="1594"/>
        <w:gridCol w:w="1727"/>
        <w:gridCol w:w="1594"/>
      </w:tblGrid>
      <w:tr>
        <w:trPr>
          <w:cantSplit/>
          <w:trHeight w:val="290"/>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constrained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unconstrained</w:t>
            </w:r>
          </w:p>
        </w:tc>
      </w:tr>
      <w:tr>
        <w:trPr>
          <w:cantSplit/>
          <w:trHeight w:val="47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8150 (4)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24735 (11)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101591 (46)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85317 (39)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3356 (22)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8010 (52)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3202 (21)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951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1642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7840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30693 (50)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21206 (35)</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255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3395 (6)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27194 (47)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26479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1442 (5)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14152 (49)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13286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1067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18228 (48)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19032 (50)</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2770 (15)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2981 (16)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8122 (45)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4363 (24)</w:t>
            </w:r>
          </w:p>
        </w:tc>
      </w:tr>
    </w:tbl>
    <w:p>
      <w:pPr>
        <w:pStyle w:val="BodyText"/>
      </w:pPr>
      <w:r>
        <w:rPr>
          <w:i/>
        </w:rPr>
        <w:t xml:space="preserve">Table</w:t>
      </w:r>
      <w:r>
        <w:rPr>
          <w:i/>
        </w:rPr>
        <w:t xml:space="preserve"> </w:t>
      </w:r>
      <w:r>
        <w:rPr>
          <w:i/>
        </w:rPr>
        <w:t xml:space="preserve">5</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585"/>
        <w:gridCol w:w="1328"/>
        <w:gridCol w:w="1585"/>
        <w:gridCol w:w="1461"/>
        <w:gridCol w:w="1585"/>
        <w:gridCol w:w="1194"/>
      </w:tblGrid>
      <w:tr>
        <w:trPr>
          <w:cantSplit/>
          <w:trHeight w:val="329"/>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under-scoring</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expected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over-scoring</w:t>
            </w:r>
          </w:p>
        </w:tc>
      </w:tr>
      <w:tr>
        <w:trPr>
          <w:cantSplit/>
          <w:trHeight w:val="48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267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0.83 (0.23)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2041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242 (9)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 (0.18)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0.79 (0.24)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45 (7)</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 (0.12)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 (17)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118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0.63 (0.25)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 (1)</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 (14)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0.93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228 (82)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 (8)</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 (7)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0.78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656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1.02 (0.2)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97 (12)</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0.67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0.99 (0.11)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 (77)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1.16 (0.06)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69 (13)</w:t>
            </w:r>
          </w:p>
        </w:tc>
      </w:tr>
    </w:tbl>
    <w:p>
      <w:pPr>
        <w:pStyle w:val="Heading1"/>
      </w:pPr>
      <w:bookmarkStart w:id="55" w:name="references"/>
      <w:r>
        <w:t xml:space="preserve">References</w:t>
      </w:r>
      <w:bookmarkEnd w:id="55"/>
    </w:p>
    <w:bookmarkStart w:id="185" w:name="refs"/>
    <w:bookmarkStart w:id="57"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 149–61.</w:t>
      </w:r>
      <w:r>
        <w:t xml:space="preserve"> </w:t>
      </w:r>
      <w:hyperlink r:id="rId56">
        <w:r>
          <w:rPr>
            <w:rStyle w:val="Hyperlink"/>
          </w:rPr>
          <w:t xml:space="preserve">https://doi.org/10.1046/j.1365-2427.1997.d01-546.x</w:t>
        </w:r>
      </w:hyperlink>
      <w:r>
        <w:t xml:space="preserve">.</w:t>
      </w:r>
    </w:p>
    <w:bookmarkEnd w:id="57"/>
    <w:bookmarkStart w:id="59" w:name="ref-Bailey07"/>
    <w:p>
      <w:pPr>
        <w:pStyle w:val="Bibliography"/>
      </w:pPr>
      <w:r>
        <w:t xml:space="preserve">Bailey, R. C., T. B. Reynoldson, A. G. Yates, J. Bailey, and S. Linke. 2007. “Integrating Stream Bioassessment and Landscape Ecology as a Tool for Land Use Planning.”</w:t>
      </w:r>
      <w:r>
        <w:t xml:space="preserve"> </w:t>
      </w:r>
      <w:r>
        <w:rPr>
          <w:i/>
        </w:rPr>
        <w:t xml:space="preserve">Freshwater Biology</w:t>
      </w:r>
      <w:r>
        <w:t xml:space="preserve"> </w:t>
      </w:r>
      <w:r>
        <w:t xml:space="preserve">52 (5): 908–17.</w:t>
      </w:r>
      <w:r>
        <w:t xml:space="preserve"> </w:t>
      </w:r>
      <w:hyperlink r:id="rId58">
        <w:r>
          <w:rPr>
            <w:rStyle w:val="Hyperlink"/>
          </w:rPr>
          <w:t xml:space="preserve">https://doi.org/10.1111/j.1365-2427.2006.01685.x</w:t>
        </w:r>
      </w:hyperlink>
      <w:r>
        <w:t xml:space="preserve">.</w:t>
      </w:r>
    </w:p>
    <w:bookmarkEnd w:id="59"/>
    <w:bookmarkStart w:id="60" w:name="ref-Beck18d"/>
    <w:p>
      <w:pPr>
        <w:pStyle w:val="Bibliography"/>
      </w:pPr>
      <w:r>
        <w:t xml:space="preserve">Beck, M. W. 2018a. “Constrained streams for biological integrity in California. Knowledge Network for Biocomplexity. urn:uuid:75411f50-32ed-42a5-bbfd-26833c7a441f.”</w:t>
      </w:r>
    </w:p>
    <w:bookmarkEnd w:id="60"/>
    <w:bookmarkStart w:id="62" w:name="ref-Beck18c"/>
    <w:p>
      <w:pPr>
        <w:pStyle w:val="Bibliography"/>
      </w:pPr>
      <w:r>
        <w:t xml:space="preserve">———. 2018b. “SCCWRP/SCAPE: v1.0 (Version 1.0). Zenodo,</w:t>
      </w:r>
      <w:r>
        <w:t xml:space="preserve"> </w:t>
      </w:r>
      <w:hyperlink r:id="rId61">
        <w:r>
          <w:rPr>
            <w:rStyle w:val="Hyperlink"/>
          </w:rPr>
          <w:t xml:space="preserve">http://doi.org/10.5281/zenodo.1218121</w:t>
        </w:r>
      </w:hyperlink>
      <w:r>
        <w:t xml:space="preserve">.”</w:t>
      </w:r>
    </w:p>
    <w:bookmarkEnd w:id="62"/>
    <w:bookmarkStart w:id="64" w:name="ref-Beechi07"/>
    <w:p>
      <w:pPr>
        <w:pStyle w:val="Bibliography"/>
      </w:pPr>
      <w:r>
        <w:t xml:space="preserve">Beechie, T., G. Pess, P. Roni, and G. Giannico. 2007. “Setting River Restoration Priorities: A Review of Approaches and General Protocol for Identifying and Prioritizing Actions.”</w:t>
      </w:r>
      <w:r>
        <w:t xml:space="preserve"> </w:t>
      </w:r>
      <w:r>
        <w:rPr>
          <w:i/>
        </w:rPr>
        <w:t xml:space="preserve">North American Journal of Fisheries Management</w:t>
      </w:r>
      <w:r>
        <w:t xml:space="preserve"> </w:t>
      </w:r>
      <w:r>
        <w:t xml:space="preserve">28 (3): 891–905.</w:t>
      </w:r>
      <w:r>
        <w:t xml:space="preserve"> </w:t>
      </w:r>
      <w:hyperlink r:id="rId63">
        <w:r>
          <w:rPr>
            <w:rStyle w:val="Hyperlink"/>
          </w:rPr>
          <w:t xml:space="preserve">https://doi.org/10.1577/M06-174.1</w:t>
        </w:r>
      </w:hyperlink>
      <w:r>
        <w:t xml:space="preserve">.</w:t>
      </w:r>
    </w:p>
    <w:bookmarkEnd w:id="64"/>
    <w:bookmarkStart w:id="66" w:name="ref-Bernhardt07"/>
    <w:p>
      <w:pPr>
        <w:pStyle w:val="Bibliography"/>
      </w:pPr>
      <w:r>
        <w:t xml:space="preserve">Bernhardt, E. S., E. B. Sudduth, M. A. Palmer, J. D. Allan, J. L. Meyer, G. Alexander, J. Follastad-Shah, et al. 2007. “Restoring Rivers One Reach at a Time: Results from a Survey of U.S. River Restoration Practitioners.”</w:t>
      </w:r>
      <w:r>
        <w:t xml:space="preserve"> </w:t>
      </w:r>
      <w:r>
        <w:rPr>
          <w:i/>
        </w:rPr>
        <w:t xml:space="preserve">Restoration Ecology</w:t>
      </w:r>
      <w:r>
        <w:t xml:space="preserve"> </w:t>
      </w:r>
      <w:r>
        <w:t xml:space="preserve">15 (3): 482–93.</w:t>
      </w:r>
      <w:r>
        <w:t xml:space="preserve"> </w:t>
      </w:r>
      <w:hyperlink r:id="rId65">
        <w:r>
          <w:rPr>
            <w:rStyle w:val="Hyperlink"/>
          </w:rPr>
          <w:t xml:space="preserve">https://doi.org/10.1111/j.1526-100X.2007.00244.x</w:t>
        </w:r>
      </w:hyperlink>
      <w:r>
        <w:t xml:space="preserve">.</w:t>
      </w:r>
    </w:p>
    <w:bookmarkEnd w:id="66"/>
    <w:bookmarkStart w:id="68" w:name="ref-SDWB16"/>
    <w:p>
      <w:pPr>
        <w:pStyle w:val="Bibliography"/>
      </w:pPr>
      <w:r>
        <w:t xml:space="preserve">Board, San Diego Regional Water Quality Control. 2016. “Clean Water Act Sections 305(B) and 303(D) Integrated Report for the San Diego Region.” Sacramento, California: California Environmental Protection Agency.</w:t>
      </w:r>
      <w:r>
        <w:t xml:space="preserve"> </w:t>
      </w:r>
      <w:hyperlink r:id="rId67">
        <w:r>
          <w:rPr>
            <w:rStyle w:val="Hyperlink"/>
          </w:rPr>
          <w:t xml:space="preserve">https://www.waterboards.ca.gov/sandiego/water_issues/programs/303d_list/docs/Staff_Report_101216.pdf</w:t>
        </w:r>
      </w:hyperlink>
      <w:r>
        <w:t xml:space="preserve">.</w:t>
      </w:r>
    </w:p>
    <w:bookmarkEnd w:id="68"/>
    <w:bookmarkStart w:id="69" w:name="ref-Breiman01"/>
    <w:p>
      <w:pPr>
        <w:pStyle w:val="Bibliography"/>
      </w:pPr>
      <w:r>
        <w:t xml:space="preserve">Breiman, L. 2001. “Random Forests.”</w:t>
      </w:r>
      <w:r>
        <w:t xml:space="preserve"> </w:t>
      </w:r>
      <w:r>
        <w:rPr>
          <w:i/>
        </w:rPr>
        <w:t xml:space="preserve">Machine Learning</w:t>
      </w:r>
      <w:r>
        <w:t xml:space="preserve"> </w:t>
      </w:r>
      <w:r>
        <w:t xml:space="preserve">45: 5–32.</w:t>
      </w:r>
    </w:p>
    <w:bookmarkEnd w:id="69"/>
    <w:bookmarkStart w:id="71" w:name="ref-Brody03"/>
    <w:p>
      <w:pPr>
        <w:pStyle w:val="Bibliography"/>
      </w:pPr>
      <w:r>
        <w:t xml:space="preserve">Brody, S. D. 2003. “Measuring the Effects of Stakeholder Participation on the Quality of Local Plans Based on the Principles of Collaborative Ecosystem Management.”</w:t>
      </w:r>
      <w:r>
        <w:t xml:space="preserve"> </w:t>
      </w:r>
      <w:r>
        <w:rPr>
          <w:i/>
        </w:rPr>
        <w:t xml:space="preserve">Journal of Planning Education and Research</w:t>
      </w:r>
      <w:r>
        <w:t xml:space="preserve"> </w:t>
      </w:r>
      <w:r>
        <w:t xml:space="preserve">22 (4): 407–19.</w:t>
      </w:r>
      <w:r>
        <w:t xml:space="preserve"> </w:t>
      </w:r>
      <w:hyperlink r:id="rId70">
        <w:r>
          <w:rPr>
            <w:rStyle w:val="Hyperlink"/>
          </w:rPr>
          <w:t xml:space="preserve">https://doi.org/10.1177/0739456X03022004007</w:t>
        </w:r>
      </w:hyperlink>
      <w:r>
        <w:t xml:space="preserve">.</w:t>
      </w:r>
    </w:p>
    <w:bookmarkEnd w:id="71"/>
    <w:bookmarkStart w:id="73" w:name="ref-Brown09"/>
    <w:p>
      <w:pPr>
        <w:pStyle w:val="Bibliography"/>
      </w:pPr>
      <w:r>
        <w:t xml:space="preserve">Brown, L. R., T. F. Cuffney, J. F. Coles, F. Fitzpatrick, G. McMahon, J. Steuer, A. H. Bell, and J. T. May. 2009. “Urban Streams Across the USA: Lessons Learned from Studies in Nine Metropolitan Areas.”</w:t>
      </w:r>
      <w:r>
        <w:t xml:space="preserve"> </w:t>
      </w:r>
      <w:r>
        <w:rPr>
          <w:i/>
        </w:rPr>
        <w:t xml:space="preserve">Journal of the North American Benthological Society</w:t>
      </w:r>
      <w:r>
        <w:t xml:space="preserve"> </w:t>
      </w:r>
      <w:r>
        <w:t xml:space="preserve">28 (4): 1051–69.</w:t>
      </w:r>
      <w:r>
        <w:t xml:space="preserve"> </w:t>
      </w:r>
      <w:hyperlink r:id="rId72">
        <w:r>
          <w:rPr>
            <w:rStyle w:val="Hyperlink"/>
          </w:rPr>
          <w:t xml:space="preserve">https://doi.org/10.1899/08-153.1</w:t>
        </w:r>
      </w:hyperlink>
      <w:r>
        <w:t xml:space="preserve">.</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 17–27.</w:t>
      </w:r>
      <w:r>
        <w:t xml:space="preserve"> </w:t>
      </w:r>
      <w:hyperlink r:id="rId74">
        <w:r>
          <w:rPr>
            <w:rStyle w:val="Hyperlink"/>
          </w:rPr>
          <w:t xml:space="preserve">https://doi.org/10.1016/j.landurbplan.2012.07.009</w:t>
        </w:r>
      </w:hyperlink>
      <w:r>
        <w:t xml:space="preserve">.</w:t>
      </w:r>
    </w:p>
    <w:bookmarkEnd w:id="75"/>
    <w:bookmarkStart w:id="77"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 4132.</w:t>
      </w:r>
      <w:r>
        <w:t xml:space="preserve"> </w:t>
      </w:r>
      <w:hyperlink r:id="rId76">
        <w:r>
          <w:rPr>
            <w:rStyle w:val="Hyperlink"/>
          </w:rPr>
          <w:t xml:space="preserve">https://doi.org/10.1007/s10661-014-4132-8</w:t>
        </w:r>
      </w:hyperlink>
      <w:r>
        <w:t xml:space="preserve">.</w:t>
      </w:r>
    </w:p>
    <w:bookmarkEnd w:id="77"/>
    <w:bookmarkStart w:id="78"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bookmarkEnd w:id="78"/>
    <w:bookmarkStart w:id="80"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 566–85.</w:t>
      </w:r>
      <w:r>
        <w:t xml:space="preserve"> </w:t>
      </w:r>
      <w:hyperlink r:id="rId79">
        <w:r>
          <w:rPr>
            <w:rStyle w:val="Hyperlink"/>
          </w:rPr>
          <w:t xml:space="preserve">https://doi.org/10.1899/06-078.1</w:t>
        </w:r>
      </w:hyperlink>
      <w:r>
        <w:t xml:space="preserve">.</w:t>
      </w:r>
    </w:p>
    <w:bookmarkEnd w:id="80"/>
    <w:bookmarkStart w:id="82"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 731–42.</w:t>
      </w:r>
      <w:r>
        <w:t xml:space="preserve"> </w:t>
      </w:r>
      <w:hyperlink r:id="rId81">
        <w:r>
          <w:rPr>
            <w:rStyle w:val="Hyperlink"/>
          </w:rPr>
          <w:t xml:space="preserve">https://doi.org/10.1111/j.1526-100X.2007.00285.x</w:t>
        </w:r>
      </w:hyperlink>
      <w:r>
        <w:t xml:space="preserve">.</w:t>
      </w:r>
    </w:p>
    <w:bookmarkEnd w:id="82"/>
    <w:bookmarkStart w:id="84"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w:t>
      </w:r>
      <w:r>
        <w:t xml:space="preserve"> </w:t>
      </w:r>
      <w:hyperlink r:id="rId83">
        <w:r>
          <w:rPr>
            <w:rStyle w:val="Hyperlink"/>
          </w:rPr>
          <w:t xml:space="preserve">https://doi.org/10.1007/s10661-008-0256-z</w:t>
        </w:r>
      </w:hyperlink>
      <w:r>
        <w:t xml:space="preserve">.</w:t>
      </w:r>
    </w:p>
    <w:bookmarkEnd w:id="84"/>
    <w:bookmarkStart w:id="86"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w:t>
      </w:r>
      <w:r>
        <w:t xml:space="preserve"> </w:t>
      </w:r>
      <w:hyperlink r:id="rId85">
        <w:r>
          <w:rPr>
            <w:rStyle w:val="Hyperlink"/>
          </w:rPr>
          <w:t xml:space="preserve">https://doi.org/10.1016/j.ecolind.2013.07.006</w:t>
        </w:r>
      </w:hyperlink>
      <w:r>
        <w:t xml:space="preserve">.</w:t>
      </w:r>
    </w:p>
    <w:bookmarkEnd w:id="86"/>
    <w:bookmarkStart w:id="88"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 1261–71.</w:t>
      </w:r>
      <w:r>
        <w:t xml:space="preserve"> </w:t>
      </w:r>
      <w:hyperlink r:id="rId87">
        <w:r>
          <w:rPr>
            <w:rStyle w:val="Hyperlink"/>
          </w:rPr>
          <w:t xml:space="preserve">https://doi.org/10.1086/678701</w:t>
        </w:r>
      </w:hyperlink>
      <w:r>
        <w:t xml:space="preserve">.</w:t>
      </w:r>
    </w:p>
    <w:bookmarkEnd w:id="88"/>
    <w:bookmarkStart w:id="90"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 103–17.</w:t>
      </w:r>
      <w:r>
        <w:t xml:space="preserve"> </w:t>
      </w:r>
      <w:hyperlink r:id="rId89">
        <w:r>
          <w:rPr>
            <w:rStyle w:val="Hyperlink"/>
          </w:rPr>
          <w:t xml:space="preserve">https://doi.org/10.1002/rra.1053</w:t>
        </w:r>
      </w:hyperlink>
      <w:r>
        <w:t xml:space="preserve">.</w:t>
      </w:r>
    </w:p>
    <w:bookmarkEnd w:id="90"/>
    <w:bookmarkStart w:id="92"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 599–615.</w:t>
      </w:r>
      <w:r>
        <w:t xml:space="preserve"> </w:t>
      </w:r>
      <w:hyperlink r:id="rId91">
        <w:r>
          <w:rPr>
            <w:rStyle w:val="Hyperlink"/>
          </w:rPr>
          <w:t xml:space="preserve">https://doi.org/10.1899/0887-3593(2004)023%3C0599:BWRSUO%3E2.0.CO;2</w:t>
        </w:r>
      </w:hyperlink>
      <w:r>
        <w:t xml:space="preserve">.</w:t>
      </w:r>
    </w:p>
    <w:bookmarkEnd w:id="92"/>
    <w:bookmarkStart w:id="94"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 74–90.</w:t>
      </w:r>
      <w:r>
        <w:t xml:space="preserve"> </w:t>
      </w:r>
      <w:hyperlink r:id="rId93">
        <w:r>
          <w:rPr>
            <w:rStyle w:val="Hyperlink"/>
          </w:rPr>
          <w:t xml:space="preserve">https://doi.org/10.1111/j.1365-2427.2011.02696.x</w:t>
        </w:r>
      </w:hyperlink>
      <w:r>
        <w:t xml:space="preserve">.</w:t>
      </w:r>
    </w:p>
    <w:bookmarkEnd w:id="94"/>
    <w:bookmarkStart w:id="96" w:name="ref-Cuffney11"/>
    <w:p>
      <w:pPr>
        <w:pStyle w:val="Bibliography"/>
      </w:pPr>
      <w:r>
        <w:t xml:space="preserve">Cuffney, T. F., S. S. Qian, R. A. Brightbill, J. T. May, and I. R. Waite. 2011. “Response to King and Baker: Limitations on Threshold Detection and Characterization of Community Thresholds.”</w:t>
      </w:r>
      <w:r>
        <w:t xml:space="preserve"> </w:t>
      </w:r>
      <w:r>
        <w:rPr>
          <w:i/>
        </w:rPr>
        <w:t xml:space="preserve">Ecological Applications</w:t>
      </w:r>
      <w:r>
        <w:t xml:space="preserve"> </w:t>
      </w:r>
      <w:r>
        <w:t xml:space="preserve">21 (7): 2840–5.</w:t>
      </w:r>
      <w:r>
        <w:t xml:space="preserve"> </w:t>
      </w:r>
      <w:hyperlink r:id="rId95">
        <w:r>
          <w:rPr>
            <w:rStyle w:val="Hyperlink"/>
          </w:rPr>
          <w:t xml:space="preserve">https://doi.org/10.2307/41416699</w:t>
        </w:r>
      </w:hyperlink>
      <w:r>
        <w:t xml:space="preserve">.</w:t>
      </w:r>
    </w:p>
    <w:bookmarkEnd w:id="96"/>
    <w:bookmarkStart w:id="97"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 1251–66.</w:t>
      </w:r>
    </w:p>
    <w:bookmarkEnd w:id="97"/>
    <w:bookmarkStart w:id="99" w:name="ref-Domi15"/>
    <w:p>
      <w:pPr>
        <w:pStyle w:val="Bibliography"/>
      </w:pPr>
      <w:r>
        <w:t xml:space="preserve">Domisch, S., G. Amatulli, and W. Jetz. 2015. “Near-Global Freshwater-Specific Environmental Variables for Biodiversity Analyses in 1 Km Resolution.”</w:t>
      </w:r>
      <w:r>
        <w:t xml:space="preserve"> </w:t>
      </w:r>
      <w:r>
        <w:rPr>
          <w:i/>
        </w:rPr>
        <w:t xml:space="preserve">Scientific Data</w:t>
      </w:r>
      <w:r>
        <w:t xml:space="preserve"> </w:t>
      </w:r>
      <w:r>
        <w:t xml:space="preserve">2: 150073.</w:t>
      </w:r>
      <w:r>
        <w:t xml:space="preserve"> </w:t>
      </w:r>
      <w:hyperlink r:id="rId98">
        <w:r>
          <w:rPr>
            <w:rStyle w:val="Hyperlink"/>
          </w:rPr>
          <w:t xml:space="preserve">https://doi.org/10.1038/sdata.2015.73</w:t>
        </w:r>
      </w:hyperlink>
      <w:r>
        <w:t xml:space="preserve">.</w:t>
      </w:r>
    </w:p>
    <w:bookmarkEnd w:id="99"/>
    <w:bookmarkStart w:id="100" w:name="ref-ESRI16"/>
    <w:p>
      <w:pPr>
        <w:pStyle w:val="Bibliography"/>
      </w:pPr>
      <w:r>
        <w:t xml:space="preserve">ESRI (Environmental Systems Research Institute). 2016. “ArcGIS v10.5.”</w:t>
      </w:r>
    </w:p>
    <w:bookmarkEnd w:id="100"/>
    <w:bookmarkStart w:id="102"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 1149–60.</w:t>
      </w:r>
      <w:r>
        <w:t xml:space="preserve"> </w:t>
      </w:r>
      <w:hyperlink r:id="rId101">
        <w:r>
          <w:rPr>
            <w:rStyle w:val="Hyperlink"/>
          </w:rPr>
          <w:t xml:space="preserve">https://doi.org/10.1111/j.1752-1688.2000.tb05717.x</w:t>
        </w:r>
      </w:hyperlink>
      <w:r>
        <w:t xml:space="preserve">.</w:t>
      </w:r>
    </w:p>
    <w:bookmarkEnd w:id="102"/>
    <w:bookmarkStart w:id="103"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103"/>
    <w:bookmarkStart w:id="105"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 316.</w:t>
      </w:r>
      <w:r>
        <w:t xml:space="preserve"> </w:t>
      </w:r>
      <w:hyperlink r:id="rId104">
        <w:r>
          <w:rPr>
            <w:rStyle w:val="Hyperlink"/>
          </w:rPr>
          <w:t xml:space="preserve">https://doi.org/10.1007/s10661-017-6025-0</w:t>
        </w:r>
      </w:hyperlink>
      <w:r>
        <w:t xml:space="preserve">.</w:t>
      </w:r>
    </w:p>
    <w:bookmarkEnd w:id="105"/>
    <w:bookmarkStart w:id="106"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 858–64.</w:t>
      </w:r>
    </w:p>
    <w:bookmarkEnd w:id="106"/>
    <w:bookmarkStart w:id="107"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7"/>
    <w:bookmarkStart w:id="109"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 2397–2415.</w:t>
      </w:r>
      <w:r>
        <w:t xml:space="preserve"> </w:t>
      </w:r>
      <w:hyperlink r:id="rId108">
        <w:r>
          <w:rPr>
            <w:rStyle w:val="Hyperlink"/>
          </w:rPr>
          <w:t xml:space="preserve">https://doi.org/10.1002/eap.1617</w:t>
        </w:r>
      </w:hyperlink>
      <w:r>
        <w:t xml:space="preserve">.</w:t>
      </w:r>
    </w:p>
    <w:bookmarkEnd w:id="109"/>
    <w:bookmarkStart w:id="111"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Association</w:t>
      </w:r>
      <w:r>
        <w:t xml:space="preserve"> </w:t>
      </w:r>
      <w:r>
        <w:t xml:space="preserve">52: 120–28.</w:t>
      </w:r>
      <w:r>
        <w:t xml:space="preserve"> </w:t>
      </w:r>
      <w:hyperlink r:id="rId110">
        <w:r>
          <w:rPr>
            <w:rStyle w:val="Hyperlink"/>
          </w:rPr>
          <w:t xml:space="preserve">https://doi.org/10.1111/1752-1688.12372</w:t>
        </w:r>
      </w:hyperlink>
      <w:r>
        <w:t xml:space="preserve">.</w:t>
      </w:r>
    </w:p>
    <w:bookmarkEnd w:id="111"/>
    <w:bookmarkStart w:id="11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 417–31.</w:t>
      </w:r>
      <w:r>
        <w:t xml:space="preserve"> </w:t>
      </w:r>
      <w:hyperlink r:id="rId112">
        <w:r>
          <w:rPr>
            <w:rStyle w:val="Hyperlink"/>
          </w:rPr>
          <w:t xml:space="preserve">https://doi.org/10.1086/697996</w:t>
        </w:r>
      </w:hyperlink>
      <w:r>
        <w:t xml:space="preserve">.</w:t>
      </w:r>
    </w:p>
    <w:bookmarkEnd w:id="113"/>
    <w:bookmarkStart w:id="115" w:name="ref-Hynes75"/>
    <w:p>
      <w:pPr>
        <w:pStyle w:val="Bibliography"/>
      </w:pPr>
      <w:r>
        <w:t xml:space="preserve">Hynes, H. B. N. 1975. “The Stream and Its Valley.”</w:t>
      </w:r>
      <w:r>
        <w:t xml:space="preserve"> </w:t>
      </w:r>
      <w:r>
        <w:rPr>
          <w:i/>
        </w:rPr>
        <w:t xml:space="preserve">SIL Proceedings, 1922-2010</w:t>
      </w:r>
      <w:r>
        <w:t xml:space="preserve"> </w:t>
      </w:r>
      <w:r>
        <w:t xml:space="preserve">19 (1): 1–15.</w:t>
      </w:r>
      <w:r>
        <w:t xml:space="preserve"> </w:t>
      </w:r>
      <w:hyperlink r:id="rId114">
        <w:r>
          <w:rPr>
            <w:rStyle w:val="Hyperlink"/>
          </w:rPr>
          <w:t xml:space="preserve">https://doi.org/10.1080/03680770.1974.11896033</w:t>
        </w:r>
      </w:hyperlink>
      <w:r>
        <w:t xml:space="preserve">.</w:t>
      </w:r>
    </w:p>
    <w:bookmarkEnd w:id="115"/>
    <w:bookmarkStart w:id="117" w:name="ref-Johnson97"/>
    <w:p>
      <w:pPr>
        <w:pStyle w:val="Bibliography"/>
      </w:pPr>
      <w:r>
        <w:t xml:space="preserve">Johnson, L., C. Richards, G. Host, and J. Arthur. 1997. “Landscape Influences on Water Chemistry in Midwestern Stream Ecosystems.”</w:t>
      </w:r>
      <w:r>
        <w:t xml:space="preserve"> </w:t>
      </w:r>
      <w:r>
        <w:rPr>
          <w:i/>
        </w:rPr>
        <w:t xml:space="preserve">Freshwater Biology</w:t>
      </w:r>
      <w:r>
        <w:t xml:space="preserve"> </w:t>
      </w:r>
      <w:r>
        <w:t xml:space="preserve">37 (1): 193–208.</w:t>
      </w:r>
      <w:r>
        <w:t xml:space="preserve"> </w:t>
      </w:r>
      <w:hyperlink r:id="rId116">
        <w:r>
          <w:rPr>
            <w:rStyle w:val="Hyperlink"/>
          </w:rPr>
          <w:t xml:space="preserve">https://doi.org/10.1046/j.1365-2427.1997.d01-539.x</w:t>
        </w:r>
      </w:hyperlink>
      <w:r>
        <w:t xml:space="preserve">.</w:t>
      </w:r>
    </w:p>
    <w:bookmarkEnd w:id="117"/>
    <w:bookmarkStart w:id="118"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8"/>
    <w:bookmarkStart w:id="120"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w:t>
      </w:r>
      <w:r>
        <w:t xml:space="preserve"> </w:t>
      </w:r>
      <w:hyperlink r:id="rId119">
        <w:r>
          <w:rPr>
            <w:rStyle w:val="Hyperlink"/>
          </w:rPr>
          <w:t xml:space="preserve">https://doi.org/10.1111/j.1752-1688.2011.00635.x</w:t>
        </w:r>
      </w:hyperlink>
      <w:r>
        <w:t xml:space="preserve">.</w:t>
      </w:r>
    </w:p>
    <w:bookmarkEnd w:id="120"/>
    <w:bookmarkStart w:id="121" w:name="ref-Koenker99"/>
    <w:p>
      <w:pPr>
        <w:pStyle w:val="Bibliography"/>
      </w:pPr>
      <w:r>
        <w:t xml:space="preserve">Koenker, R., and J. A. F. Machado. 1999. “Goodness of Fit and Related Inference Processes for Quantile Regression.”</w:t>
      </w:r>
      <w:r>
        <w:t xml:space="preserve"> </w:t>
      </w:r>
      <w:r>
        <w:rPr>
          <w:i/>
        </w:rPr>
        <w:t xml:space="preserve">Journal of the American Statistical Association</w:t>
      </w:r>
      <w:r>
        <w:t xml:space="preserve"> </w:t>
      </w:r>
      <w:r>
        <w:t xml:space="preserve">94 (448): 1296–1310.</w:t>
      </w:r>
    </w:p>
    <w:bookmarkEnd w:id="121"/>
    <w:bookmarkStart w:id="123"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 310–26.</w:t>
      </w:r>
      <w:r>
        <w:t xml:space="preserve"> </w:t>
      </w:r>
      <w:hyperlink r:id="rId122">
        <w:r>
          <w:rPr>
            <w:rStyle w:val="Hyperlink"/>
          </w:rPr>
          <w:t xml:space="preserve">https://doi.org/10.1007%2Fs00267-008-9151-1</w:t>
        </w:r>
      </w:hyperlink>
      <w:r>
        <w:t xml:space="preserve">.</w:t>
      </w:r>
    </w:p>
    <w:bookmarkEnd w:id="123"/>
    <w:bookmarkStart w:id="125"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w:t>
      </w:r>
      <w:r>
        <w:t xml:space="preserve"> </w:t>
      </w:r>
      <w:r>
        <w:rPr>
          <w:i/>
        </w:rPr>
        <w:t xml:space="preserve">Ecological Restoration</w:t>
      </w:r>
      <w:r>
        <w:t xml:space="preserve"> </w:t>
      </w:r>
      <w:r>
        <w:t xml:space="preserve">34 (2): 124–34.</w:t>
      </w:r>
      <w:r>
        <w:t xml:space="preserve"> </w:t>
      </w:r>
      <w:hyperlink r:id="rId124">
        <w:r>
          <w:rPr>
            <w:rStyle w:val="Hyperlink"/>
          </w:rPr>
          <w:t xml:space="preserve">https://doi.org/10.3368/er.34.2.124</w:t>
        </w:r>
      </w:hyperlink>
      <w:r>
        <w:t xml:space="preserve">.</w:t>
      </w:r>
    </w:p>
    <w:bookmarkEnd w:id="125"/>
    <w:bookmarkStart w:id="126" w:name="ref-Mazor15"/>
    <w:p>
      <w:pPr>
        <w:pStyle w:val="Bibliography"/>
      </w:pPr>
      <w:r>
        <w:t xml:space="preserve">Mazor, R. D. 2015. “Bioassessment of Perennial Streams in Southern California: A Report on the First Five Years of the Stormwater Monitoring Coalition’s Regional Stream Survey.” 844. Costa Mesa, California: Southern California Coastal Water Research Project.</w:t>
      </w:r>
    </w:p>
    <w:bookmarkEnd w:id="126"/>
    <w:bookmarkStart w:id="127" w:name="ref-Mazor18"/>
    <w:p>
      <w:pPr>
        <w:pStyle w:val="Bibliography"/>
      </w:pPr>
      <w:r>
        <w:t xml:space="preserve">Mazor, R. D., M. W. Beck, and J. Brown. 2018. “2017 Report on the SMC Regional Stream Survey.” 1029. Costa Mesa, California: Southern California Coastal Water Research Project.</w:t>
      </w:r>
    </w:p>
    <w:bookmarkEnd w:id="127"/>
    <w:bookmarkStart w:id="12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bookmarkEnd w:id="128"/>
    <w:bookmarkStart w:id="130"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 459–74.</w:t>
      </w:r>
      <w:r>
        <w:t xml:space="preserve"> </w:t>
      </w:r>
      <w:hyperlink r:id="rId129">
        <w:r>
          <w:rPr>
            <w:rStyle w:val="Hyperlink"/>
          </w:rPr>
          <w:t xml:space="preserve">https://doi.org/10.1086/675683</w:t>
        </w:r>
      </w:hyperlink>
      <w:r>
        <w:t xml:space="preserve">.</w:t>
      </w:r>
    </w:p>
    <w:bookmarkEnd w:id="130"/>
    <w:bookmarkStart w:id="131" w:name="ref-McKay12"/>
    <w:p>
      <w:pPr>
        <w:pStyle w:val="Bibliography"/>
      </w:pPr>
      <w:r>
        <w:t xml:space="preserve">McKay, L., T. Bondelid, T. Dewald, J. Johnston, R. Moore, and A. Reah. 2012. “NHDPlus Version 2: User Guide.”</w:t>
      </w:r>
    </w:p>
    <w:bookmarkEnd w:id="131"/>
    <w:bookmarkStart w:id="132"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bookmarkEnd w:id="132"/>
    <w:bookmarkStart w:id="134"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33">
        <w:r>
          <w:rPr>
            <w:rStyle w:val="Hyperlink"/>
          </w:rPr>
          <w:t xml:space="preserve">https://CRAN.R-project.org/package=quantregForest</w:t>
        </w:r>
      </w:hyperlink>
      <w:r>
        <w:t xml:space="preserve">.</w:t>
      </w:r>
    </w:p>
    <w:bookmarkEnd w:id="134"/>
    <w:bookmarkStart w:id="135" w:name="ref-MBI16"/>
    <w:p>
      <w:pPr>
        <w:pStyle w:val="Bibliography"/>
      </w:pPr>
      <w:r>
        <w:t xml:space="preserve">Midwest Biodiversity Institute.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35"/>
    <w:bookmarkStart w:id="136"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 643–55.</w:t>
      </w:r>
    </w:p>
    <w:bookmarkEnd w:id="136"/>
    <w:bookmarkStart w:id="138"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 41–52.</w:t>
      </w:r>
      <w:r>
        <w:t xml:space="preserve"> </w:t>
      </w:r>
      <w:hyperlink r:id="rId137">
        <w:r>
          <w:rPr>
            <w:rStyle w:val="Hyperlink"/>
          </w:rPr>
          <w:t xml:space="preserve">https://doi.org/10.1111/j.1365-2427.1987.tb01027.x</w:t>
        </w:r>
      </w:hyperlink>
      <w:r>
        <w:t xml:space="preserve">.</w:t>
      </w:r>
    </w:p>
    <w:bookmarkEnd w:id="138"/>
    <w:bookmarkStart w:id="140" w:name="ref-Nel09"/>
    <w:p>
      <w:pPr>
        <w:pStyle w:val="Bibliography"/>
      </w:pPr>
      <w:r>
        <w:t xml:space="preserve">Nel, J. L., D. J. Roux, R. Abell, P. J. Ashton, R. M. Cowling, J. V. Higgins, M. Thieme, and J. H. Viers. 2009. “Progress and Challenges in Freshwater Conversation Planning.”</w:t>
      </w:r>
      <w:r>
        <w:t xml:space="preserve"> </w:t>
      </w:r>
      <w:r>
        <w:rPr>
          <w:i/>
        </w:rPr>
        <w:t xml:space="preserve">Aquatic Conservation: Marine and Freshwater Ecosystems</w:t>
      </w:r>
      <w:r>
        <w:t xml:space="preserve"> </w:t>
      </w:r>
      <w:r>
        <w:t xml:space="preserve">19 (4): 474–85.</w:t>
      </w:r>
      <w:r>
        <w:t xml:space="preserve"> </w:t>
      </w:r>
      <w:hyperlink r:id="rId139">
        <w:r>
          <w:rPr>
            <w:rStyle w:val="Hyperlink"/>
          </w:rPr>
          <w:t xml:space="preserve">https://doi.org/10.1002/aqc.1010</w:t>
        </w:r>
      </w:hyperlink>
      <w:r>
        <w:t xml:space="preserve">.</w:t>
      </w:r>
    </w:p>
    <w:bookmarkEnd w:id="140"/>
    <w:bookmarkStart w:id="142" w:name="ref-Ode16b"/>
    <w:p>
      <w:pPr>
        <w:pStyle w:val="Bibliography"/>
      </w:pPr>
      <w:r>
        <w:t xml:space="preserve">Ode, P. R., A. E. Fetscher, and L. B. Busse. 2016. “Standard Operating Procedures (SOP) for the Collection of Field Data for Bioassessments of California Wadeable Streams: Benthic Macroinvertebrates, Algae, and Physical Habitat.” SWAMP-SOP-SB-2016-0001. Sacramento, California: California State Water Resources Control Board Surface Water Ambient Monitoring Program.</w:t>
      </w:r>
      <w:r>
        <w:t xml:space="preserve"> </w:t>
      </w:r>
      <w:hyperlink r:id="rId141">
        <w:r>
          <w:rPr>
            <w:rStyle w:val="Hyperlink"/>
          </w:rPr>
          <w:t xml:space="preserve">https://www.waterboards.ca.gov/water_issues/programs/swamp/bioassessment/docs/combined_sop_2016.pdf</w:t>
        </w:r>
      </w:hyperlink>
      <w:r>
        <w:t xml:space="preserve">.</w:t>
      </w:r>
    </w:p>
    <w:bookmarkEnd w:id="142"/>
    <w:bookmarkStart w:id="144" w:name="ref-Ode11"/>
    <w:p>
      <w:pPr>
        <w:pStyle w:val="Bibliography"/>
      </w:pPr>
      <w:r>
        <w:t xml:space="preserve">Ode, P. R., T. M. Kincaid, T. Fleming, and A. C. Rehn. 2011. “Ecological Condition Assessments of California’s Perennial Wadeable Streams: Highlights from the Surface Water Ambient Monitoring Program’s Perennial Streams Assessment (PSA).” Sacramento, California: A collaboration between the State Water Resources Control Board’s Non-Point Source Pollution Control Program (NPS Program), Surface Water Ambient Monitoring Program (SWAMP), California Department of Fish; Game Aquatic Bioassessment Laboratory,; the U.S. Environmental Protection Agency.</w:t>
      </w:r>
      <w:r>
        <w:t xml:space="preserve"> </w:t>
      </w:r>
      <w:hyperlink r:id="rId143">
        <w:r>
          <w:rPr>
            <w:rStyle w:val="Hyperlink"/>
          </w:rPr>
          <w:t xml:space="preserve">https://www.waterboards.ca.gov/water_issues/programs/swamp/docs/reports/psa_smmry_rpt.pdf</w:t>
        </w:r>
      </w:hyperlink>
      <w:r>
        <w:t xml:space="preserve">.</w:t>
      </w:r>
    </w:p>
    <w:bookmarkEnd w:id="144"/>
    <w:bookmarkStart w:id="145"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bookmarkEnd w:id="145"/>
    <w:bookmarkStart w:id="147"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 320–30.</w:t>
      </w:r>
      <w:r>
        <w:t xml:space="preserve"> </w:t>
      </w:r>
      <w:hyperlink r:id="rId146">
        <w:r>
          <w:rPr>
            <w:rStyle w:val="Hyperlink"/>
          </w:rPr>
          <w:t xml:space="preserve">https://doi.org/10.1111/j.1752-1688.2008.00280.x</w:t>
        </w:r>
      </w:hyperlink>
      <w:r>
        <w:t xml:space="preserve">.</w:t>
      </w:r>
    </w:p>
    <w:bookmarkEnd w:id="147"/>
    <w:bookmarkStart w:id="149" w:name="ref-Quinn08"/>
    <w:p>
      <w:pPr>
        <w:pStyle w:val="Bibliography"/>
      </w:pPr>
      <w:r>
        <w:t xml:space="preserve">Quinn, J. M., and A. E. Wright-Stow. 2008. “Stream Size Influences Stream Temperature Impacts and Recovery Rates After Clearfell Logging.”</w:t>
      </w:r>
      <w:r>
        <w:t xml:space="preserve"> </w:t>
      </w:r>
      <w:r>
        <w:rPr>
          <w:i/>
        </w:rPr>
        <w:t xml:space="preserve">Forest Ecology and Management</w:t>
      </w:r>
      <w:r>
        <w:t xml:space="preserve"> </w:t>
      </w:r>
      <w:r>
        <w:t xml:space="preserve">256 (12): 2101–9.</w:t>
      </w:r>
      <w:r>
        <w:t xml:space="preserve"> </w:t>
      </w:r>
      <w:hyperlink r:id="rId148">
        <w:r>
          <w:rPr>
            <w:rStyle w:val="Hyperlink"/>
          </w:rPr>
          <w:t xml:space="preserve">https://doi.org/10.1016/j.foreco.2008.07.041</w:t>
        </w:r>
      </w:hyperlink>
      <w:r>
        <w:t xml:space="preserve">.</w:t>
      </w:r>
    </w:p>
    <w:bookmarkEnd w:id="149"/>
    <w:bookmarkStart w:id="150" w:name="ref-RDCT18"/>
    <w:p>
      <w:pPr>
        <w:pStyle w:val="Bibliography"/>
      </w:pPr>
      <w:r>
        <w:t xml:space="preserve">RDCT (R Development Core Team). 2018. “R: A language and environment for statistical computing, v3.5.1. R Foundation for Statistical Computing, Vienna, Austria.”</w:t>
      </w:r>
    </w:p>
    <w:bookmarkEnd w:id="150"/>
    <w:bookmarkStart w:id="152" w:name="ref-Reed08"/>
    <w:p>
      <w:pPr>
        <w:pStyle w:val="Bibliography"/>
      </w:pPr>
      <w:r>
        <w:t xml:space="preserve">Reed, M. S. 2008. “Stakeholder Participation for Environmental Management: A Literature Review.”</w:t>
      </w:r>
      <w:r>
        <w:t xml:space="preserve"> </w:t>
      </w:r>
      <w:r>
        <w:rPr>
          <w:i/>
        </w:rPr>
        <w:t xml:space="preserve">Biological Conservation</w:t>
      </w:r>
      <w:r>
        <w:t xml:space="preserve"> </w:t>
      </w:r>
      <w:r>
        <w:t xml:space="preserve">141 (10): 2417–31.</w:t>
      </w:r>
      <w:r>
        <w:t xml:space="preserve"> </w:t>
      </w:r>
      <w:hyperlink r:id="rId151">
        <w:r>
          <w:rPr>
            <w:rStyle w:val="Hyperlink"/>
          </w:rPr>
          <w:t xml:space="preserve">https://doi.org/10.1016/j.biocon.2008.07.014</w:t>
        </w:r>
      </w:hyperlink>
      <w:r>
        <w:t xml:space="preserve">.</w:t>
      </w:r>
    </w:p>
    <w:bookmarkEnd w:id="152"/>
    <w:bookmarkStart w:id="154" w:name="ref-Rehn15"/>
    <w:p>
      <w:pPr>
        <w:pStyle w:val="Bibliography"/>
      </w:pPr>
      <w:r>
        <w:t xml:space="preserve">Rehn, A. C. 2015. “The Perennial Streams Assessment (PSA): An Assessment of Biological Condition Using the New California Stream Condition Index (CSCI).” SWAMP Management Memorandum, SWAMP-MM-2015-0001. Sacramento, California: California State Water Resources Control Board Surface Water Ambient Monitoring Program.</w:t>
      </w:r>
      <w:r>
        <w:t xml:space="preserve"> </w:t>
      </w:r>
      <w:hyperlink r:id="rId153">
        <w:r>
          <w:rPr>
            <w:rStyle w:val="Hyperlink"/>
          </w:rPr>
          <w:t xml:space="preserve">https://www.waterboards.ca.gov/water_issues/programs/swamp/bioassessment/docs/psa_memo_121015.pdf</w:t>
        </w:r>
      </w:hyperlink>
      <w:r>
        <w:t xml:space="preserve">.</w:t>
      </w:r>
    </w:p>
    <w:bookmarkEnd w:id="154"/>
    <w:bookmarkStart w:id="156"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r>
        <w:t xml:space="preserve"> </w:t>
      </w:r>
      <w:hyperlink r:id="rId155">
        <w:r>
          <w:rPr>
            <w:rStyle w:val="Hyperlink"/>
          </w:rPr>
          <w:t xml:space="preserve">https://doi.org/10.2307/1468175</w:t>
        </w:r>
      </w:hyperlink>
      <w:r>
        <w:t xml:space="preserve">.</w:t>
      </w:r>
    </w:p>
    <w:bookmarkEnd w:id="156"/>
    <w:bookmarkStart w:id="158" w:name="ref-Richards97"/>
    <w:p>
      <w:pPr>
        <w:pStyle w:val="Bibliography"/>
      </w:pPr>
      <w:r>
        <w:t xml:space="preserve">Richards, C., R. Haro, L. Johnson, and G. Host. 1997. “Catchment and Reach-Scale Properties as Indicators of Macroinvertebrate Species Traits.”</w:t>
      </w:r>
      <w:r>
        <w:t xml:space="preserve"> </w:t>
      </w:r>
      <w:r>
        <w:rPr>
          <w:i/>
        </w:rPr>
        <w:t xml:space="preserve">Freshwater Biology</w:t>
      </w:r>
      <w:r>
        <w:t xml:space="preserve"> </w:t>
      </w:r>
      <w:r>
        <w:t xml:space="preserve">37 (1): 219–30.</w:t>
      </w:r>
      <w:r>
        <w:t xml:space="preserve"> </w:t>
      </w:r>
      <w:hyperlink r:id="rId157">
        <w:r>
          <w:rPr>
            <w:rStyle w:val="Hyperlink"/>
          </w:rPr>
          <w:t xml:space="preserve">https://doi.org/10.1046/j.1365-2427.1997.d01-540.x</w:t>
        </w:r>
      </w:hyperlink>
      <w:r>
        <w:t xml:space="preserve">.</w:t>
      </w:r>
    </w:p>
    <w:bookmarkEnd w:id="158"/>
    <w:bookmarkStart w:id="159"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59"/>
    <w:bookmarkStart w:id="161"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w:t>
      </w:r>
      <w:r>
        <w:t xml:space="preserve"> </w:t>
      </w:r>
      <w:hyperlink r:id="rId160">
        <w:r>
          <w:rPr>
            <w:rStyle w:val="Hyperlink"/>
          </w:rPr>
          <w:t xml:space="preserve">https://doi.org/10.1111/gec3.12039</w:t>
        </w:r>
      </w:hyperlink>
      <w:r>
        <w:t xml:space="preserve">.</w:t>
      </w:r>
    </w:p>
    <w:bookmarkEnd w:id="161"/>
    <w:bookmarkStart w:id="163"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w:t>
      </w:r>
      <w:r>
        <w:t xml:space="preserve"> </w:t>
      </w:r>
      <w:hyperlink r:id="rId162">
        <w:r>
          <w:rPr>
            <w:rStyle w:val="Hyperlink"/>
          </w:rPr>
          <w:t xml:space="preserve">https://doi.org/10.1007/s10661-010-1385-8</w:t>
        </w:r>
      </w:hyperlink>
      <w:r>
        <w:t xml:space="preserve">.</w:t>
      </w:r>
    </w:p>
    <w:bookmarkEnd w:id="163"/>
    <w:bookmarkStart w:id="164" w:name="ref-Smeets99"/>
    <w:p>
      <w:pPr>
        <w:pStyle w:val="Bibliography"/>
      </w:pPr>
      <w:r>
        <w:t xml:space="preserve">Smeets, E., and R. Weterings. 1999. “Environmental Indicators: Typology and Overview.” No. 25. Copenhagen, Denmark: European Environmental Agency.</w:t>
      </w:r>
    </w:p>
    <w:bookmarkEnd w:id="164"/>
    <w:bookmarkStart w:id="16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 780–92.</w:t>
      </w:r>
      <w:r>
        <w:t xml:space="preserve"> </w:t>
      </w:r>
      <w:hyperlink r:id="rId165">
        <w:r>
          <w:rPr>
            <w:rStyle w:val="Hyperlink"/>
          </w:rPr>
          <w:t xml:space="preserve">https://doi.org/10.1111/jawr.12035</w:t>
        </w:r>
      </w:hyperlink>
      <w:r>
        <w:t xml:space="preserve">.</w:t>
      </w:r>
    </w:p>
    <w:bookmarkEnd w:id="166"/>
    <w:bookmarkStart w:id="168" w:name="ref-Stein17"/>
    <w:p>
      <w:pPr>
        <w:pStyle w:val="Bibliography"/>
      </w:pPr>
      <w:r>
        <w:t xml:space="preserve">Stein, E. D., A. Sengupta, R. D. Mazor, K. McCune, B. P. Bledsoe, and S. Adams. 2017. “Application of Regional Flow-Ecology Relationships to Inform Watershed Management Decisions: Applications of the ELOHA Framework in the San Diego River Watershed, California, USA.”</w:t>
      </w:r>
      <w:r>
        <w:t xml:space="preserve"> </w:t>
      </w:r>
      <w:r>
        <w:rPr>
          <w:i/>
        </w:rPr>
        <w:t xml:space="preserve">Ecohydrology</w:t>
      </w:r>
      <w:r>
        <w:t xml:space="preserve"> </w:t>
      </w:r>
      <w:r>
        <w:t xml:space="preserve">10 (7): e1869.</w:t>
      </w:r>
      <w:r>
        <w:t xml:space="preserve"> </w:t>
      </w:r>
      <w:hyperlink r:id="rId167">
        <w:r>
          <w:rPr>
            <w:rStyle w:val="Hyperlink"/>
          </w:rPr>
          <w:t xml:space="preserve">https://doi.org/10.1002/eco.1869</w:t>
        </w:r>
      </w:hyperlink>
      <w:r>
        <w:t xml:space="preserve">.</w:t>
      </w:r>
    </w:p>
    <w:bookmarkEnd w:id="168"/>
    <w:bookmarkStart w:id="170"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 1267–76.</w:t>
      </w:r>
      <w:r>
        <w:t xml:space="preserve"> </w:t>
      </w:r>
      <w:hyperlink r:id="rId169">
        <w:r>
          <w:rPr>
            <w:rStyle w:val="Hyperlink"/>
          </w:rPr>
          <w:t xml:space="preserve">https://doi.org/10.1890/1051-0761(2006)016[1267:SEFTEC]2.0.CO;2</w:t>
        </w:r>
      </w:hyperlink>
      <w:r>
        <w:t xml:space="preserve">.</w:t>
      </w:r>
    </w:p>
    <w:bookmarkEnd w:id="170"/>
    <w:bookmarkStart w:id="172" w:name="ref-Stone98"/>
    <w:p>
      <w:pPr>
        <w:pStyle w:val="Bibliography"/>
      </w:pPr>
      <w:r>
        <w:t xml:space="preserve">Stone, M. K., and J. B. Wallace. 1998. “Long-Term Recovery of a Mountain Stream from Clear-Cut Logging: The Effects of Forest Succession on Benthic Invertebrate Community Structure.”</w:t>
      </w:r>
      <w:r>
        <w:t xml:space="preserve"> </w:t>
      </w:r>
      <w:r>
        <w:rPr>
          <w:i/>
        </w:rPr>
        <w:t xml:space="preserve">Freshwater Biology</w:t>
      </w:r>
      <w:r>
        <w:t xml:space="preserve"> </w:t>
      </w:r>
      <w:r>
        <w:t xml:space="preserve">39 (1): 151–69.</w:t>
      </w:r>
      <w:r>
        <w:t xml:space="preserve"> </w:t>
      </w:r>
      <w:hyperlink r:id="rId171">
        <w:r>
          <w:rPr>
            <w:rStyle w:val="Hyperlink"/>
          </w:rPr>
          <w:t xml:space="preserve">https://doi.org/10.1046/j.1365-2427.1998.00272.x</w:t>
        </w:r>
      </w:hyperlink>
      <w:r>
        <w:t xml:space="preserve">.</w:t>
      </w:r>
    </w:p>
    <w:bookmarkEnd w:id="172"/>
    <w:bookmarkStart w:id="173" w:name="ref-USEPA13"/>
    <w:p>
      <w:pPr>
        <w:pStyle w:val="Bibliography"/>
      </w:pPr>
      <w:r>
        <w:t xml:space="preserve">US Environmental Protection Agency, Region 10. 2013. “Technical Support Document for EPA’s Action on the State of Oregon’s Revised Water Quality Standards for the West Division Main Canal.”</w:t>
      </w:r>
    </w:p>
    <w:bookmarkEnd w:id="173"/>
    <w:bookmarkStart w:id="174" w:name="ref-USGS99"/>
    <w:p>
      <w:pPr>
        <w:pStyle w:val="Bibliography"/>
      </w:pPr>
      <w:r>
        <w:t xml:space="preserve">USGS (US Geological Survey). 1999. “The quality of our nation’s waters: nutrients and pesticides.” Reston, Virginia.</w:t>
      </w:r>
    </w:p>
    <w:bookmarkEnd w:id="174"/>
    <w:bookmarkStart w:id="176"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 219–42.</w:t>
      </w:r>
      <w:r>
        <w:t xml:space="preserve"> </w:t>
      </w:r>
      <w:hyperlink r:id="rId175">
        <w:r>
          <w:rPr>
            <w:rStyle w:val="Hyperlink"/>
          </w:rPr>
          <w:t xml:space="preserve">https://doi.org/10.1023/A:1023374524254</w:t>
        </w:r>
      </w:hyperlink>
      <w:r>
        <w:t xml:space="preserve">.</w:t>
      </w:r>
    </w:p>
    <w:bookmarkEnd w:id="176"/>
    <w:bookmarkStart w:id="178" w:name="ref-Waite13"/>
    <w:p>
      <w:pPr>
        <w:pStyle w:val="Bibliography"/>
      </w:pPr>
      <w:r>
        <w:t xml:space="preserve">Waite, I. R. 2013. “Development and Application of an Agricultural Intensity Index to Invertebrate and Algal Metrics from Streams at Two Scales.”</w:t>
      </w:r>
      <w:r>
        <w:t xml:space="preserve"> </w:t>
      </w:r>
      <w:r>
        <w:rPr>
          <w:i/>
        </w:rPr>
        <w:t xml:space="preserve">Journal of the American Water Resources Association</w:t>
      </w:r>
      <w:r>
        <w:t xml:space="preserve"> </w:t>
      </w:r>
      <w:r>
        <w:t xml:space="preserve">49 (2): 431–48.</w:t>
      </w:r>
      <w:r>
        <w:t xml:space="preserve"> </w:t>
      </w:r>
      <w:hyperlink r:id="rId177">
        <w:r>
          <w:rPr>
            <w:rStyle w:val="Hyperlink"/>
          </w:rPr>
          <w:t xml:space="preserve">https://doi.org/10.1111/jawr.12032</w:t>
        </w:r>
      </w:hyperlink>
      <w:r>
        <w:t xml:space="preserve">.</w:t>
      </w:r>
    </w:p>
    <w:bookmarkEnd w:id="178"/>
    <w:bookmarkStart w:id="180"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 e90944.</w:t>
      </w:r>
      <w:r>
        <w:t xml:space="preserve"> </w:t>
      </w:r>
      <w:hyperlink r:id="rId179">
        <w:r>
          <w:rPr>
            <w:rStyle w:val="Hyperlink"/>
          </w:rPr>
          <w:t xml:space="preserve">https://doi.org/10.1371/journal.pone.0090944</w:t>
        </w:r>
      </w:hyperlink>
      <w:r>
        <w:t xml:space="preserve">.</w:t>
      </w:r>
    </w:p>
    <w:bookmarkEnd w:id="180"/>
    <w:bookmarkStart w:id="182" w:name="ref-Walsh05"/>
    <w:p>
      <w:pPr>
        <w:pStyle w:val="Bibliography"/>
      </w:pPr>
      <w:r>
        <w:t xml:space="preserve">Walsh, C. J., A. H. Roy, J. w. Feminella, P. D. Cottingham, P. M. Groffman, and R. P. Morgan. 2005. “The Urban Stream Syndrome: Current Knowledge and the Search for a Cure.”</w:t>
      </w:r>
      <w:r>
        <w:t xml:space="preserve"> </w:t>
      </w:r>
      <w:r>
        <w:rPr>
          <w:i/>
        </w:rPr>
        <w:t xml:space="preserve">Journal of the North American Benthological Society</w:t>
      </w:r>
      <w:r>
        <w:t xml:space="preserve"> </w:t>
      </w:r>
      <w:r>
        <w:t xml:space="preserve">24 (3): 706–23.</w:t>
      </w:r>
      <w:r>
        <w:t xml:space="preserve"> </w:t>
      </w:r>
      <w:hyperlink r:id="rId181">
        <w:r>
          <w:rPr>
            <w:rStyle w:val="Hyperlink"/>
          </w:rPr>
          <w:t xml:space="preserve">https://doi.org/10.1899/04-028.1</w:t>
        </w:r>
      </w:hyperlink>
      <w:r>
        <w:t xml:space="preserve">.</w:t>
      </w:r>
    </w:p>
    <w:bookmarkEnd w:id="182"/>
    <w:bookmarkStart w:id="184"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 6–12.</w:t>
      </w:r>
      <w:r>
        <w:t xml:space="preserve"> </w:t>
      </w:r>
      <w:hyperlink r:id="rId183">
        <w:r>
          <w:rPr>
            <w:rStyle w:val="Hyperlink"/>
          </w:rPr>
          <w:t xml:space="preserve">https://doi.org/10.1577/1548-8446(1997)022%3C0006:IOWLUO%3E2.0.CO;2</w:t>
        </w:r>
      </w:hyperlink>
      <w:r>
        <w:t xml:space="preserve">.</w:t>
      </w:r>
    </w:p>
    <w:bookmarkEnd w:id="184"/>
    <w:bookmarkEnd w:id="18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0" Target="media/rId50.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1"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133" Target="https://CRAN.R-project.org/package=quantregForest" TargetMode="External" /><Relationship Type="http://schemas.openxmlformats.org/officeDocument/2006/relationships/hyperlink" Id="rId139" Target="https://doi.org/10.1002/aqc.1010" TargetMode="External" /><Relationship Type="http://schemas.openxmlformats.org/officeDocument/2006/relationships/hyperlink" Id="rId108" Target="https://doi.org/10.1002/eap.1617" TargetMode="External" /><Relationship Type="http://schemas.openxmlformats.org/officeDocument/2006/relationships/hyperlink" Id="rId167" Target="https://doi.org/10.1002/eco.1869" TargetMode="External" /><Relationship Type="http://schemas.openxmlformats.org/officeDocument/2006/relationships/hyperlink" Id="rId89" Target="https://doi.org/10.1002/rra.1053" TargetMode="External" /><Relationship Type="http://schemas.openxmlformats.org/officeDocument/2006/relationships/hyperlink" Id="rId122" Target="https://doi.org/10.1007%2Fs00267-008-9151-1" TargetMode="External" /><Relationship Type="http://schemas.openxmlformats.org/officeDocument/2006/relationships/hyperlink" Id="rId83" Target="https://doi.org/10.1007/s10661-008-0256-z" TargetMode="External" /><Relationship Type="http://schemas.openxmlformats.org/officeDocument/2006/relationships/hyperlink" Id="rId162" Target="https://doi.org/10.1007/s10661-010-1385-8" TargetMode="External" /><Relationship Type="http://schemas.openxmlformats.org/officeDocument/2006/relationships/hyperlink" Id="rId76" Target="https://doi.org/10.1007/s10661-014-4132-8" TargetMode="External" /><Relationship Type="http://schemas.openxmlformats.org/officeDocument/2006/relationships/hyperlink" Id="rId104" Target="https://doi.org/10.1007/s10661-017-6025-0" TargetMode="External" /><Relationship Type="http://schemas.openxmlformats.org/officeDocument/2006/relationships/hyperlink" Id="rId151" Target="https://doi.org/10.1016/j.biocon.2008.07.014" TargetMode="External" /><Relationship Type="http://schemas.openxmlformats.org/officeDocument/2006/relationships/hyperlink" Id="rId85" Target="https://doi.org/10.1016/j.ecolind.2013.07.006" TargetMode="External" /><Relationship Type="http://schemas.openxmlformats.org/officeDocument/2006/relationships/hyperlink" Id="rId148" Target="https://doi.org/10.1016/j.foreco.2008.07.041" TargetMode="External" /><Relationship Type="http://schemas.openxmlformats.org/officeDocument/2006/relationships/hyperlink" Id="rId74" Target="https://doi.org/10.1016/j.landurbplan.2012.07.009" TargetMode="External" /><Relationship Type="http://schemas.openxmlformats.org/officeDocument/2006/relationships/hyperlink" Id="rId175" Target="https://doi.org/10.1023/A:1023374524254" TargetMode="External" /><Relationship Type="http://schemas.openxmlformats.org/officeDocument/2006/relationships/hyperlink" Id="rId98" Target="https://doi.org/10.1038/sdata.2015.73" TargetMode="External" /><Relationship Type="http://schemas.openxmlformats.org/officeDocument/2006/relationships/hyperlink" Id="rId116" Target="https://doi.org/10.1046/j.1365-2427.1997.d01-539.x" TargetMode="External" /><Relationship Type="http://schemas.openxmlformats.org/officeDocument/2006/relationships/hyperlink" Id="rId157" Target="https://doi.org/10.1046/j.1365-2427.1997.d01-540.x" TargetMode="External" /><Relationship Type="http://schemas.openxmlformats.org/officeDocument/2006/relationships/hyperlink" Id="rId56" Target="https://doi.org/10.1046/j.1365-2427.1997.d01-546.x" TargetMode="External" /><Relationship Type="http://schemas.openxmlformats.org/officeDocument/2006/relationships/hyperlink" Id="rId171" Target="https://doi.org/10.1046/j.1365-2427.1998.00272.x" TargetMode="External" /><Relationship Type="http://schemas.openxmlformats.org/officeDocument/2006/relationships/hyperlink" Id="rId114" Target="https://doi.org/10.1080/03680770.1974.11896033" TargetMode="External" /><Relationship Type="http://schemas.openxmlformats.org/officeDocument/2006/relationships/hyperlink" Id="rId129" Target="https://doi.org/10.1086/675683" TargetMode="External" /><Relationship Type="http://schemas.openxmlformats.org/officeDocument/2006/relationships/hyperlink" Id="rId87" Target="https://doi.org/10.1086/678701" TargetMode="External" /><Relationship Type="http://schemas.openxmlformats.org/officeDocument/2006/relationships/hyperlink" Id="rId112" Target="https://doi.org/10.1086/697996" TargetMode="External" /><Relationship Type="http://schemas.openxmlformats.org/officeDocument/2006/relationships/hyperlink" Id="rId110" Target="https://doi.org/10.1111/1752-1688.12372" TargetMode="External" /><Relationship Type="http://schemas.openxmlformats.org/officeDocument/2006/relationships/hyperlink" Id="rId160" Target="https://doi.org/10.1111/gec3.12039" TargetMode="External" /><Relationship Type="http://schemas.openxmlformats.org/officeDocument/2006/relationships/hyperlink" Id="rId137" Target="https://doi.org/10.1111/j.1365-2427.1987.tb01027.x" TargetMode="External" /><Relationship Type="http://schemas.openxmlformats.org/officeDocument/2006/relationships/hyperlink" Id="rId58" Target="https://doi.org/10.1111/j.1365-2427.2006.01685.x" TargetMode="External" /><Relationship Type="http://schemas.openxmlformats.org/officeDocument/2006/relationships/hyperlink" Id="rId93" Target="https://doi.org/10.1111/j.1365-2427.2011.02696.x" TargetMode="External" /><Relationship Type="http://schemas.openxmlformats.org/officeDocument/2006/relationships/hyperlink" Id="rId65" Target="https://doi.org/10.1111/j.1526-100X.2007.00244.x" TargetMode="External" /><Relationship Type="http://schemas.openxmlformats.org/officeDocument/2006/relationships/hyperlink" Id="rId81" Target="https://doi.org/10.1111/j.1526-100X.2007.00285.x" TargetMode="External" /><Relationship Type="http://schemas.openxmlformats.org/officeDocument/2006/relationships/hyperlink" Id="rId101" Target="https://doi.org/10.1111/j.1752-1688.2000.tb05717.x" TargetMode="External" /><Relationship Type="http://schemas.openxmlformats.org/officeDocument/2006/relationships/hyperlink" Id="rId146" Target="https://doi.org/10.1111/j.1752-1688.2008.00280.x" TargetMode="External" /><Relationship Type="http://schemas.openxmlformats.org/officeDocument/2006/relationships/hyperlink" Id="rId119" Target="https://doi.org/10.1111/j.1752-1688.2011.00635.x" TargetMode="External" /><Relationship Type="http://schemas.openxmlformats.org/officeDocument/2006/relationships/hyperlink" Id="rId177" Target="https://doi.org/10.1111/jawr.12032" TargetMode="External" /><Relationship Type="http://schemas.openxmlformats.org/officeDocument/2006/relationships/hyperlink" Id="rId165" Target="https://doi.org/10.1111/jawr.12035" TargetMode="External" /><Relationship Type="http://schemas.openxmlformats.org/officeDocument/2006/relationships/hyperlink" Id="rId70" Target="https://doi.org/10.1177/0739456X03022004007" TargetMode="External" /><Relationship Type="http://schemas.openxmlformats.org/officeDocument/2006/relationships/hyperlink" Id="rId179" Target="https://doi.org/10.1371/journal.pone.0090944" TargetMode="External" /><Relationship Type="http://schemas.openxmlformats.org/officeDocument/2006/relationships/hyperlink" Id="rId183" Target="https://doi.org/10.1577/1548-8446(1997)022%3C0006:IOWLUO%3E2.0.CO;2" TargetMode="External" /><Relationship Type="http://schemas.openxmlformats.org/officeDocument/2006/relationships/hyperlink" Id="rId63" Target="https://doi.org/10.1577/M06-174.1" TargetMode="External" /><Relationship Type="http://schemas.openxmlformats.org/officeDocument/2006/relationships/hyperlink" Id="rId169" Target="https://doi.org/10.1890/1051-0761(2006)016%5B1267:SEFTEC%5D2.0.CO;2" TargetMode="External" /><Relationship Type="http://schemas.openxmlformats.org/officeDocument/2006/relationships/hyperlink" Id="rId181" Target="https://doi.org/10.1899/04-028.1" TargetMode="External" /><Relationship Type="http://schemas.openxmlformats.org/officeDocument/2006/relationships/hyperlink" Id="rId79" Target="https://doi.org/10.1899/06-078.1" TargetMode="External" /><Relationship Type="http://schemas.openxmlformats.org/officeDocument/2006/relationships/hyperlink" Id="rId72" Target="https://doi.org/10.1899/08-153.1" TargetMode="External" /><Relationship Type="http://schemas.openxmlformats.org/officeDocument/2006/relationships/hyperlink" Id="rId91" Target="https://doi.org/10.1899/0887-3593(2004)023%3C0599:BWRSUO%3E2.0.CO;2" TargetMode="External" /><Relationship Type="http://schemas.openxmlformats.org/officeDocument/2006/relationships/hyperlink" Id="rId155" Target="https://doi.org/10.2307/1468175" TargetMode="External" /><Relationship Type="http://schemas.openxmlformats.org/officeDocument/2006/relationships/hyperlink" Id="rId95" Target="https://doi.org/10.2307/41416699" TargetMode="External" /><Relationship Type="http://schemas.openxmlformats.org/officeDocument/2006/relationships/hyperlink" Id="rId124"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1" Target="https://www.waterboards.ca.gov/water_issues/programs/swamp/bioassessment/docs/combined_sop_2016.pdf" TargetMode="External" /><Relationship Type="http://schemas.openxmlformats.org/officeDocument/2006/relationships/hyperlink" Id="rId153" Target="https://www.waterboards.ca.gov/water_issues/programs/swamp/bioassessment/docs/psa_memo_121015.pdf" TargetMode="External" /><Relationship Type="http://schemas.openxmlformats.org/officeDocument/2006/relationships/hyperlink" Id="rId143" Target="https://www.waterboards.ca.gov/water_issues/programs/swamp/docs/reports/psa_smmry_rpt.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2019-05-16T00:19:47Z</dcterms:created>
  <dcterms:modified xsi:type="dcterms:W3CDTF">2019-05-16T00:19:47Z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link-citations">
    <vt:lpwstr>True</vt:lpwstr>
  </property>
  <property fmtid="{D5CDD505-2E9C-101B-9397-08002B2CF9AE}" pid="4" name="output">
    <vt:lpwstr/>
  </property>
  <property fmtid="{D5CDD505-2E9C-101B-9397-08002B2CF9AE}" pid="5" name="urlcolor">
    <vt:lpwstr>blue</vt:lpwstr>
  </property>
</Properties>
</file>