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64.png" ContentType="image/png"/>
  <Override PartName="/word/media/rId55.png" ContentType="image/png"/>
  <Override PartName="/word/media/rId60.png" ContentType="image/png"/>
  <Override PartName="/word/media/rId65.png" ContentType="image/png"/>
  <Override PartName="/word/media/rId59.png" ContentType="image/png"/>
  <Override PartName="/word/media/rId63.png" ContentType="image/png"/>
  <Override PartName="/word/media/rId57.png" ContentType="image/png"/>
  <Override PartName="/word/media/rId66.png" ContentType="image/png"/>
  <Override PartName="/word/media/rId62.png" ContentType="image/png"/>
  <Override PartName="/word/media/rId61.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Jun 12 14:53:13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Landscape constraints in developed environments, such as modified urban streams, have led to alternative considerations on use attainability where reference conditions may be difficult or impractical to achieve given local conditions. Potential upper limits on biological health imposed by land use also have relevance for the application of bioassessment indices for biological criteria. A bioassessment index may be difficult to incorporate into regulatory statutes if thresholds for biological objectives are impractical within site-specific conditions. Managers require explicit information that can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Developing an expectation of biological potential as a function of land use constraints could help prioritize where management actions are most likely to achieve intended outcomes.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Understanding limits to biological potential is a fundamental concept in bioassessment that has recieved some attention. Methods for factor-ceiling analysis have been explored in bioassessment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will be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w:t>
      </w:r>
    </w:p>
    <w:p>
      <w:pPr>
        <w:pStyle w:val="BodyText"/>
      </w:pPr>
      <w:r>
        <w:t xml:space="preserve">An approach to comprehensively evaluate the potential for success of alternative management scenarios for streams under landscape constraints could be developed with predictive models that estimate limits on expectations. Previous efforts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biological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monitoring stations with observed CSCI scores. The random selection was stratified by major regions in California (Figure</w:t>
      </w:r>
      <w:r>
        <w:t xml:space="preserve"> </w:t>
      </w:r>
      <w:r>
        <w:t xml:space="preserve">1</w:t>
      </w:r>
      <w:r>
        <w:t xml:space="preserve">), with each further divided into quartiles based on watershed imperviousness. The stratification method was chosen to ensure sufficient representation of landscape gradients in each ecoregion. The remaining sites were used for model validation.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constrained</w:t>
      </w:r>
    </w:p>
    <w:p>
      <w:pPr>
        <w:pStyle w:val="Compact"/>
        <w:numPr>
          <w:numId w:val="1001"/>
          <w:ilvl w:val="0"/>
        </w:numPr>
      </w:pPr>
      <w:r>
        <w:t xml:space="preserve">Possibly constrained</w:t>
      </w:r>
    </w:p>
    <w:p>
      <w:pPr>
        <w:pStyle w:val="Compact"/>
        <w:numPr>
          <w:numId w:val="1001"/>
          <w:ilvl w:val="0"/>
        </w:numPr>
      </w:pPr>
      <w:r>
        <w:t xml:space="preserve">Possibly unconstrained</w:t>
      </w:r>
    </w:p>
    <w:p>
      <w:pPr>
        <w:pStyle w:val="Compact"/>
        <w:numPr>
          <w:numId w:val="1001"/>
          <w:ilvl w:val="0"/>
        </w:numPr>
      </w:pPr>
      <w:r>
        <w:t xml:space="preserve">Likely unconstrained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ed-reaches"/>
      <w:r>
        <w:t xml:space="preserve">Unclassified reaches</w:t>
      </w:r>
      <w:bookmarkEnd w:id="38"/>
    </w:p>
    <w:p>
      <w:pPr>
        <w:pStyle w:val="FirstParagraph"/>
      </w:pPr>
      <w:r>
        <w:t xml:space="preserve">Finally, some stream reaches were not classifed following application of the landscape model to the statewide hydrography dataset. Unclassified reaches occurred if StreamCat data were unavailable to estimate CSCI predictions or if a reach was excluded from the NHD-plus dataset (typically, small headwater streams). The former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An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agricultural reaches that relies on the range of expectations for reaches with similar land use by region. The approximate range of scores for reaches dominated by either urban, agricultural, and neither of the two (other) was identified by using kmeans clustering of percentage land use for each reach</w:t>
      </w:r>
      <w:r>
        <w:t xml:space="preserve"> </w:t>
      </w:r>
      <w:r>
        <w:t xml:space="preserve">(MacQueen</w:t>
      </w:r>
      <w:r>
        <w:t xml:space="preserve"> </w:t>
      </w:r>
      <w:hyperlink w:anchor="ref-MacQueen67">
        <w:r>
          <w:rPr>
            <w:rStyle w:val="Hyperlink"/>
          </w:rPr>
          <w:t xml:space="preserve">1967</w:t>
        </w:r>
      </w:hyperlink>
      <w:r>
        <w:t xml:space="preserve">)</w:t>
      </w:r>
      <w:r>
        <w:t xml:space="preserve">. Typically urban and agricultural reaches were identified based on the largest centroid average of the clusters for each land use type, whereas the other category was based on the minimum sum of the centroid values for urban and agricultural land use. The expected ranges for each land use type in each region were based on averages of ranges across all reaches in the identified clusters.</w:t>
      </w:r>
    </w:p>
    <w:p>
      <w:pPr>
        <w:pStyle w:val="Heading2"/>
      </w:pPr>
      <w:bookmarkStart w:id="39" w:name="san-gabriel-river-watershed-case-study"/>
      <w:r>
        <w:t xml:space="preserve">San Gabriel River watershed case study</w:t>
      </w:r>
      <w:bookmarkEnd w:id="39"/>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BodyText"/>
      </w:pPr>
      <w:r>
        <w:t xml:space="preserve">A diverse group of stakeholders from local municipalities, water districts, water quality regulatory agencies, consulting groups, and non-government organizations have shared interests in managing aquatic resources in the watershed.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management. Individuals were selected for participation to include diverse management interests and based on willingness to adopt tools developed from the landscape model. The stakeholder workgroup met monthly over a six-month period to discuss model applications and to refine the interpretation of results.</w:t>
      </w:r>
    </w:p>
    <w:p>
      <w:pPr>
        <w:pStyle w:val="Heading2"/>
      </w:pPr>
      <w:bookmarkStart w:id="40" w:name="prioritization"/>
      <w:r>
        <w:t xml:space="preserve">Prioritization</w:t>
      </w:r>
      <w:bookmarkEnd w:id="40"/>
    </w:p>
    <w:p>
      <w:pPr>
        <w:pStyle w:val="FirstParagraph"/>
      </w:pPr>
      <w:r>
        <w:t xml:space="preserve">A framework for identifying site priorities for management actions was developed using….</w:t>
      </w:r>
    </w:p>
    <w:p>
      <w:pPr>
        <w:pStyle w:val="BodyText"/>
      </w:pPr>
      <w:r>
        <w:t xml:space="preserve">Categories for relative sites scores were further split if they were above or below the selected CSCI threshold. This final split was created with the intent that description of site scores relative to a defined threshold (e.g., impairment threshold or restoration target) should also be considered. Specifically, a fourth category for sites within each reach classification was added to define a site as above or below the threshold. For a likely unconstrained reach, under-scoring sites below the minimum expected score were additionally defined as being above or below the CSCI threshold. Similarly, over scoring sites above the maximum expected score in a likely constrained reach were additionally defined as being below or above the CSCI threshold. For possibly constrained and possibly unconstrained reaches, sites that were as expected were additionally defined as being below or above the CSCI threshold. In total, sixteen site types were defined for the reach classifications (Table</w:t>
      </w:r>
      <w:r>
        <w:t xml:space="preserve"> </w:t>
      </w:r>
      <w:r>
        <w:t xml:space="preserve">3</w:t>
      </w:r>
      <w:r>
        <w:t xml:space="preserve">).</w:t>
      </w:r>
    </w:p>
    <w:p>
      <w:pPr>
        <w:pStyle w:val="BodyText"/>
      </w:pPr>
      <w:r>
        <w:t xml:space="preserve">Each site type was used to define a priority as a demonstration of how results from the landscape model can inform different stream management objectives. This final process relied exclusively on feedback from the stakeholder group. 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(e.g., monitoring, regulation, etc.). Stakeholders were tasked with identifying their relevant priorities by ranking each site type from high to low priority using a graphical template of Table</w:t>
      </w:r>
      <w:r>
        <w:t xml:space="preserve"> </w:t>
      </w:r>
      <w:r>
        <w:t xml:space="preserve">3</w:t>
      </w:r>
      <w:r>
        <w:t xml:space="preserve"> </w:t>
      </w:r>
      <w:r>
        <w:t xml:space="preserve">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field visits, review aerial imagery);</w:t>
      </w:r>
    </w:p>
    <w:p>
      <w:pPr>
        <w:pStyle w:val="Compact"/>
        <w:numPr>
          <w:numId w:val="1003"/>
          <w:ilvl w:val="0"/>
        </w:numPr>
      </w:pPr>
      <w:r>
        <w:t xml:space="preserve">Protect: Additional scrutiny of any proposed development and/or projects;</w:t>
      </w:r>
    </w:p>
    <w:p>
      <w:pPr>
        <w:pStyle w:val="Compact"/>
        <w:numPr>
          <w:numId w:val="1003"/>
          <w:ilvl w:val="0"/>
        </w:numPr>
      </w:pPr>
      <w:r>
        <w:t xml:space="preserve">Restore: Targeted action for causal assessment and/or restoration activity.</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Heading1"/>
      </w:pPr>
      <w:bookmarkStart w:id="41" w:name="results"/>
      <w:r>
        <w:t xml:space="preserve">Results</w:t>
      </w:r>
      <w:bookmarkEnd w:id="41"/>
    </w:p>
    <w:p>
      <w:pPr>
        <w:pStyle w:val="Heading2"/>
      </w:pPr>
      <w:bookmarkStart w:id="42" w:name="state-wide-patterns"/>
      <w:r>
        <w:t xml:space="preserve">State-wide patterns</w:t>
      </w:r>
      <w:bookmarkEnd w:id="42"/>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By region, the most bioassessment samples were observed in the South Coast (n = 839), followed by the the Chapparal (n = 684) and Sierra Nevada regions (n = 548). Model performance statewide and by region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w:t>
      </w:r>
      <w:r>
        <w:t xml:space="preserve"> </w:t>
      </w:r>
      <m:oMath>
        <m:r>
          <m:t>ρ</m:t>
        </m:r>
        <m:r>
          <m:t>=</m:t>
        </m:r>
      </m:oMath>
      <w:r>
        <w:t xml:space="preserve"> </w:t>
      </w:r>
      <w:r>
        <w:t xml:space="preserve">0.84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w:t>
      </w:r>
      <m:oMath>
        <m:r>
          <m:t>ρ</m:t>
        </m:r>
        <m:r>
          <m:t>=</m:t>
        </m:r>
      </m:oMath>
      <w:r>
        <w:t xml:space="preserve"> </w:t>
      </w:r>
      <w:r>
        <w:t xml:space="preserve">0.72) and larger RMSE (0.18) estimates.</w:t>
      </w:r>
    </w:p>
    <w:p>
      <w:pPr>
        <w:pStyle w:val="BodyText"/>
      </w:pPr>
      <w:r>
        <w:t xml:space="preserve">Model performance differed by region.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poor for the Sierra Nevada region where the lowest correlation between predicted and observed values was observed. Regression estimates for the validation data in this region showed an intercept and slope of approximately 1 and 0. Overall, model performance was strongly associated with land use gradients in each region (Figure</w:t>
      </w:r>
      <w:r>
        <w:t xml:space="preserve"> </w:t>
      </w:r>
      <w:r>
        <w:t xml:space="preserve">5</w:t>
      </w:r>
      <w:r>
        <w:t xml:space="preserve">). The landscape model peformed well in regions with a mix of urban, agricultural, and open land, such as the South Coast, where strong gradients occur in many watersheds. Conversely, the model did not perform well in regions where developed landscapes were less common, such as the Sierra Nevada region.</w:t>
      </w:r>
    </w:p>
    <w:p>
      <w:pPr>
        <w:pStyle w:val="BodyText"/>
      </w:pPr>
      <w:r>
        <w:t xml:space="preserve">Statewide patterns in stream constraints were apparent from the results of the landscape model consistent with land use (Figure</w:t>
      </w:r>
      <w:r>
        <w:t xml:space="preserve"> </w:t>
      </w:r>
      <w:r>
        <w:t xml:space="preserve">6</w:t>
      </w:r>
      <w:r>
        <w:t xml:space="preserve">). Stream reaches were more often constrained for biotic integrity in regions with more watershed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By region, the most reaches classified as likely unconstrained reaches were in the Sierra Nevad (50%), North Coast (46%), and Desert Modoc (46%) regions, whereas the most reaches as likely constrained were observed in the Central Valley (22%) and South Coast (15%) regions.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case-study"/>
      <w:r>
        <w:t xml:space="preserve">Case study</w:t>
      </w:r>
      <w:bookmarkEnd w:id="43"/>
    </w:p>
    <w:p>
      <w:pPr>
        <w:pStyle w:val="FirstParagraph"/>
      </w:pPr>
      <w:r>
        <w:t xml:space="preserve">Application of the landscape model to the San Gabriel River watershed and engagement with a stakeholder group demonstrated how the results can be used to locally prioritize actions for different stream reaches.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7</w:t>
      </w:r>
      <w:r>
        <w:t xml:space="preserve">). Application of the landscape model results to the CSCI scores provided a context of expectations consistent with the strong land use gradient in the watershed. Stream reaches in the upper watershed were a mix of likely and possibly unconstrained, whereas all stream reaches in the lower watershed were classified as likely constrained. Several reaches in the lower watershed had ranges that were right-skewed toward very low CSCI scores consistent with extreme landscape pressures.</w:t>
      </w:r>
    </w:p>
    <w:p>
      <w:pPr>
        <w:pStyle w:val="BodyText"/>
      </w:pPr>
      <w:r>
        <w:t xml:space="preserve">Most of the sampling stations in the SGR watershed were within the expected ranges of CSCI scores for the defined stream classes (top, Figure</w:t>
      </w:r>
      <w:r>
        <w:t xml:space="preserve"> </w:t>
      </w:r>
      <w:r>
        <w:t xml:space="preserve">8</w:t>
      </w:r>
      <w:r>
        <w:t xml:space="preserve">). 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certain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The three priority management actions identified by the stakeholder group (investigate, protect, restore) were ranked from low, medium, to high for each potential reach type (Figure</w:t>
      </w:r>
      <w:r>
        <w:t xml:space="preserve"> </w:t>
      </w:r>
      <w:r>
        <w:t xml:space="preserve">9</w:t>
      </w:r>
      <w:r>
        <w:t xml:space="preserve">). High priority recommendations were generally given to over and under scoring sites in likely unconstrained reaches or those below the hypothetical threshold with possibly unconstrained classification. Low priority actions were most often recommended for possibly and likely constrained sites, or no action was recommended where it was assumed baseline monitoring and maintenance was sufficient.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2"/>
      </w:pPr>
      <w:bookmarkStart w:id="44" w:name="drivers-of-biological-constraints-and-sensitivity-analysis"/>
      <w:r>
        <w:t xml:space="preserve">Drivers of biological constraints and sensitivity analysis</w:t>
      </w:r>
      <w:bookmarkEnd w:id="44"/>
    </w:p>
    <w:p>
      <w:pPr>
        <w:pStyle w:val="FirstParagraph"/>
      </w:pPr>
      <w:r>
        <w:t xml:space="preserve">Importance measures from random forest models identified key variables that explained the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The effects of changing certainty in the CSCI predictions and a hypothetical CSCI threshold were evaluated for twenty-seven scenarios to identify the change in stream reach classifications (Figure</w:t>
      </w:r>
      <w:r>
        <w:t xml:space="preserve"> </w:t>
      </w:r>
      <w:r>
        <w:t xml:space="preserve">12</w:t>
      </w:r>
      <w:r>
        <w:t xml:space="preserve">). Changes were evaluated as the percentage of stream length statewide and within major regions for each reach classification.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5" w:name="unclassified-reaches-1"/>
      <w:r>
        <w:t xml:space="preserve">Unclassified reaches</w:t>
      </w:r>
      <w:bookmarkEnd w:id="45"/>
    </w:p>
    <w:p>
      <w:pPr>
        <w:pStyle w:val="FirstParagraph"/>
      </w:pPr>
      <w:r>
        <w:t xml:space="preserve">Ranges of expected CSCI scores for typical reaches in urban, agricultural, and neither of the two (other)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other,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neither urban nor agricultural. Interestingly, the range of scores in urban and agricultural streams were similar in the Central Valley where agriculture is the dominant land use.</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the scale of an individual watershed through close interaction with a regional stakeholder group with direct interests in managing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What does the model mean vis a vis Pete’s comments - what variables did we include and how can we improve on this for more resolution depending on the region. Bias toward urban streams? What about time scale of impacts? What about possibility of model error?</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several advantages compared to alternative means of identifying constraints on biological condition. The landscape model relies exclusively on publically available data using geospatial methods to identify potential constraints. An alternative is a field-based approach using site visits to characterize likely constraints at a location. While both approaches have strengths, the field-based approach is, by definition, labor-intensive and not appropriate as a screening tool to identify patterns on the landscape. More appropriately, the tools provided by the landscape approach could be used to inform decisions on where site visits may be needed to corraborate information from the model. The identification of constrained channels in urban areas that rely on field visits may also define the problem too narrowly. Physical habitat can be extremely limited in engineered channels and our models identified many of these locations in our case study. However, these channels were identified as constrained based on land use only. Constrained channels not in urban landscapes were also identified by the model, as for many streams in agricultural areas.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Our approach also has the advantage of relating strictly to biological condition, as compared to physical or chemical endpoints to assess constraints. This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expectations at the lower end of the distibution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challanges in engaging stakeholders were encountered wherein a complete understanding of concepts, as well as limitations, of the model was insufficient for discussing regional application to the SGR. The tool provided a means of demonstrating these concepts that was not possible through more conventional methods, such as static presentations or simple text vignettes. SCAPE also allowed stakeholders to explore the different scenarios that influence the model output, specifically related to changing certainties in the CSCI score predictions and the ability explore alternative thresholds for biological objectives. This functionality is key in our approach to allow the stakeholders to develop recommendations that are completely independent of the model, i.e., decisions are not hard-wired into the model nor SCAPE.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Specifically,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We have explicitly not incorporated channel modification as a predictive mechanism by which biological constraints may occur, although habitat limitations imposed by modification may impose real limits on biology. Alternatively, bioasessment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aspects diagnostic of stream health are also constrained. Many urban streams can support diverse algal assemblages such that algal-based measures of biotic condition may alternatively suggest good biotic condition relative to macroinvertebrate-based indices. This limitation of the landscape model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This work has immediate relevance for informing use of bioassessment indices in freshwater streams of California, both from the perspective of identifying management priorities and for developing an interpretation of broad scale factors that limit ecological integrity. Our use of geospatial datasets that are descriptive at the national scale suggests that these methods could be applied elsewhere and in unique bioassessment contexts. The NHD-plus and StreamCat datasets cover the entire hydrologic network of the conterminous United States and national-scale bioassessment tools are available through the National Rivers and Streams Assessment</w:t>
      </w:r>
      <w:r>
        <w:t xml:space="preserve"> </w:t>
      </w:r>
      <w:r>
        <w:t xml:space="preserve">(USEPA (US Environmental Protection Agency)</w:t>
      </w:r>
      <w:r>
        <w:t xml:space="preserve"> </w:t>
      </w:r>
      <w:hyperlink w:anchor="ref-USEPA16">
        <w:r>
          <w:rPr>
            <w:rStyle w:val="Hyperlink"/>
          </w:rPr>
          <w:t xml:space="preserve">2016</w:t>
        </w:r>
      </w:hyperlink>
      <w:r>
        <w:t xml:space="preserve">; Hill et al.</w:t>
      </w:r>
      <w:r>
        <w:t xml:space="preserve"> </w:t>
      </w:r>
      <w:hyperlink w:anchor="ref-Hill17">
        <w:r>
          <w:rPr>
            <w:rStyle w:val="Hyperlink"/>
          </w:rPr>
          <w:t xml:space="preserve">2017</w:t>
        </w:r>
      </w:hyperlink>
      <w:r>
        <w:t xml:space="preserve">)</w:t>
      </w:r>
      <w:r>
        <w:t xml:space="preserve">. Statewide extension of the landscape model could be explored to develop a national scale product of constraints on biological condition. Although landscape stressors are ubiquituous at the contintental scale, extension of the landscape modelling approach beyond California should consider regional variation in landscape stressors that are predictive of biotic condition. Urban and agricultural gradients were sufficient to characterize constraints in many regions of California, whereas the model did not perform well in regions where thes gradients did not occur. A national level landscape model must consider alternative predictors provided by the StreamCat model that are sufficient to model biological condition.</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8"/>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1"/>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3"/>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7" w:name="tables"/>
      <w:r>
        <w:t xml:space="preserve">Tables</w:t>
      </w:r>
      <w:bookmarkEnd w:id="67"/>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Other</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Other</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Other</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Other</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Other</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Other</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Other</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8" w:name="references"/>
      <w:r>
        <w:t xml:space="preserve">References</w:t>
      </w:r>
      <w:bookmarkEnd w:id="68"/>
    </w:p>
    <w:bookmarkStart w:id="150" w:name="refs"/>
    <w:bookmarkStart w:id="70"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9">
        <w:r>
          <w:rPr>
            <w:rStyle w:val="Hyperlink"/>
          </w:rPr>
          <w:t xml:space="preserve">https://doi.org/10.1046/j.1365-2427.1997.d01-546.x</w:t>
        </w:r>
      </w:hyperlink>
      <w:r>
        <w:t xml:space="preserve">.</w:t>
      </w:r>
    </w:p>
    <w:bookmarkEnd w:id="70"/>
    <w:bookmarkStart w:id="72"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1">
        <w:r>
          <w:rPr>
            <w:rStyle w:val="Hyperlink"/>
          </w:rPr>
          <w:t xml:space="preserve">https://doi.org/10.1146/annurev.ecolsys.35.120202.110122</w:t>
        </w:r>
      </w:hyperlink>
      <w:r>
        <w:t xml:space="preserve">.</w:t>
      </w:r>
    </w:p>
    <w:bookmarkEnd w:id="72"/>
    <w:bookmarkStart w:id="73"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4">
        <w:r>
          <w:rPr>
            <w:rStyle w:val="Hyperlink"/>
          </w:rPr>
          <w:t xml:space="preserve">https://doi.org/10.1016/j.landurbplan.2012.07.009</w:t>
        </w:r>
      </w:hyperlink>
      <w:r>
        <w:t xml:space="preserve">.</w:t>
      </w:r>
    </w:p>
    <w:bookmarkEnd w:id="75"/>
    <w:bookmarkStart w:id="76"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6"/>
    <w:bookmarkStart w:id="78"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7">
        <w:r>
          <w:rPr>
            <w:rStyle w:val="Hyperlink"/>
          </w:rPr>
          <w:t xml:space="preserve">https://doi.org/10.1111/j.1526-100X.2007.00285.x</w:t>
        </w:r>
      </w:hyperlink>
      <w:r>
        <w:t xml:space="preserve">.</w:t>
      </w:r>
    </w:p>
    <w:bookmarkEnd w:id="78"/>
    <w:bookmarkStart w:id="80"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9">
        <w:r>
          <w:rPr>
            <w:rStyle w:val="Hyperlink"/>
          </w:rPr>
          <w:t xml:space="preserve">https://doi.org/10.1007/s10661-008-0256-z</w:t>
        </w:r>
      </w:hyperlink>
      <w:r>
        <w:t xml:space="preserve">.</w:t>
      </w:r>
    </w:p>
    <w:bookmarkEnd w:id="80"/>
    <w:bookmarkStart w:id="82"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1">
        <w:r>
          <w:rPr>
            <w:rStyle w:val="Hyperlink"/>
          </w:rPr>
          <w:t xml:space="preserve">https://doi.org/10.1016/j.ecolind.2013.07.006</w:t>
        </w:r>
      </w:hyperlink>
      <w:r>
        <w:t xml:space="preserve">.</w:t>
      </w:r>
    </w:p>
    <w:bookmarkEnd w:id="82"/>
    <w:bookmarkStart w:id="84"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3">
        <w:r>
          <w:rPr>
            <w:rStyle w:val="Hyperlink"/>
          </w:rPr>
          <w:t xml:space="preserve">https://doi.org/10.1086/678701</w:t>
        </w:r>
      </w:hyperlink>
      <w:r>
        <w:t xml:space="preserve">.</w:t>
      </w:r>
    </w:p>
    <w:bookmarkEnd w:id="84"/>
    <w:bookmarkStart w:id="86"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5">
        <w:r>
          <w:rPr>
            <w:rStyle w:val="Hyperlink"/>
          </w:rPr>
          <w:t xml:space="preserve">https://doi.org/10.1002/rra.1053</w:t>
        </w:r>
      </w:hyperlink>
      <w:r>
        <w:t xml:space="preserve">.</w:t>
      </w:r>
    </w:p>
    <w:bookmarkEnd w:id="86"/>
    <w:bookmarkStart w:id="88"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7">
        <w:r>
          <w:rPr>
            <w:rStyle w:val="Hyperlink"/>
          </w:rPr>
          <w:t xml:space="preserve">https://doi.org/10.1899/0887-3593(2004)023%3C0599:BWRSUO%3E2.0.CO;2</w:t>
        </w:r>
      </w:hyperlink>
      <w:r>
        <w:t xml:space="preserve">.</w:t>
      </w:r>
    </w:p>
    <w:bookmarkEnd w:id="88"/>
    <w:bookmarkStart w:id="90"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9">
        <w:r>
          <w:rPr>
            <w:rStyle w:val="Hyperlink"/>
          </w:rPr>
          <w:t xml:space="preserve">https://doi.org/10.1111/j.1365-2427.2011.02696.x</w:t>
        </w:r>
      </w:hyperlink>
      <w:r>
        <w:t xml:space="preserve">.</w:t>
      </w:r>
    </w:p>
    <w:bookmarkEnd w:id="90"/>
    <w:bookmarkStart w:id="92"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1">
        <w:r>
          <w:rPr>
            <w:rStyle w:val="Hyperlink"/>
          </w:rPr>
          <w:t xml:space="preserve">https://doi.org/10.1002/etc.2059</w:t>
        </w:r>
      </w:hyperlink>
      <w:r>
        <w:t xml:space="preserve">.</w:t>
      </w:r>
    </w:p>
    <w:bookmarkEnd w:id="92"/>
    <w:bookmarkStart w:id="94"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3">
        <w:r>
          <w:rPr>
            <w:rStyle w:val="Hyperlink"/>
          </w:rPr>
          <w:t xml:space="preserve">https://doi.org/10.1111/j.1752-1688.2000.tb05717.x</w:t>
        </w:r>
      </w:hyperlink>
      <w:r>
        <w:t xml:space="preserve">.</w:t>
      </w:r>
    </w:p>
    <w:bookmarkEnd w:id="94"/>
    <w:bookmarkStart w:id="96"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5">
        <w:r>
          <w:rPr>
            <w:rStyle w:val="Hyperlink"/>
          </w:rPr>
          <w:t xml:space="preserve">https://doi.org/10.1007/s10661-017-6025-0</w:t>
        </w:r>
      </w:hyperlink>
      <w:r>
        <w:t xml:space="preserve">.</w:t>
      </w:r>
    </w:p>
    <w:bookmarkEnd w:id="96"/>
    <w:bookmarkStart w:id="9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7"/>
    <w:bookmarkStart w:id="9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8">
        <w:r>
          <w:rPr>
            <w:rStyle w:val="Hyperlink"/>
          </w:rPr>
          <w:t xml:space="preserve">https://doi.org/10.1002/eap.1617</w:t>
        </w:r>
      </w:hyperlink>
      <w:r>
        <w:t xml:space="preserve">.</w:t>
      </w:r>
    </w:p>
    <w:bookmarkEnd w:id="99"/>
    <w:bookmarkStart w:id="10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0">
        <w:r>
          <w:rPr>
            <w:rStyle w:val="Hyperlink"/>
          </w:rPr>
          <w:t xml:space="preserve">https://doi.org/10.1111/1752-1688.12372</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4">
        <w:r>
          <w:rPr>
            <w:rStyle w:val="Hyperlink"/>
          </w:rPr>
          <w:t xml:space="preserve">https://doi.org/10.1371/journal.pone.0130710</w:t>
        </w:r>
      </w:hyperlink>
      <w:r>
        <w:t xml:space="preserve">.</w:t>
      </w:r>
    </w:p>
    <w:bookmarkEnd w:id="105"/>
    <w:bookmarkStart w:id="106"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6"/>
    <w:bookmarkStart w:id="10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7">
        <w:r>
          <w:rPr>
            <w:rStyle w:val="Hyperlink"/>
          </w:rPr>
          <w:t xml:space="preserve">https://doi.org/10.1111/j.1752-1688.2011.00635.x</w:t>
        </w:r>
      </w:hyperlink>
      <w:r>
        <w:t xml:space="preserve">.</w:t>
      </w:r>
    </w:p>
    <w:bookmarkEnd w:id="108"/>
    <w:bookmarkStart w:id="11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9">
        <w:r>
          <w:rPr>
            <w:rStyle w:val="Hyperlink"/>
          </w:rPr>
          <w:t xml:space="preserve">https://doi.org/10.1016/j.scitotenv.2015.07.083</w:t>
        </w:r>
      </w:hyperlink>
      <w:r>
        <w:t xml:space="preserve">.</w:t>
      </w:r>
    </w:p>
    <w:bookmarkEnd w:id="110"/>
    <w:bookmarkStart w:id="112"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1">
        <w:r>
          <w:rPr>
            <w:rStyle w:val="Hyperlink"/>
          </w:rPr>
          <w:t xml:space="preserve">https://doi.org/10.1007%2Fs00267-008-9151-1</w:t>
        </w:r>
      </w:hyperlink>
      <w:r>
        <w:t xml:space="preserve">.</w:t>
      </w:r>
    </w:p>
    <w:bookmarkEnd w:id="112"/>
    <w:bookmarkStart w:id="113"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3"/>
    <w:bookmarkStart w:id="115"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4">
        <w:r>
          <w:rPr>
            <w:rStyle w:val="Hyperlink"/>
          </w:rPr>
          <w:t xml:space="preserve">https://doi.org/10.1007/s10661-014-4086-x</w:t>
        </w:r>
      </w:hyperlink>
      <w:r>
        <w:t xml:space="preserve">.</w:t>
      </w:r>
    </w:p>
    <w:bookmarkEnd w:id="115"/>
    <w:bookmarkStart w:id="11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6"/>
    <w:bookmarkStart w:id="11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7"/>
    <w:bookmarkStart w:id="11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8">
        <w:r>
          <w:rPr>
            <w:rStyle w:val="Hyperlink"/>
          </w:rPr>
          <w:t xml:space="preserve">https://CRAN.R-project.org/package=quantregForest</w:t>
        </w:r>
      </w:hyperlink>
      <w:r>
        <w:t xml:space="preserve">.</w:t>
      </w:r>
    </w:p>
    <w:bookmarkEnd w:id="119"/>
    <w:bookmarkStart w:id="120"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0"/>
    <w:bookmarkStart w:id="122"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1">
        <w:r>
          <w:rPr>
            <w:rStyle w:val="Hyperlink"/>
          </w:rPr>
          <w:t xml:space="preserve">https://doi.org/10.1016/j.watres.2004.09.002</w:t>
        </w:r>
      </w:hyperlink>
      <w:r>
        <w:t xml:space="preserve">.</w:t>
      </w:r>
    </w:p>
    <w:bookmarkEnd w:id="122"/>
    <w:bookmarkStart w:id="123"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3"/>
    <w:bookmarkStart w:id="124"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4"/>
    <w:bookmarkStart w:id="126"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5">
        <w:r>
          <w:rPr>
            <w:rStyle w:val="Hyperlink"/>
          </w:rPr>
          <w:t xml:space="preserve">https://doi.org/10.1890/11-0077.1</w:t>
        </w:r>
      </w:hyperlink>
      <w:r>
        <w:t xml:space="preserve">.</w:t>
      </w:r>
    </w:p>
    <w:bookmarkEnd w:id="126"/>
    <w:bookmarkStart w:id="127"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7"/>
    <w:bookmarkStart w:id="129"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8">
        <w:r>
          <w:rPr>
            <w:rStyle w:val="Hyperlink"/>
          </w:rPr>
          <w:t xml:space="preserve">https://doi.org/10.1111/gec3.12039</w:t>
        </w:r>
      </w:hyperlink>
      <w:r>
        <w:t xml:space="preserve">.</w:t>
      </w:r>
    </w:p>
    <w:bookmarkEnd w:id="129"/>
    <w:bookmarkStart w:id="131"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0">
        <w:r>
          <w:rPr>
            <w:rStyle w:val="Hyperlink"/>
          </w:rPr>
          <w:t xml:space="preserve">https://doi.org/10.1007/s10661-010-1385-8</w:t>
        </w:r>
      </w:hyperlink>
      <w:r>
        <w:t xml:space="preserve">.</w:t>
      </w:r>
    </w:p>
    <w:bookmarkEnd w:id="131"/>
    <w:bookmarkStart w:id="133"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2">
        <w:r>
          <w:rPr>
            <w:rStyle w:val="Hyperlink"/>
          </w:rPr>
          <w:t xml:space="preserve">https://doi.org/10.1046/j.1365-2427.2001.00758.x</w:t>
        </w:r>
      </w:hyperlink>
      <w:r>
        <w:t xml:space="preserve">.</w:t>
      </w:r>
    </w:p>
    <w:bookmarkEnd w:id="133"/>
    <w:bookmarkStart w:id="135"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4">
        <w:r>
          <w:rPr>
            <w:rStyle w:val="Hyperlink"/>
          </w:rPr>
          <w:t xml:space="preserve">https://doi.org/10.1111/jawr.12035</w:t>
        </w:r>
      </w:hyperlink>
      <w:r>
        <w:t xml:space="preserve">.</w:t>
      </w:r>
    </w:p>
    <w:bookmarkEnd w:id="135"/>
    <w:bookmarkStart w:id="136"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6"/>
    <w:bookmarkStart w:id="138"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37">
        <w:r>
          <w:rPr>
            <w:rStyle w:val="Hyperlink"/>
          </w:rPr>
          <w:t xml:space="preserve">https://doi.org/10.1111/j.1365-2664.2008.01548.x</w:t>
        </w:r>
      </w:hyperlink>
      <w:r>
        <w:t xml:space="preserve">.</w:t>
      </w:r>
    </w:p>
    <w:bookmarkEnd w:id="138"/>
    <w:bookmarkStart w:id="139" w:name="ref-USEPA16"/>
    <w:p>
      <w:pPr>
        <w:pStyle w:val="Bibliography"/>
      </w:pPr>
      <w:r>
        <w:t xml:space="preserve">USEPA (US Environmental Protection Agency). 2016. “National Rivers and Streams Assessment 2008-2009: A Collaborative Survey.” EPA-841-R-16-007. Washington, DC.</w:t>
      </w:r>
    </w:p>
    <w:bookmarkEnd w:id="139"/>
    <w:bookmarkStart w:id="140" w:name="ref-USGS99"/>
    <w:p>
      <w:pPr>
        <w:pStyle w:val="Bibliography"/>
      </w:pPr>
      <w:r>
        <w:t xml:space="preserve">USGS (US Geological Survey). 1999. “The quality of our nation’s waters: nutrients and pesticides.” Reston, Virginia.</w:t>
      </w:r>
    </w:p>
    <w:bookmarkEnd w:id="140"/>
    <w:bookmarkStart w:id="141" w:name="ref-USGS14"/>
    <w:p>
      <w:pPr>
        <w:pStyle w:val="Bibliography"/>
      </w:pPr>
      <w:r>
        <w:t xml:space="preserve">———. 2014. “National Hydrography Dataset available on the World Wide Web.”</w:t>
      </w:r>
    </w:p>
    <w:bookmarkEnd w:id="141"/>
    <w:bookmarkStart w:id="143"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2">
        <w:r>
          <w:rPr>
            <w:rStyle w:val="Hyperlink"/>
          </w:rPr>
          <w:t xml:space="preserve">https://doi.org/10.1023/A:1023374524254</w:t>
        </w:r>
      </w:hyperlink>
      <w:r>
        <w:t xml:space="preserve">.</w:t>
      </w:r>
    </w:p>
    <w:bookmarkEnd w:id="143"/>
    <w:bookmarkStart w:id="145"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4">
        <w:r>
          <w:rPr>
            <w:rStyle w:val="Hyperlink"/>
          </w:rPr>
          <w:t xml:space="preserve">https://doi.org/10.1111/jawr.12032</w:t>
        </w:r>
      </w:hyperlink>
      <w:r>
        <w:t xml:space="preserve">.</w:t>
      </w:r>
    </w:p>
    <w:bookmarkEnd w:id="145"/>
    <w:bookmarkStart w:id="147"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6">
        <w:r>
          <w:rPr>
            <w:rStyle w:val="Hyperlink"/>
          </w:rPr>
          <w:t xml:space="preserve">https://doi.org/10.1371/journal.pone.0090944</w:t>
        </w:r>
      </w:hyperlink>
      <w:r>
        <w:t xml:space="preserve">.</w:t>
      </w:r>
    </w:p>
    <w:bookmarkEnd w:id="147"/>
    <w:bookmarkStart w:id="149"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48">
        <w:r>
          <w:rPr>
            <w:rStyle w:val="Hyperlink"/>
          </w:rPr>
          <w:t xml:space="preserve">https://doi.org/10.1577/1548-8446(1997)022%3C0006:IOWLUO%3E2.0.CO;2</w:t>
        </w:r>
      </w:hyperlink>
      <w:r>
        <w:t xml:space="preserve">.</w:t>
      </w:r>
    </w:p>
    <w:bookmarkEnd w:id="149"/>
    <w:bookmarkEnd w:id="15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18"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91" Target="https://doi.org/10.1002/etc.2059" TargetMode="External" /><Relationship Type="http://schemas.openxmlformats.org/officeDocument/2006/relationships/hyperlink" Id="rId85"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9" Target="https://doi.org/10.1007/s10661-008-0256-z" TargetMode="External" /><Relationship Type="http://schemas.openxmlformats.org/officeDocument/2006/relationships/hyperlink" Id="rId130"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95" Target="https://doi.org/10.1007/s10661-017-6025-0" TargetMode="External" /><Relationship Type="http://schemas.openxmlformats.org/officeDocument/2006/relationships/hyperlink" Id="rId81"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1" Target="https://doi.org/10.1016/j.watres.2004.09.002" TargetMode="External" /><Relationship Type="http://schemas.openxmlformats.org/officeDocument/2006/relationships/hyperlink" Id="rId142"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2" Target="https://doi.org/10.1046/j.1365-2427.2001.00758.x" TargetMode="External" /><Relationship Type="http://schemas.openxmlformats.org/officeDocument/2006/relationships/hyperlink" Id="rId83"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28" Target="https://doi.org/10.1111/gec3.12039" TargetMode="External" /><Relationship Type="http://schemas.openxmlformats.org/officeDocument/2006/relationships/hyperlink" Id="rId89" Target="https://doi.org/10.1111/j.1365-2427.2011.02696.x" TargetMode="External" /><Relationship Type="http://schemas.openxmlformats.org/officeDocument/2006/relationships/hyperlink" Id="rId137" Target="https://doi.org/10.1111/j.1365-2664.2008.01548.x" TargetMode="External" /><Relationship Type="http://schemas.openxmlformats.org/officeDocument/2006/relationships/hyperlink" Id="rId77"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44" Target="https://doi.org/10.1111/jawr.12032" TargetMode="External" /><Relationship Type="http://schemas.openxmlformats.org/officeDocument/2006/relationships/hyperlink" Id="rId134"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46"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48" Target="https://doi.org/10.1577/1548-8446(1997)022%3C0006:IOWLUO%3E2.0.CO;2" TargetMode="External" /><Relationship Type="http://schemas.openxmlformats.org/officeDocument/2006/relationships/hyperlink" Id="rId125" Target="https://doi.org/10.1890/11-0077.1" TargetMode="External" /><Relationship Type="http://schemas.openxmlformats.org/officeDocument/2006/relationships/hyperlink" Id="rId87" Target="https://doi.org/10.1899/0887-3593(2004)023%3C0599:BWRSUO%3E2.0.CO;2"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18"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91" Target="https://doi.org/10.1002/etc.2059" TargetMode="External" /><Relationship Type="http://schemas.openxmlformats.org/officeDocument/2006/relationships/hyperlink" Id="rId85"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9" Target="https://doi.org/10.1007/s10661-008-0256-z" TargetMode="External" /><Relationship Type="http://schemas.openxmlformats.org/officeDocument/2006/relationships/hyperlink" Id="rId130"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95" Target="https://doi.org/10.1007/s10661-017-6025-0" TargetMode="External" /><Relationship Type="http://schemas.openxmlformats.org/officeDocument/2006/relationships/hyperlink" Id="rId81"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1" Target="https://doi.org/10.1016/j.watres.2004.09.002" TargetMode="External" /><Relationship Type="http://schemas.openxmlformats.org/officeDocument/2006/relationships/hyperlink" Id="rId142"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2" Target="https://doi.org/10.1046/j.1365-2427.2001.00758.x" TargetMode="External" /><Relationship Type="http://schemas.openxmlformats.org/officeDocument/2006/relationships/hyperlink" Id="rId83"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28" Target="https://doi.org/10.1111/gec3.12039" TargetMode="External" /><Relationship Type="http://schemas.openxmlformats.org/officeDocument/2006/relationships/hyperlink" Id="rId89" Target="https://doi.org/10.1111/j.1365-2427.2011.02696.x" TargetMode="External" /><Relationship Type="http://schemas.openxmlformats.org/officeDocument/2006/relationships/hyperlink" Id="rId137" Target="https://doi.org/10.1111/j.1365-2664.2008.01548.x" TargetMode="External" /><Relationship Type="http://schemas.openxmlformats.org/officeDocument/2006/relationships/hyperlink" Id="rId77"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44" Target="https://doi.org/10.1111/jawr.12032" TargetMode="External" /><Relationship Type="http://schemas.openxmlformats.org/officeDocument/2006/relationships/hyperlink" Id="rId134"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46"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48" Target="https://doi.org/10.1577/1548-8446(1997)022%3C0006:IOWLUO%3E2.0.CO;2" TargetMode="External" /><Relationship Type="http://schemas.openxmlformats.org/officeDocument/2006/relationships/hyperlink" Id="rId125" Target="https://doi.org/10.1890/11-0077.1" TargetMode="External" /><Relationship Type="http://schemas.openxmlformats.org/officeDocument/2006/relationships/hyperlink" Id="rId87" Target="https://doi.org/10.1899/0887-3593(2004)023%3C0599:BWRSUO%3E2.0.CO;2"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2018-06-13T19:36:48Z</dcterms:created>
  <dcterms:modified xsi:type="dcterms:W3CDTF">2018-06-13T19:36:48Z</dcterms:modified>
</cp:coreProperties>
</file>