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5.png" ContentType="image/png"/>
  <Override PartName="/word/media/rId58.png" ContentType="image/png"/>
  <Override PartName="/word/media/rId57.png" ContentType="image/png"/>
  <Override PartName="/word/media/rId61.png" ContentType="image/png"/>
  <Override PartName="/word/media/rId60.png" ContentType="image/png"/>
  <Override PartName="/word/media/rId59.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R.</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Tue Jul 3 13:51:22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specifically focusing on the potential of urban and agricultural land use to constrain biological condition. We include a case study that demonstrates how the statewide model can be used to classify and prioritize in a regional context using guidance from a local stakeholder group from a heavily urbanized watershed. An interactive software tool is also described that was developed to help choose management priorities from the landscape model.</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with extreme variation in altitude, geology,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was developed to estimate likely ranges of CSCI scores associated with urban and agricultural land use gradients, collectively defined as developed landscapes.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 S1). These variables were chosen specifically to model scores only in relation to constraints on biological condition that are typically beyond the scope of management intervention or where costs to mitigate are likely prohibitive. Potential effects on biological condition that may vary through time or from stressors not associated with urban or agricultural land use were not captured by the model. Similarly, potential differences in the magnitude of potential effects for the chosen variables were also not explicitly evaluated. Within these limits, deviation of observed scores from the model predictions were considered diagnostic of variation not related to landscape effects at a coarse level, in addition to potential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conversely where streams are unlikely to be impacted by placing bounds on the range of expectations relative to landscape constraints. Quantile regression forests were used to predict CSCI scores in each stream reach at five percent intervals (i.e., 5th, 10th, etc.) from the 5th to 95th percentile of expectations.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1</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1</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among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The possibly and likely constrained classes were evaluated together as were the possibly and likely unconstrained classes.</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2</w:t>
      </w:r>
      <w:r>
        <w:t xml:space="preserve">). To facilitate the process, a template was used that showed the site scores relative to the reach classifications (Figure S3,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 S1).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 S2).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 S2).</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4</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4</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4</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4</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 S4, see Figure S5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7</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5</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5</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5</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6</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 S3).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6</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can identity the location and extent of biologically constrained channels in urban and agricultural landscapes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 provides a tool to determine how managers can best use limited resources for stream management by focusing on reaches where recommended actions are most likely to have the intended outcome of improving or protecting biological condition. The approach also leverages information from multiple sources to develop a context for biological assessment that provides an expectation of what is likely to be achieved relative to urban and agricultural stressors.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There are several assumptions in the landscape model that were reflected in the results or that require attention when applying the model outside of urban and agricultural settings. First, the model was developed with a focus on the needs of managers that apply bioassessment tools in developed landscapes. This includes a large segment of the management community in California and also describes areas of the state where large financial investments are made to protect water quality and quantity relative to other areas. As such, landscape variables were chosen that were expected to capture the effects of development in these areas on CSCI scores (Table S1). The model performed well in this context, but not for regions where other stressor gradients have impacted biological health. This could lead to potentially misguided conclusions that stem from the assumptions that guided development of the model. For example, the results suggest that streams in the North Coast and Sierra Nevada regions are largely unconstrained, but model performance was poor for these areas. The dominant stressors that could affect stream condition in these regions originate from unique sources that are not common in developed landscapes, e.g., silviculture, timber harvesting, and cannabis cultivation. The current landscape model does not capture these impacts nor are adequate data available to describe the potential impacts.</w:t>
      </w:r>
    </w:p>
    <w:p>
      <w:pPr>
        <w:pStyle w:val="BodyText"/>
      </w:pPr>
      <w:r>
        <w:t xml:space="preserve">An additional assumption is that the landscape model and the CSCI can adequately discriminate between intractable constraints on biology that are spatially and temporally pervasive relative to more tractable constraints. This assumption applies to any stressor gradient that could be used to develop the model. For example, our model adequately described urban constraints but there was no context for temporal or spatial scales that have management relevance. Pervasive alteration to groundwater and hydrology is common in highly developed areas and the long-term effects of this alteration on biological condition suggests that stream communities may not ever achieve reference conditions even in the most extreme management interventions. Similar arguments could be made for other land use gradients. A landscape model developed to describe constraints from timber harvesting practices may not provide adequate information on the long-term impacts of, for example, siltation on stream integrity if the input data does not describe these impacts at relevant spatial and temporal scales for managers. The potential legacy impacts of large-scale alterations of the natural environment is not well-captured by the current model, neither from a spatial nor temporal perspective. Our analysis of landscape factors associated with constraints using additional StreamCat variables provided a preliminary means of addressing this concern, although a more refined application of the landscape model would be necessary to evaluate different scales of impact. This could include developing separate models for each region, as well as more careful selection of model inputs to capture scales of interest for potential impacts on stream health.</w:t>
      </w:r>
    </w:p>
    <w:p>
      <w:pPr>
        <w:pStyle w:val="Heading2"/>
      </w:pPr>
      <w:bookmarkStart w:id="47" w:name="biological-constraints-are-meaningful-in-a-landscape-context"/>
      <w:r>
        <w:t xml:space="preserve">Biological constraints are meaningful in a landscape context</w:t>
      </w:r>
      <w:bookmarkEnd w:id="47"/>
    </w:p>
    <w:p>
      <w:pPr>
        <w:pStyle w:val="FirstParagraph"/>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An expected range of CSCI scores that is relatively low is an indication that stressors originating from the landscape may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challenges in engaging stakeholders were encountered wherein a complete understanding of concepts, as well as limitations, of the model was insufficient for discussing regional application to the SGR watershed. The tool provided a means of demonstrating these concepts that was not possible through more conventional methods, such as static presentations or simple text vignettes. SCAPE also allowed stakeholders to explore the key decision points that affect the model output, specifically related to changing certainties in the CSCI score predictions and the ability to explore alternative thresholds for biological objectives. This functionality is key in our approach to allow the stakeholders to develop recommendations that are completely independent of the model, i.e., decisions are not hard-wired into the model nor SCAPE. Because of this tool, this stakeholder group has a better understanding of the potential impacts of biointegrity policies currently under review in California, and will therefore have more meaningful engagement in the development and implementation of these policies.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a small set of sites where more intensive analyses may be appropriate.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to prioritize conservation or restoration beyond California should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under-performing relative to a biological endpoint. Doing so in California provided stakeholders with important context that helped establish management priorities, demonstrating the potential utility of this approach in other states.</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4457700"/>
            <wp:effectExtent b="0" l="0" r="0" t="0"/>
            <wp:docPr descr="Figure 4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58"/>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4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59"/>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5 Application of the landscape model to stream reaches in the San Gabriel River watershed, Los Angeles County,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biological threshold for the CSCI (dashed lined) and location of the median expectation (white ticks).</w:t>
      </w:r>
    </w:p>
    <w:p>
      <w:pPr>
        <w:pStyle w:val="CaptionedFigure"/>
      </w:pPr>
      <w:r>
        <w:drawing>
          <wp:inline>
            <wp:extent cx="5943600" cy="5572125"/>
            <wp:effectExtent b="0" l="0" r="0" t="0"/>
            <wp:docPr descr="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 title="" id="1" name="Picture"/>
            <a:graphic>
              <a:graphicData uri="http://schemas.openxmlformats.org/drawingml/2006/picture">
                <pic:pic>
                  <pic:nvPicPr>
                    <pic:cNvPr descr="figs/sgrresmap.png" id="0" name="Picture"/>
                    <pic:cNvPicPr>
                      <a:picLocks noChangeArrowheads="1" noChangeAspect="1"/>
                    </pic:cNvPicPr>
                  </pic:nvPicPr>
                  <pic:blipFill>
                    <a:blip r:embed="rId60"/>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6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maintenance and monitoring is sufficient for a site. Recommended actions were defined by a local stakeholder group (see Figure S3).</w:t>
      </w:r>
    </w:p>
    <w:p>
      <w:pPr>
        <w:pStyle w:val="CaptionedFigure"/>
      </w:pPr>
      <w:r>
        <w:drawing>
          <wp:inline>
            <wp:extent cx="5943600" cy="4245428"/>
            <wp:effectExtent b="0" l="0" r="0" t="0"/>
            <wp:docPr descr="Figure 7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7 Changes in stream reach classes by region and statewide for different scenarios used to define biological constraints. Twenty-seven scenarios were tested that evaluated different combinations of certainty in the CSCI predictions (nine scenarios from wide to narrow prediction intervals as identified by the tail cutoff for the expected range) and potential CSCI threshold (three scenarios for relaxed to more conservative). The percentage of total stream length for each classification is shown for each scenario. CV: Central Valley, CH: Chaparral, DM: Deserts and Modoc Plateau, NC: North Coast, SN: Sierra Nevada, SC: South Coast.</w:t>
      </w:r>
    </w:p>
    <w:p>
      <w:pPr>
        <w:pStyle w:val="Heading1"/>
      </w:pPr>
      <w:bookmarkStart w:id="62" w:name="tables"/>
      <w:r>
        <w:t xml:space="preserve">Tables</w:t>
      </w:r>
      <w:bookmarkEnd w:id="62"/>
    </w:p>
    <w:p>
      <w:pPr>
        <w:pStyle w:val="TableCaption"/>
      </w:pPr>
      <w:r>
        <w:t xml:space="preserve">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1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2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BodyText"/>
      </w:pPr>
      <w:r>
        <w:rPr>
          <w:i/>
        </w:rPr>
        <w:t xml:space="preserve">Table</w:t>
      </w:r>
      <w:r>
        <w:rPr>
          <w:i/>
        </w:rPr>
        <w:t xml:space="preserve"> </w:t>
      </w:r>
      <w:r>
        <w:rPr>
          <w:i/>
        </w:rPr>
        <w:t xml:space="preserve">3</w:t>
      </w:r>
      <w:r>
        <w:rPr>
          <w:i/>
        </w:rPr>
        <w:t xml:space="preserve">: (#tab:clstot) Summary of stream length for each stream class statewide and major regions of California (Figures</w:t>
      </w:r>
      <w:r>
        <w:rPr>
          <w:i/>
        </w:rPr>
        <w:t xml:space="preserve"> </w:t>
      </w:r>
      <w:r>
        <w:rPr>
          <w:i/>
        </w:rPr>
        <w:t xml:space="preserve">1</w:t>
      </w:r>
      <w:r>
        <w:rPr>
          <w:i/>
        </w:rPr>
        <w:t xml:space="preserve">,</w:t>
      </w:r>
      <w:r>
        <w:rPr>
          <w:i/>
        </w:rPr>
        <w:t xml:space="preserve"> </w:t>
      </w:r>
      <w:r>
        <w:rPr>
          <w:i/>
        </w:rPr>
        <w:t xml:space="preserve">4</w:t>
      </w:r>
      <w:r>
        <w:rPr>
          <w:i/>
        </w:rPr>
        <w:t xml:space="preserve">). Lengths are in kilometers with the percentage of the total length in a region in parentheses. All lengths are based on a CSCI threshold of 0.79 and the 10th to 90th percentile of expected scores from the landscape model.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4</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4</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and Modoc Plateau,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5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w:t>
      </w:r>
    </w:p>
    <w:tbl>
      <w:tblPr>
        <w:tblStyle w:val="Table"/>
        <w:tblW w:type="pct" w:w="0.0"/>
        <w:tblLook w:firstRow="1"/>
        <w:tblCaption w:val="Table 5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and Modoc Plateau,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High certainty (10th - 90th)</w:t>
            </w:r>
          </w:p>
        </w:tc>
        <w:tc>
          <w:tcPr>
            <w:tcBorders>
              <w:bottom w:val="single"/>
            </w:tcBorders>
            <w:vAlign w:val="bottom"/>
          </w:tcPr>
          <w:p>
            <w:pPr>
              <w:pStyle w:val="Compact"/>
              <w:jc w:val="left"/>
            </w:pPr>
            <w:r>
              <w:t xml:space="preserve">Moderate (25th - 75th)</w:t>
            </w:r>
          </w:p>
        </w:tc>
        <w:tc>
          <w:tcPr>
            <w:tcBorders>
              <w:bottom w:val="single"/>
            </w:tcBorders>
            <w:vAlign w:val="bottom"/>
          </w:tcPr>
          <w:p>
            <w:pPr>
              <w:pStyle w:val="Compact"/>
              <w:jc w:val="left"/>
            </w:pPr>
            <w:r>
              <w:t xml:space="preserve">Low certainty (40th - 60th)</w:t>
            </w:r>
          </w:p>
        </w:tc>
      </w:tr>
      <w:tr>
        <w:tc>
          <w:p>
            <w:pPr>
              <w:pStyle w:val="Compact"/>
              <w:jc w:val="left"/>
            </w:pPr>
            <w:r>
              <w:t xml:space="preserve">Statewide</w:t>
            </w:r>
          </w:p>
        </w:tc>
        <w:tc>
          <w:p>
            <w:pPr>
              <w:pStyle w:val="Compact"/>
              <w:jc w:val="left"/>
            </w:pPr>
            <w:r>
              <w:t xml:space="preserve">Urban</w:t>
            </w:r>
          </w:p>
        </w:tc>
        <w:tc>
          <w:p>
            <w:pPr>
              <w:pStyle w:val="Compact"/>
              <w:jc w:val="left"/>
            </w:pPr>
            <w:r>
              <w:t xml:space="preserve">0.34 - 0.83</w:t>
            </w:r>
          </w:p>
        </w:tc>
        <w:tc>
          <w:p>
            <w:pPr>
              <w:pStyle w:val="Compact"/>
              <w:jc w:val="left"/>
            </w:pPr>
            <w:r>
              <w:t xml:space="preserve">0.45 - 0.72</w:t>
            </w:r>
          </w:p>
        </w:tc>
        <w:tc>
          <w:p>
            <w:pPr>
              <w:pStyle w:val="Compact"/>
              <w:jc w:val="left"/>
            </w:pPr>
            <w:r>
              <w:t xml:space="preserve">0.53 - 0.64</w:t>
            </w:r>
          </w:p>
        </w:tc>
      </w:tr>
      <w:tr>
        <w:tc>
          <w:p>
            <w:pPr>
              <w:pStyle w:val="Compact"/>
            </w:pPr>
          </w:p>
        </w:tc>
        <w:tc>
          <w:p>
            <w:pPr>
              <w:pStyle w:val="Compact"/>
              <w:jc w:val="left"/>
            </w:pPr>
            <w:r>
              <w:t xml:space="preserve">Ag</w:t>
            </w:r>
          </w:p>
        </w:tc>
        <w:tc>
          <w:p>
            <w:pPr>
              <w:pStyle w:val="Compact"/>
              <w:jc w:val="left"/>
            </w:pPr>
            <w:r>
              <w:t xml:space="preserve">0.38 - 0.93</w:t>
            </w:r>
          </w:p>
        </w:tc>
        <w:tc>
          <w:p>
            <w:pPr>
              <w:pStyle w:val="Compact"/>
              <w:jc w:val="left"/>
            </w:pPr>
            <w:r>
              <w:t xml:space="preserve">0.47 - 0.77</w:t>
            </w:r>
          </w:p>
        </w:tc>
        <w:tc>
          <w:p>
            <w:pPr>
              <w:pStyle w:val="Compact"/>
              <w:jc w:val="left"/>
            </w:pPr>
            <w:r>
              <w:t xml:space="preserve">0.54 - 0.66</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DM</w:t>
            </w:r>
          </w:p>
        </w:tc>
        <w:tc>
          <w:p>
            <w:pPr>
              <w:pStyle w:val="Compact"/>
              <w:jc w:val="left"/>
            </w:pPr>
            <w:r>
              <w:t xml:space="preserve">Urban</w:t>
            </w:r>
          </w:p>
        </w:tc>
        <w:tc>
          <w:p>
            <w:pPr>
              <w:pStyle w:val="Compact"/>
              <w:jc w:val="left"/>
            </w:pPr>
            <w:r>
              <w:t xml:space="preserve">0.53 - 1.07</w:t>
            </w:r>
          </w:p>
        </w:tc>
        <w:tc>
          <w:p>
            <w:pPr>
              <w:pStyle w:val="Compact"/>
              <w:jc w:val="left"/>
            </w:pPr>
            <w:r>
              <w:t xml:space="preserve">0.68 - 0.98</w:t>
            </w:r>
          </w:p>
        </w:tc>
        <w:tc>
          <w:p>
            <w:pPr>
              <w:pStyle w:val="Compact"/>
              <w:jc w:val="left"/>
            </w:pPr>
            <w:r>
              <w:t xml:space="preserve">0.78 - 0.89</w:t>
            </w:r>
          </w:p>
        </w:tc>
      </w:tr>
      <w:tr>
        <w:tc>
          <w:p>
            <w:pPr>
              <w:pStyle w:val="Compact"/>
            </w:pPr>
          </w:p>
        </w:tc>
        <w:tc>
          <w:p>
            <w:pPr>
              <w:pStyle w:val="Compact"/>
              <w:jc w:val="left"/>
            </w:pPr>
            <w:r>
              <w:t xml:space="preserve">Ag</w:t>
            </w:r>
          </w:p>
        </w:tc>
        <w:tc>
          <w:p>
            <w:pPr>
              <w:pStyle w:val="Compact"/>
              <w:jc w:val="left"/>
            </w:pPr>
            <w:r>
              <w:t xml:space="preserve">0.39 - 0.96</w:t>
            </w:r>
          </w:p>
        </w:tc>
        <w:tc>
          <w:p>
            <w:pPr>
              <w:pStyle w:val="Compact"/>
              <w:jc w:val="left"/>
            </w:pPr>
            <w:r>
              <w:t xml:space="preserve">0.48 - 0.78</w:t>
            </w:r>
          </w:p>
        </w:tc>
        <w:tc>
          <w:p>
            <w:pPr>
              <w:pStyle w:val="Compact"/>
              <w:jc w:val="left"/>
            </w:pPr>
            <w:r>
              <w:t xml:space="preserve">0.56 - 0.67</w:t>
            </w:r>
          </w:p>
        </w:tc>
      </w:tr>
      <w:tr>
        <w:tc>
          <w:p>
            <w:pPr>
              <w:pStyle w:val="Compact"/>
            </w:pPr>
          </w:p>
        </w:tc>
        <w:tc>
          <w:p>
            <w:pPr>
              <w:pStyle w:val="Compact"/>
              <w:jc w:val="left"/>
            </w:pPr>
            <w:r>
              <w:t xml:space="preserve">Open</w:t>
            </w:r>
          </w:p>
        </w:tc>
        <w:tc>
          <w:p>
            <w:pPr>
              <w:pStyle w:val="Compact"/>
              <w:jc w:val="left"/>
            </w:pPr>
            <w:r>
              <w:t xml:space="preserve">0.79 - 1.15</w:t>
            </w:r>
          </w:p>
        </w:tc>
        <w:tc>
          <w:p>
            <w:pPr>
              <w:pStyle w:val="Compact"/>
              <w:jc w:val="left"/>
            </w:pPr>
            <w:r>
              <w:t xml:space="preserve">0.90 - 1.08</w:t>
            </w:r>
          </w:p>
        </w:tc>
        <w:tc>
          <w:p>
            <w:pPr>
              <w:pStyle w:val="Compact"/>
              <w:jc w:val="left"/>
            </w:pPr>
            <w:r>
              <w:t xml:space="preserve">0.96 - 1.03</w:t>
            </w:r>
          </w:p>
        </w:tc>
      </w:tr>
      <w:tr>
        <w:tc>
          <w:p>
            <w:pPr>
              <w:pStyle w:val="Compact"/>
              <w:jc w:val="left"/>
            </w:pPr>
            <w:r>
              <w:t xml:space="preserve">SN</w:t>
            </w:r>
          </w:p>
        </w:tc>
        <w:tc>
          <w:p>
            <w:pPr>
              <w:pStyle w:val="Compact"/>
              <w:jc w:val="left"/>
            </w:pPr>
            <w:r>
              <w:t xml:space="preserve">Urban</w:t>
            </w:r>
          </w:p>
        </w:tc>
        <w:tc>
          <w:p>
            <w:pPr>
              <w:pStyle w:val="Compact"/>
              <w:jc w:val="left"/>
            </w:pPr>
            <w:r>
              <w:t xml:space="preserve">0.51 - 1.07</w:t>
            </w:r>
          </w:p>
        </w:tc>
        <w:tc>
          <w:p>
            <w:pPr>
              <w:pStyle w:val="Compact"/>
              <w:jc w:val="left"/>
            </w:pPr>
            <w:r>
              <w:t xml:space="preserve">0.65 - 0.97</w:t>
            </w:r>
          </w:p>
        </w:tc>
        <w:tc>
          <w:p>
            <w:pPr>
              <w:pStyle w:val="Compact"/>
              <w:jc w:val="left"/>
            </w:pPr>
            <w:r>
              <w:t xml:space="preserve">0.76 - 0.88</w:t>
            </w:r>
          </w:p>
        </w:tc>
      </w:tr>
      <w:tr>
        <w:tc>
          <w:p>
            <w:pPr>
              <w:pStyle w:val="Compact"/>
            </w:pPr>
          </w:p>
        </w:tc>
        <w:tc>
          <w:p>
            <w:pPr>
              <w:pStyle w:val="Compact"/>
              <w:jc w:val="left"/>
            </w:pPr>
            <w:r>
              <w:t xml:space="preserve">Ag</w:t>
            </w:r>
          </w:p>
        </w:tc>
        <w:tc>
          <w:p>
            <w:pPr>
              <w:pStyle w:val="Compact"/>
              <w:jc w:val="left"/>
            </w:pPr>
            <w:r>
              <w:t xml:space="preserve">0.41 - 1.03</w:t>
            </w:r>
          </w:p>
        </w:tc>
        <w:tc>
          <w:p>
            <w:pPr>
              <w:pStyle w:val="Compact"/>
              <w:jc w:val="left"/>
            </w:pPr>
            <w:r>
              <w:t xml:space="preserve">0.53 - 0.87</w:t>
            </w:r>
          </w:p>
        </w:tc>
        <w:tc>
          <w:p>
            <w:pPr>
              <w:pStyle w:val="Compact"/>
              <w:jc w:val="left"/>
            </w:pPr>
            <w:r>
              <w:t xml:space="preserve">0.62 - 0.75</w:t>
            </w:r>
          </w:p>
        </w:tc>
      </w:tr>
      <w:tr>
        <w:tc>
          <w:p>
            <w:pPr>
              <w:pStyle w:val="Compact"/>
            </w:pPr>
          </w:p>
        </w:tc>
        <w:tc>
          <w:p>
            <w:pPr>
              <w:pStyle w:val="Compact"/>
              <w:jc w:val="left"/>
            </w:pPr>
            <w:r>
              <w:t xml:space="preserve">Open</w:t>
            </w:r>
          </w:p>
        </w:tc>
        <w:tc>
          <w:p>
            <w:pPr>
              <w:pStyle w:val="Compact"/>
              <w:jc w:val="left"/>
            </w:pPr>
            <w:r>
              <w:t xml:space="preserve">0.80 - 1.16</w:t>
            </w:r>
          </w:p>
        </w:tc>
        <w:tc>
          <w:p>
            <w:pPr>
              <w:pStyle w:val="Compact"/>
              <w:jc w:val="left"/>
            </w:pPr>
            <w:r>
              <w:t xml:space="preserve">0.92 - 1.09</w:t>
            </w:r>
          </w:p>
        </w:tc>
        <w:tc>
          <w:p>
            <w:pPr>
              <w:pStyle w:val="Compact"/>
              <w:jc w:val="left"/>
            </w:pPr>
            <w:r>
              <w:t xml:space="preserve">0.98 - 1.04</w:t>
            </w:r>
          </w:p>
        </w:tc>
      </w:tr>
      <w:tr>
        <w:tc>
          <w:p>
            <w:pPr>
              <w:pStyle w:val="Compact"/>
              <w:jc w:val="left"/>
            </w:pPr>
            <w:r>
              <w:t xml:space="preserve">NC</w:t>
            </w:r>
          </w:p>
        </w:tc>
        <w:tc>
          <w:p>
            <w:pPr>
              <w:pStyle w:val="Compact"/>
              <w:jc w:val="left"/>
            </w:pPr>
            <w:r>
              <w:t xml:space="preserve">Urban</w:t>
            </w:r>
          </w:p>
        </w:tc>
        <w:tc>
          <w:p>
            <w:pPr>
              <w:pStyle w:val="Compact"/>
              <w:jc w:val="left"/>
            </w:pPr>
            <w:r>
              <w:t xml:space="preserve">0.72 - 1.17</w:t>
            </w:r>
          </w:p>
        </w:tc>
        <w:tc>
          <w:p>
            <w:pPr>
              <w:pStyle w:val="Compact"/>
              <w:jc w:val="left"/>
            </w:pPr>
            <w:r>
              <w:t xml:space="preserve">0.87 - 1.10</w:t>
            </w:r>
          </w:p>
        </w:tc>
        <w:tc>
          <w:p>
            <w:pPr>
              <w:pStyle w:val="Compact"/>
              <w:jc w:val="left"/>
            </w:pPr>
            <w:r>
              <w:t xml:space="preserve">0.94 - 1.04</w:t>
            </w:r>
          </w:p>
        </w:tc>
      </w:tr>
      <w:tr>
        <w:tc>
          <w:p>
            <w:pPr>
              <w:pStyle w:val="Compact"/>
            </w:pPr>
          </w:p>
        </w:tc>
        <w:tc>
          <w:p>
            <w:pPr>
              <w:pStyle w:val="Compact"/>
              <w:jc w:val="left"/>
            </w:pPr>
            <w:r>
              <w:t xml:space="preserve">Ag</w:t>
            </w:r>
          </w:p>
        </w:tc>
        <w:tc>
          <w:p>
            <w:pPr>
              <w:pStyle w:val="Compact"/>
              <w:jc w:val="left"/>
            </w:pPr>
            <w:r>
              <w:t xml:space="preserve">0.41 - 1.04</w:t>
            </w:r>
          </w:p>
        </w:tc>
        <w:tc>
          <w:p>
            <w:pPr>
              <w:pStyle w:val="Compact"/>
              <w:jc w:val="left"/>
            </w:pPr>
            <w:r>
              <w:t xml:space="preserve">0.51 - 0.86</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0.82 - 1.14</w:t>
            </w:r>
          </w:p>
        </w:tc>
        <w:tc>
          <w:p>
            <w:pPr>
              <w:pStyle w:val="Compact"/>
              <w:jc w:val="left"/>
            </w:pPr>
            <w:r>
              <w:t xml:space="preserve">0.92 - 1.07</w:t>
            </w:r>
          </w:p>
        </w:tc>
        <w:tc>
          <w:p>
            <w:pPr>
              <w:pStyle w:val="Compact"/>
              <w:jc w:val="left"/>
            </w:pPr>
            <w:r>
              <w:t xml:space="preserve">0.97 - 1.03</w:t>
            </w:r>
          </w:p>
        </w:tc>
      </w:tr>
      <w:tr>
        <w:tc>
          <w:p>
            <w:pPr>
              <w:pStyle w:val="Compact"/>
              <w:jc w:val="left"/>
            </w:pPr>
            <w:r>
              <w:t xml:space="preserve">CH</w:t>
            </w:r>
          </w:p>
        </w:tc>
        <w:tc>
          <w:p>
            <w:pPr>
              <w:pStyle w:val="Compact"/>
              <w:jc w:val="left"/>
            </w:pPr>
            <w:r>
              <w:t xml:space="preserve">Urban</w:t>
            </w:r>
          </w:p>
        </w:tc>
        <w:tc>
          <w:p>
            <w:pPr>
              <w:pStyle w:val="Compact"/>
              <w:jc w:val="left"/>
            </w:pPr>
            <w:r>
              <w:t xml:space="preserve">0.32 - 0.80</w:t>
            </w:r>
          </w:p>
        </w:tc>
        <w:tc>
          <w:p>
            <w:pPr>
              <w:pStyle w:val="Compact"/>
              <w:jc w:val="left"/>
            </w:pPr>
            <w:r>
              <w:t xml:space="preserve">0.42 - 0.69</w:t>
            </w:r>
          </w:p>
        </w:tc>
        <w:tc>
          <w:p>
            <w:pPr>
              <w:pStyle w:val="Compact"/>
              <w:jc w:val="left"/>
            </w:pPr>
            <w:r>
              <w:t xml:space="preserve">0.50 - 0.60</w:t>
            </w:r>
          </w:p>
        </w:tc>
      </w:tr>
      <w:tr>
        <w:tc>
          <w:p>
            <w:pPr>
              <w:pStyle w:val="Compact"/>
            </w:pPr>
          </w:p>
        </w:tc>
        <w:tc>
          <w:p>
            <w:pPr>
              <w:pStyle w:val="Compact"/>
              <w:jc w:val="left"/>
            </w:pPr>
            <w:r>
              <w:t xml:space="preserve">Ag</w:t>
            </w:r>
          </w:p>
        </w:tc>
        <w:tc>
          <w:p>
            <w:pPr>
              <w:pStyle w:val="Compact"/>
              <w:jc w:val="left"/>
            </w:pPr>
            <w:r>
              <w:t xml:space="preserve">0.40 - 0.98</w:t>
            </w:r>
          </w:p>
        </w:tc>
        <w:tc>
          <w:p>
            <w:pPr>
              <w:pStyle w:val="Compact"/>
              <w:jc w:val="left"/>
            </w:pPr>
            <w:r>
              <w:t xml:space="preserve">0.51 - 0.84</w:t>
            </w:r>
          </w:p>
        </w:tc>
        <w:tc>
          <w:p>
            <w:pPr>
              <w:pStyle w:val="Compact"/>
              <w:jc w:val="left"/>
            </w:pPr>
            <w:r>
              <w:t xml:space="preserve">0.60 - 0.72</w:t>
            </w:r>
          </w:p>
        </w:tc>
      </w:tr>
      <w:tr>
        <w:tc>
          <w:p>
            <w:pPr>
              <w:pStyle w:val="Compact"/>
            </w:pPr>
          </w:p>
        </w:tc>
        <w:tc>
          <w:p>
            <w:pPr>
              <w:pStyle w:val="Compact"/>
              <w:jc w:val="left"/>
            </w:pPr>
            <w:r>
              <w:t xml:space="preserve">Open</w:t>
            </w:r>
          </w:p>
        </w:tc>
        <w:tc>
          <w:p>
            <w:pPr>
              <w:pStyle w:val="Compact"/>
              <w:jc w:val="left"/>
            </w:pPr>
            <w:r>
              <w:t xml:space="preserve">0.80 - 1.15</w:t>
            </w:r>
          </w:p>
        </w:tc>
        <w:tc>
          <w:p>
            <w:pPr>
              <w:pStyle w:val="Compact"/>
              <w:jc w:val="left"/>
            </w:pPr>
            <w:r>
              <w:t xml:space="preserve">0.91 - 1.08</w:t>
            </w:r>
          </w:p>
        </w:tc>
        <w:tc>
          <w:p>
            <w:pPr>
              <w:pStyle w:val="Compact"/>
              <w:jc w:val="left"/>
            </w:pPr>
            <w:r>
              <w:t xml:space="preserve">0.97 - 1.03</w:t>
            </w:r>
          </w:p>
        </w:tc>
      </w:tr>
      <w:tr>
        <w:tc>
          <w:p>
            <w:pPr>
              <w:pStyle w:val="Compact"/>
              <w:jc w:val="left"/>
            </w:pPr>
            <w:r>
              <w:t xml:space="preserve">CV</w:t>
            </w:r>
          </w:p>
        </w:tc>
        <w:tc>
          <w:p>
            <w:pPr>
              <w:pStyle w:val="Compact"/>
              <w:jc w:val="left"/>
            </w:pPr>
            <w:r>
              <w:t xml:space="preserve">Urban</w:t>
            </w:r>
          </w:p>
        </w:tc>
        <w:tc>
          <w:p>
            <w:pPr>
              <w:pStyle w:val="Compact"/>
              <w:jc w:val="left"/>
            </w:pPr>
            <w:r>
              <w:t xml:space="preserve">0.39 - 0.90</w:t>
            </w:r>
          </w:p>
        </w:tc>
        <w:tc>
          <w:p>
            <w:pPr>
              <w:pStyle w:val="Compact"/>
              <w:jc w:val="left"/>
            </w:pPr>
            <w:r>
              <w:t xml:space="preserve">0.51 - 0.79</w:t>
            </w:r>
          </w:p>
        </w:tc>
        <w:tc>
          <w:p>
            <w:pPr>
              <w:pStyle w:val="Compact"/>
              <w:jc w:val="left"/>
            </w:pPr>
            <w:r>
              <w:t xml:space="preserve">0.60 - 0.71</w:t>
            </w:r>
          </w:p>
        </w:tc>
      </w:tr>
      <w:tr>
        <w:tc>
          <w:p>
            <w:pPr>
              <w:pStyle w:val="Compact"/>
            </w:pPr>
          </w:p>
        </w:tc>
        <w:tc>
          <w:p>
            <w:pPr>
              <w:pStyle w:val="Compact"/>
              <w:jc w:val="left"/>
            </w:pPr>
            <w:r>
              <w:t xml:space="preserve">Ag</w:t>
            </w:r>
          </w:p>
        </w:tc>
        <w:tc>
          <w:p>
            <w:pPr>
              <w:pStyle w:val="Compact"/>
              <w:jc w:val="left"/>
            </w:pPr>
            <w:r>
              <w:t xml:space="preserve">0.36 - 0.89</w:t>
            </w:r>
          </w:p>
        </w:tc>
        <w:tc>
          <w:p>
            <w:pPr>
              <w:pStyle w:val="Compact"/>
              <w:jc w:val="left"/>
            </w:pPr>
            <w:r>
              <w:t xml:space="preserve">0.45 - 0.73</w:t>
            </w:r>
          </w:p>
        </w:tc>
        <w:tc>
          <w:p>
            <w:pPr>
              <w:pStyle w:val="Compact"/>
              <w:jc w:val="left"/>
            </w:pPr>
            <w:r>
              <w:t xml:space="preserve">0.52 - 0.63</w:t>
            </w:r>
          </w:p>
        </w:tc>
      </w:tr>
      <w:tr>
        <w:tc>
          <w:p>
            <w:pPr>
              <w:pStyle w:val="Compact"/>
            </w:pPr>
          </w:p>
        </w:tc>
        <w:tc>
          <w:p>
            <w:pPr>
              <w:pStyle w:val="Compact"/>
              <w:jc w:val="left"/>
            </w:pPr>
            <w:r>
              <w:t xml:space="preserve">Open</w:t>
            </w:r>
          </w:p>
        </w:tc>
        <w:tc>
          <w:p>
            <w:pPr>
              <w:pStyle w:val="Compact"/>
              <w:jc w:val="left"/>
            </w:pPr>
            <w:r>
              <w:t xml:space="preserve">0.67 - 1.11</w:t>
            </w:r>
          </w:p>
        </w:tc>
        <w:tc>
          <w:p>
            <w:pPr>
              <w:pStyle w:val="Compact"/>
              <w:jc w:val="left"/>
            </w:pPr>
            <w:r>
              <w:t xml:space="preserve">0.80 - 1.02</w:t>
            </w:r>
          </w:p>
        </w:tc>
        <w:tc>
          <w:p>
            <w:pPr>
              <w:pStyle w:val="Compact"/>
              <w:jc w:val="left"/>
            </w:pPr>
            <w:r>
              <w:t xml:space="preserve">0.87 - 0.96</w:t>
            </w:r>
          </w:p>
        </w:tc>
      </w:tr>
      <w:tr>
        <w:tc>
          <w:p>
            <w:pPr>
              <w:pStyle w:val="Compact"/>
              <w:jc w:val="left"/>
            </w:pPr>
            <w:r>
              <w:t xml:space="preserve">SC</w:t>
            </w:r>
          </w:p>
        </w:tc>
        <w:tc>
          <w:p>
            <w:pPr>
              <w:pStyle w:val="Compact"/>
              <w:jc w:val="left"/>
            </w:pPr>
            <w:r>
              <w:t xml:space="preserve">Urban</w:t>
            </w:r>
          </w:p>
        </w:tc>
        <w:tc>
          <w:p>
            <w:pPr>
              <w:pStyle w:val="Compact"/>
              <w:jc w:val="left"/>
            </w:pPr>
            <w:r>
              <w:t xml:space="preserve">0.30 - 0.76</w:t>
            </w:r>
          </w:p>
        </w:tc>
        <w:tc>
          <w:p>
            <w:pPr>
              <w:pStyle w:val="Compact"/>
              <w:jc w:val="left"/>
            </w:pPr>
            <w:r>
              <w:t xml:space="preserve">0.40 - 0.66</w:t>
            </w:r>
          </w:p>
        </w:tc>
        <w:tc>
          <w:p>
            <w:pPr>
              <w:pStyle w:val="Compact"/>
              <w:jc w:val="left"/>
            </w:pPr>
            <w:r>
              <w:t xml:space="preserve">0.48 - 0.57</w:t>
            </w:r>
          </w:p>
        </w:tc>
      </w:tr>
      <w:tr>
        <w:tc>
          <w:p>
            <w:pPr>
              <w:pStyle w:val="Compact"/>
            </w:pPr>
          </w:p>
        </w:tc>
        <w:tc>
          <w:p>
            <w:pPr>
              <w:pStyle w:val="Compact"/>
              <w:jc w:val="left"/>
            </w:pPr>
            <w:r>
              <w:t xml:space="preserve">Ag</w:t>
            </w:r>
          </w:p>
        </w:tc>
        <w:tc>
          <w:p>
            <w:pPr>
              <w:pStyle w:val="Compact"/>
              <w:jc w:val="left"/>
            </w:pPr>
            <w:r>
              <w:t xml:space="preserve">0.41 - 1.01</w:t>
            </w:r>
          </w:p>
        </w:tc>
        <w:tc>
          <w:p>
            <w:pPr>
              <w:pStyle w:val="Compact"/>
              <w:jc w:val="left"/>
            </w:pPr>
            <w:r>
              <w:t xml:space="preserve">0.53 - 0.90</w:t>
            </w:r>
          </w:p>
        </w:tc>
        <w:tc>
          <w:p>
            <w:pPr>
              <w:pStyle w:val="Compact"/>
              <w:jc w:val="left"/>
            </w:pPr>
            <w:r>
              <w:t xml:space="preserve">0.63 - 0.78</w:t>
            </w:r>
          </w:p>
        </w:tc>
      </w:tr>
      <w:tr>
        <w:tc>
          <w:p>
            <w:pPr>
              <w:pStyle w:val="Compact"/>
            </w:pPr>
          </w:p>
        </w:tc>
        <w:tc>
          <w:p>
            <w:pPr>
              <w:pStyle w:val="Compact"/>
              <w:jc w:val="left"/>
            </w:pPr>
            <w:r>
              <w:t xml:space="preserve">Open</w:t>
            </w:r>
          </w:p>
        </w:tc>
        <w:tc>
          <w:p>
            <w:pPr>
              <w:pStyle w:val="Compact"/>
              <w:jc w:val="left"/>
            </w:pPr>
            <w:r>
              <w:t xml:space="preserve">0.83 - 1.15</w:t>
            </w:r>
          </w:p>
        </w:tc>
        <w:tc>
          <w:p>
            <w:pPr>
              <w:pStyle w:val="Compact"/>
              <w:jc w:val="left"/>
            </w:pPr>
            <w:r>
              <w:t xml:space="preserve">0.93 - 1.08</w:t>
            </w:r>
          </w:p>
        </w:tc>
        <w:tc>
          <w:p>
            <w:pPr>
              <w:pStyle w:val="Compact"/>
              <w:jc w:val="left"/>
            </w:pPr>
            <w:r>
              <w:t xml:space="preserve">0.98 - 1.04</w:t>
            </w:r>
          </w:p>
        </w:tc>
      </w:tr>
    </w:tbl>
    <w:p>
      <w:pPr>
        <w:pStyle w:val="Heading1"/>
      </w:pPr>
      <w:bookmarkStart w:id="63" w:name="references"/>
      <w:r>
        <w:t xml:space="preserve">References</w:t>
      </w:r>
      <w:bookmarkEnd w:id="63"/>
    </w:p>
    <w:bookmarkStart w:id="156" w:name="refs"/>
    <w:bookmarkStart w:id="65"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4">
        <w:r>
          <w:rPr>
            <w:rStyle w:val="Hyperlink"/>
          </w:rPr>
          <w:t xml:space="preserve">https://doi.org/10.1046/j.1365-2427.1997.d01-546.x</w:t>
        </w:r>
      </w:hyperlink>
      <w:r>
        <w:t xml:space="preserve">.</w:t>
      </w:r>
    </w:p>
    <w:bookmarkEnd w:id="65"/>
    <w:bookmarkStart w:id="67"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66">
        <w:r>
          <w:rPr>
            <w:rStyle w:val="Hyperlink"/>
          </w:rPr>
          <w:t xml:space="preserve">https://doi.org/10.1146/annurev.ecolsys.35.120202.110122</w:t>
        </w:r>
      </w:hyperlink>
      <w:r>
        <w:t xml:space="preserve">.</w:t>
      </w:r>
    </w:p>
    <w:bookmarkEnd w:id="67"/>
    <w:bookmarkStart w:id="68"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68"/>
    <w:bookmarkStart w:id="70"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69">
        <w:r>
          <w:rPr>
            <w:rStyle w:val="Hyperlink"/>
          </w:rPr>
          <w:t xml:space="preserve">https://doi.org/10.1016/j.landurbplan.2012.07.009</w:t>
        </w:r>
      </w:hyperlink>
      <w:r>
        <w:t xml:space="preserve">.</w:t>
      </w:r>
    </w:p>
    <w:bookmarkEnd w:id="70"/>
    <w:bookmarkStart w:id="72"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1">
        <w:r>
          <w:rPr>
            <w:rStyle w:val="Hyperlink"/>
          </w:rPr>
          <w:t xml:space="preserve">https://doi.org/10.1007/s10661-014-4132-8</w:t>
        </w:r>
      </w:hyperlink>
      <w:r>
        <w:t xml:space="preserve">.</w:t>
      </w:r>
    </w:p>
    <w:bookmarkEnd w:id="72"/>
    <w:bookmarkStart w:id="73"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3"/>
    <w:bookmarkStart w:id="74" w:name="ref-CRWQCB14"/>
    <w:p>
      <w:pPr>
        <w:pStyle w:val="Bibliography"/>
      </w:pPr>
      <w:r>
        <w:t xml:space="preserve">California Regional Water Quality Control Board, Los Angeles Region. 2014. “Basin Plan for the Coastal Watersheds of Los Angeles and Ventura Counties.”</w:t>
      </w:r>
    </w:p>
    <w:bookmarkEnd w:id="74"/>
    <w:bookmarkStart w:id="76"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75">
        <w:r>
          <w:rPr>
            <w:rStyle w:val="Hyperlink"/>
          </w:rPr>
          <w:t xml:space="preserve">https://doi.org/10.1111/j.1526-100X.2007.00285.x</w:t>
        </w:r>
      </w:hyperlink>
      <w:r>
        <w:t xml:space="preserve">.</w:t>
      </w:r>
    </w:p>
    <w:bookmarkEnd w:id="76"/>
    <w:bookmarkStart w:id="78"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77">
        <w:r>
          <w:rPr>
            <w:rStyle w:val="Hyperlink"/>
          </w:rPr>
          <w:t xml:space="preserve">https://doi.org/10.1007/s10661-008-0256-z</w:t>
        </w:r>
      </w:hyperlink>
      <w:r>
        <w:t xml:space="preserve">.</w:t>
      </w:r>
    </w:p>
    <w:bookmarkEnd w:id="78"/>
    <w:bookmarkStart w:id="80"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79">
        <w:r>
          <w:rPr>
            <w:rStyle w:val="Hyperlink"/>
          </w:rPr>
          <w:t xml:space="preserve">https://doi.org/10.1016/j.ecolind.2013.07.006</w:t>
        </w:r>
      </w:hyperlink>
      <w:r>
        <w:t xml:space="preserve">.</w:t>
      </w:r>
    </w:p>
    <w:bookmarkEnd w:id="80"/>
    <w:bookmarkStart w:id="82"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1">
        <w:r>
          <w:rPr>
            <w:rStyle w:val="Hyperlink"/>
          </w:rPr>
          <w:t xml:space="preserve">https://doi.org/10.1086/678701</w:t>
        </w:r>
      </w:hyperlink>
      <w:r>
        <w:t xml:space="preserve">.</w:t>
      </w:r>
    </w:p>
    <w:bookmarkEnd w:id="82"/>
    <w:bookmarkStart w:id="84"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3">
        <w:r>
          <w:rPr>
            <w:rStyle w:val="Hyperlink"/>
          </w:rPr>
          <w:t xml:space="preserve">https://doi.org/10.1002/rra.1053</w:t>
        </w:r>
      </w:hyperlink>
      <w:r>
        <w:t xml:space="preserve">.</w:t>
      </w:r>
    </w:p>
    <w:bookmarkEnd w:id="84"/>
    <w:bookmarkStart w:id="86"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85">
        <w:r>
          <w:rPr>
            <w:rStyle w:val="Hyperlink"/>
          </w:rPr>
          <w:t xml:space="preserve">https://doi.org/10.1899/0887-3593(2004)023%3C0599:BWRSUO%3E2.0.CO;2</w:t>
        </w:r>
      </w:hyperlink>
      <w:r>
        <w:t xml:space="preserve">.</w:t>
      </w:r>
    </w:p>
    <w:bookmarkEnd w:id="86"/>
    <w:bookmarkStart w:id="88"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87">
        <w:r>
          <w:rPr>
            <w:rStyle w:val="Hyperlink"/>
          </w:rPr>
          <w:t xml:space="preserve">https://doi.org/10.1111/j.1365-2427.2011.02696.x</w:t>
        </w:r>
      </w:hyperlink>
      <w:r>
        <w:t xml:space="preserve">.</w:t>
      </w:r>
    </w:p>
    <w:bookmarkEnd w:id="88"/>
    <w:bookmarkStart w:id="90"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89">
        <w:r>
          <w:rPr>
            <w:rStyle w:val="Hyperlink"/>
          </w:rPr>
          <w:t xml:space="preserve">https://doi.org/10.1002/etc.2059</w:t>
        </w:r>
      </w:hyperlink>
      <w:r>
        <w:t xml:space="preserve">.</w:t>
      </w:r>
    </w:p>
    <w:bookmarkEnd w:id="90"/>
    <w:bookmarkStart w:id="91"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1"/>
    <w:bookmarkStart w:id="93"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2">
        <w:r>
          <w:rPr>
            <w:rStyle w:val="Hyperlink"/>
          </w:rPr>
          <w:t xml:space="preserve">https://doi.org/10.1111/j.1752-1688.2000.tb05717.x</w:t>
        </w:r>
      </w:hyperlink>
      <w:r>
        <w:t xml:space="preserve">.</w:t>
      </w:r>
    </w:p>
    <w:bookmarkEnd w:id="93"/>
    <w:bookmarkStart w:id="94"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4"/>
    <w:bookmarkStart w:id="96"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95">
        <w:r>
          <w:rPr>
            <w:rStyle w:val="Hyperlink"/>
          </w:rPr>
          <w:t xml:space="preserve">https://doi.org/10.1007/s10661-017-6025-0</w:t>
        </w:r>
      </w:hyperlink>
      <w:r>
        <w:t xml:space="preserve">.</w:t>
      </w:r>
    </w:p>
    <w:bookmarkEnd w:id="96"/>
    <w:bookmarkStart w:id="97"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97"/>
    <w:bookmarkStart w:id="99"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98">
        <w:r>
          <w:rPr>
            <w:rStyle w:val="Hyperlink"/>
          </w:rPr>
          <w:t xml:space="preserve">https://doi.org/10.1002/eap.1617</w:t>
        </w:r>
      </w:hyperlink>
      <w:r>
        <w:t xml:space="preserve">.</w:t>
      </w:r>
    </w:p>
    <w:bookmarkEnd w:id="99"/>
    <w:bookmarkStart w:id="101"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0">
        <w:r>
          <w:rPr>
            <w:rStyle w:val="Hyperlink"/>
          </w:rPr>
          <w:t xml:space="preserve">https://doi.org/10.1111/1752-1688.12372</w:t>
        </w:r>
      </w:hyperlink>
      <w:r>
        <w:t xml:space="preserve">.</w:t>
      </w:r>
    </w:p>
    <w:bookmarkEnd w:id="101"/>
    <w:bookmarkStart w:id="103"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2">
        <w:r>
          <w:rPr>
            <w:rStyle w:val="Hyperlink"/>
          </w:rPr>
          <w:t xml:space="preserve">https://doi.org/10.1086/697996</w:t>
        </w:r>
      </w:hyperlink>
      <w:r>
        <w:t xml:space="preserve">.</w:t>
      </w:r>
    </w:p>
    <w:bookmarkEnd w:id="103"/>
    <w:bookmarkStart w:id="105"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4">
        <w:r>
          <w:rPr>
            <w:rStyle w:val="Hyperlink"/>
          </w:rPr>
          <w:t xml:space="preserve">https://doi.org/10.1371/journal.pone.0130710</w:t>
        </w:r>
      </w:hyperlink>
      <w:r>
        <w:t xml:space="preserve">.</w:t>
      </w:r>
    </w:p>
    <w:bookmarkEnd w:id="105"/>
    <w:bookmarkStart w:id="106"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06"/>
    <w:bookmarkStart w:id="108"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07">
        <w:r>
          <w:rPr>
            <w:rStyle w:val="Hyperlink"/>
          </w:rPr>
          <w:t xml:space="preserve">https://doi.org/10.1111/j.1752-1688.2011.00635.x</w:t>
        </w:r>
      </w:hyperlink>
      <w:r>
        <w:t xml:space="preserve">.</w:t>
      </w:r>
    </w:p>
    <w:bookmarkEnd w:id="108"/>
    <w:bookmarkStart w:id="110"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09">
        <w:r>
          <w:rPr>
            <w:rStyle w:val="Hyperlink"/>
          </w:rPr>
          <w:t xml:space="preserve">https://doi.org/10.1016/j.scitotenv.2015.07.083</w:t>
        </w:r>
      </w:hyperlink>
      <w:r>
        <w:t xml:space="preserve">.</w:t>
      </w:r>
    </w:p>
    <w:bookmarkEnd w:id="110"/>
    <w:bookmarkStart w:id="112"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1">
        <w:r>
          <w:rPr>
            <w:rStyle w:val="Hyperlink"/>
          </w:rPr>
          <w:t xml:space="preserve">https://doi.org/10.1007%2Fs00267-008-9151-1</w:t>
        </w:r>
      </w:hyperlink>
      <w:r>
        <w:t xml:space="preserve">.</w:t>
      </w:r>
    </w:p>
    <w:bookmarkEnd w:id="112"/>
    <w:bookmarkStart w:id="113"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3"/>
    <w:bookmarkStart w:id="115"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4">
        <w:r>
          <w:rPr>
            <w:rStyle w:val="Hyperlink"/>
          </w:rPr>
          <w:t xml:space="preserve">https://doi.org/10.1007/s10661-014-4086-x</w:t>
        </w:r>
      </w:hyperlink>
      <w:r>
        <w:t xml:space="preserve">.</w:t>
      </w:r>
    </w:p>
    <w:bookmarkEnd w:id="115"/>
    <w:bookmarkStart w:id="116"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16"/>
    <w:bookmarkStart w:id="117" w:name="ref-McKay12"/>
    <w:p>
      <w:pPr>
        <w:pStyle w:val="Bibliography"/>
      </w:pPr>
      <w:r>
        <w:t xml:space="preserve">McKay, L., T. Bondelid, T. Dewald, J. Johnston, R. Moore, and A. Reah. 2012. “NHDPlus Version 2: User Guide.”</w:t>
      </w:r>
    </w:p>
    <w:bookmarkEnd w:id="117"/>
    <w:bookmarkStart w:id="118"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18"/>
    <w:bookmarkStart w:id="120"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19">
        <w:r>
          <w:rPr>
            <w:rStyle w:val="Hyperlink"/>
          </w:rPr>
          <w:t xml:space="preserve">https://CRAN.R-project.org/package=quantregForest</w:t>
        </w:r>
      </w:hyperlink>
      <w:r>
        <w:t xml:space="preserve">.</w:t>
      </w:r>
    </w:p>
    <w:bookmarkEnd w:id="120"/>
    <w:bookmarkStart w:id="121"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1"/>
    <w:bookmarkStart w:id="122"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2"/>
    <w:bookmarkStart w:id="124"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3">
        <w:r>
          <w:rPr>
            <w:rStyle w:val="Hyperlink"/>
          </w:rPr>
          <w:t xml:space="preserve">https://doi.org/10.1111/j.1365-2427.1987.tb01027.x</w:t>
        </w:r>
      </w:hyperlink>
      <w:r>
        <w:t xml:space="preserve">.</w:t>
      </w:r>
    </w:p>
    <w:bookmarkEnd w:id="124"/>
    <w:bookmarkStart w:id="126"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25">
        <w:r>
          <w:rPr>
            <w:rStyle w:val="Hyperlink"/>
          </w:rPr>
          <w:t xml:space="preserve">https://doi.org/10.1016/j.watres.2004.09.002</w:t>
        </w:r>
      </w:hyperlink>
      <w:r>
        <w:t xml:space="preserve">.</w:t>
      </w:r>
    </w:p>
    <w:bookmarkEnd w:id="126"/>
    <w:bookmarkStart w:id="127"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27"/>
    <w:bookmarkStart w:id="128"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28"/>
    <w:bookmarkStart w:id="130"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29">
        <w:r>
          <w:rPr>
            <w:rStyle w:val="Hyperlink"/>
          </w:rPr>
          <w:t xml:space="preserve">https://doi.org/10.1890/11-0077.1</w:t>
        </w:r>
      </w:hyperlink>
      <w:r>
        <w:t xml:space="preserve">.</w:t>
      </w:r>
    </w:p>
    <w:bookmarkEnd w:id="130"/>
    <w:bookmarkStart w:id="131"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1"/>
    <w:bookmarkStart w:id="133"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2">
        <w:r>
          <w:rPr>
            <w:rStyle w:val="Hyperlink"/>
          </w:rPr>
          <w:t xml:space="preserve">https://doi.org/10.1111/gec3.12039</w:t>
        </w:r>
      </w:hyperlink>
      <w:r>
        <w:t xml:space="preserve">.</w:t>
      </w:r>
    </w:p>
    <w:bookmarkEnd w:id="133"/>
    <w:bookmarkStart w:id="135"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4">
        <w:r>
          <w:rPr>
            <w:rStyle w:val="Hyperlink"/>
          </w:rPr>
          <w:t xml:space="preserve">https://doi.org/10.1007/s10661-010-1385-8</w:t>
        </w:r>
      </w:hyperlink>
      <w:r>
        <w:t xml:space="preserve">.</w:t>
      </w:r>
    </w:p>
    <w:bookmarkEnd w:id="135"/>
    <w:bookmarkStart w:id="137"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36">
        <w:r>
          <w:rPr>
            <w:rStyle w:val="Hyperlink"/>
          </w:rPr>
          <w:t xml:space="preserve">https://doi.org/10.1046/j.1365-2427.2001.00758.x</w:t>
        </w:r>
      </w:hyperlink>
      <w:r>
        <w:t xml:space="preserve">.</w:t>
      </w:r>
    </w:p>
    <w:bookmarkEnd w:id="137"/>
    <w:bookmarkStart w:id="139"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38">
        <w:r>
          <w:rPr>
            <w:rStyle w:val="Hyperlink"/>
          </w:rPr>
          <w:t xml:space="preserve">https://doi.org/10.1111/jawr.12035</w:t>
        </w:r>
      </w:hyperlink>
      <w:r>
        <w:t xml:space="preserve">.</w:t>
      </w:r>
    </w:p>
    <w:bookmarkEnd w:id="139"/>
    <w:bookmarkStart w:id="140"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0"/>
    <w:bookmarkStart w:id="142"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1">
        <w:r>
          <w:rPr>
            <w:rStyle w:val="Hyperlink"/>
          </w:rPr>
          <w:t xml:space="preserve">https://www.waterboards.ca.gov/water_issues/programs/swamp/qapp/swamp_QAPrP_2017_Final.pdf</w:t>
        </w:r>
      </w:hyperlink>
      <w:r>
        <w:t xml:space="preserve">.</w:t>
      </w:r>
    </w:p>
    <w:bookmarkEnd w:id="142"/>
    <w:bookmarkStart w:id="144"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3">
        <w:r>
          <w:rPr>
            <w:rStyle w:val="Hyperlink"/>
          </w:rPr>
          <w:t xml:space="preserve">https://doi.org/10.1111/j.1365-2664.2008.01548.x</w:t>
        </w:r>
      </w:hyperlink>
      <w:r>
        <w:t xml:space="preserve">.</w:t>
      </w:r>
    </w:p>
    <w:bookmarkEnd w:id="144"/>
    <w:bookmarkStart w:id="145"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45"/>
    <w:bookmarkStart w:id="146" w:name="ref-USEPA16"/>
    <w:p>
      <w:pPr>
        <w:pStyle w:val="Bibliography"/>
      </w:pPr>
      <w:r>
        <w:t xml:space="preserve">USEPA (US Environmental Protection Agency). 2016. “National Rivers and Streams Assessment 2008-2009: A Collaborative Survey.” EPA-841-R-16-007. Washington, DC.</w:t>
      </w:r>
    </w:p>
    <w:bookmarkEnd w:id="146"/>
    <w:bookmarkStart w:id="147" w:name="ref-USGS99"/>
    <w:p>
      <w:pPr>
        <w:pStyle w:val="Bibliography"/>
      </w:pPr>
      <w:r>
        <w:t xml:space="preserve">USGS (US Geological Survey). 1999. “The quality of our nation’s waters: nutrients and pesticides.” Reston, Virginia.</w:t>
      </w:r>
    </w:p>
    <w:bookmarkEnd w:id="147"/>
    <w:bookmarkStart w:id="149"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48">
        <w:r>
          <w:rPr>
            <w:rStyle w:val="Hyperlink"/>
          </w:rPr>
          <w:t xml:space="preserve">https://doi.org/10.1023/A:1023374524254</w:t>
        </w:r>
      </w:hyperlink>
      <w:r>
        <w:t xml:space="preserve">.</w:t>
      </w:r>
    </w:p>
    <w:bookmarkEnd w:id="149"/>
    <w:bookmarkStart w:id="151"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0">
        <w:r>
          <w:rPr>
            <w:rStyle w:val="Hyperlink"/>
          </w:rPr>
          <w:t xml:space="preserve">https://doi.org/10.1111/jawr.12032</w:t>
        </w:r>
      </w:hyperlink>
      <w:r>
        <w:t xml:space="preserve">.</w:t>
      </w:r>
    </w:p>
    <w:bookmarkEnd w:id="151"/>
    <w:bookmarkStart w:id="153"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2">
        <w:r>
          <w:rPr>
            <w:rStyle w:val="Hyperlink"/>
          </w:rPr>
          <w:t xml:space="preserve">https://doi.org/10.1371/journal.pone.0090944</w:t>
        </w:r>
      </w:hyperlink>
      <w:r>
        <w:t xml:space="preserve">.</w:t>
      </w:r>
    </w:p>
    <w:bookmarkEnd w:id="153"/>
    <w:bookmarkStart w:id="155"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4">
        <w:r>
          <w:rPr>
            <w:rStyle w:val="Hyperlink"/>
          </w:rPr>
          <w:t xml:space="preserve">https://doi.org/10.1577/1548-8446(1997)022%3C0006:IOWLUO%3E2.0.CO;2</w:t>
        </w:r>
      </w:hyperlink>
      <w:r>
        <w:t xml:space="preserve">.</w:t>
      </w:r>
    </w:p>
    <w:bookmarkEnd w:id="155"/>
    <w:bookmarkEnd w:id="156"/>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0" Target="media/rId60.png" /><Relationship Type="http://schemas.openxmlformats.org/officeDocument/2006/relationships/image" Id="rId59" Target="media/rId59.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89" Target="https://doi.org/10.1002/etc.2059" TargetMode="External" /><Relationship Type="http://schemas.openxmlformats.org/officeDocument/2006/relationships/hyperlink" Id="rId83"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7" Target="https://doi.org/10.1007/s10661-008-0256-z" TargetMode="External" /><Relationship Type="http://schemas.openxmlformats.org/officeDocument/2006/relationships/hyperlink" Id="rId134"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71" Target="https://doi.org/10.1007/s10661-014-4132-8" TargetMode="External" /><Relationship Type="http://schemas.openxmlformats.org/officeDocument/2006/relationships/hyperlink" Id="rId95" Target="https://doi.org/10.1007/s10661-017-6025-0" TargetMode="External" /><Relationship Type="http://schemas.openxmlformats.org/officeDocument/2006/relationships/hyperlink" Id="rId79" Target="https://doi.org/10.1016/j.ecolind.2013.07.006" TargetMode="External" /><Relationship Type="http://schemas.openxmlformats.org/officeDocument/2006/relationships/hyperlink" Id="rId69"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5" Target="https://doi.org/10.1016/j.watres.2004.09.002" TargetMode="External" /><Relationship Type="http://schemas.openxmlformats.org/officeDocument/2006/relationships/hyperlink" Id="rId148" Target="https://doi.org/10.1023/A:1023374524254" TargetMode="External" /><Relationship Type="http://schemas.openxmlformats.org/officeDocument/2006/relationships/hyperlink" Id="rId64" Target="https://doi.org/10.1046/j.1365-2427.1997.d01-546.x" TargetMode="External" /><Relationship Type="http://schemas.openxmlformats.org/officeDocument/2006/relationships/hyperlink" Id="rId136" Target="https://doi.org/10.1046/j.1365-2427.2001.00758.x" TargetMode="External" /><Relationship Type="http://schemas.openxmlformats.org/officeDocument/2006/relationships/hyperlink" Id="rId81"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32" Target="https://doi.org/10.1111/gec3.12039" TargetMode="External" /><Relationship Type="http://schemas.openxmlformats.org/officeDocument/2006/relationships/hyperlink" Id="rId123" Target="https://doi.org/10.1111/j.1365-2427.1987.tb01027.x" TargetMode="External" /><Relationship Type="http://schemas.openxmlformats.org/officeDocument/2006/relationships/hyperlink" Id="rId87" Target="https://doi.org/10.1111/j.1365-2427.2011.02696.x" TargetMode="External" /><Relationship Type="http://schemas.openxmlformats.org/officeDocument/2006/relationships/hyperlink" Id="rId143" Target="https://doi.org/10.1111/j.1365-2664.2008.01548.x" TargetMode="External" /><Relationship Type="http://schemas.openxmlformats.org/officeDocument/2006/relationships/hyperlink" Id="rId75"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50" Target="https://doi.org/10.1111/jawr.12032" TargetMode="External" /><Relationship Type="http://schemas.openxmlformats.org/officeDocument/2006/relationships/hyperlink" Id="rId138" Target="https://doi.org/10.1111/jawr.12035" TargetMode="External" /><Relationship Type="http://schemas.openxmlformats.org/officeDocument/2006/relationships/hyperlink" Id="rId66" Target="https://doi.org/10.1146/annurev.ecolsys.35.120202.110122" TargetMode="External" /><Relationship Type="http://schemas.openxmlformats.org/officeDocument/2006/relationships/hyperlink" Id="rId152"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4" Target="https://doi.org/10.1577/1548-8446(1997)022%3C0006:IOWLUO%3E2.0.CO;2" TargetMode="External" /><Relationship Type="http://schemas.openxmlformats.org/officeDocument/2006/relationships/hyperlink" Id="rId129" Target="https://doi.org/10.1890/11-0077.1" TargetMode="External" /><Relationship Type="http://schemas.openxmlformats.org/officeDocument/2006/relationships/hyperlink" Id="rId85" Target="https://doi.org/10.1899/0887-3593(2004)023%3C0599:BWRSUO%3E2.0.CO;2" TargetMode="External" /><Relationship Type="http://schemas.openxmlformats.org/officeDocument/2006/relationships/hyperlink" Id="rId141"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19" Target="https://CRAN.R-project.org/package=quantregForest" TargetMode="External" /><Relationship Type="http://schemas.openxmlformats.org/officeDocument/2006/relationships/hyperlink" Id="rId98" Target="https://doi.org/10.1002/eap.1617" TargetMode="External" /><Relationship Type="http://schemas.openxmlformats.org/officeDocument/2006/relationships/hyperlink" Id="rId89" Target="https://doi.org/10.1002/etc.2059" TargetMode="External" /><Relationship Type="http://schemas.openxmlformats.org/officeDocument/2006/relationships/hyperlink" Id="rId83" Target="https://doi.org/10.1002/rra.1053" TargetMode="External" /><Relationship Type="http://schemas.openxmlformats.org/officeDocument/2006/relationships/hyperlink" Id="rId111" Target="https://doi.org/10.1007%2Fs00267-008-9151-1" TargetMode="External" /><Relationship Type="http://schemas.openxmlformats.org/officeDocument/2006/relationships/hyperlink" Id="rId77" Target="https://doi.org/10.1007/s10661-008-0256-z" TargetMode="External" /><Relationship Type="http://schemas.openxmlformats.org/officeDocument/2006/relationships/hyperlink" Id="rId134" Target="https://doi.org/10.1007/s10661-010-1385-8" TargetMode="External" /><Relationship Type="http://schemas.openxmlformats.org/officeDocument/2006/relationships/hyperlink" Id="rId114" Target="https://doi.org/10.1007/s10661-014-4086-x" TargetMode="External" /><Relationship Type="http://schemas.openxmlformats.org/officeDocument/2006/relationships/hyperlink" Id="rId71" Target="https://doi.org/10.1007/s10661-014-4132-8" TargetMode="External" /><Relationship Type="http://schemas.openxmlformats.org/officeDocument/2006/relationships/hyperlink" Id="rId95" Target="https://doi.org/10.1007/s10661-017-6025-0" TargetMode="External" /><Relationship Type="http://schemas.openxmlformats.org/officeDocument/2006/relationships/hyperlink" Id="rId79" Target="https://doi.org/10.1016/j.ecolind.2013.07.006" TargetMode="External" /><Relationship Type="http://schemas.openxmlformats.org/officeDocument/2006/relationships/hyperlink" Id="rId69" Target="https://doi.org/10.1016/j.landurbplan.2012.07.009" TargetMode="External" /><Relationship Type="http://schemas.openxmlformats.org/officeDocument/2006/relationships/hyperlink" Id="rId109" Target="https://doi.org/10.1016/j.scitotenv.2015.07.083" TargetMode="External" /><Relationship Type="http://schemas.openxmlformats.org/officeDocument/2006/relationships/hyperlink" Id="rId125" Target="https://doi.org/10.1016/j.watres.2004.09.002" TargetMode="External" /><Relationship Type="http://schemas.openxmlformats.org/officeDocument/2006/relationships/hyperlink" Id="rId148" Target="https://doi.org/10.1023/A:1023374524254" TargetMode="External" /><Relationship Type="http://schemas.openxmlformats.org/officeDocument/2006/relationships/hyperlink" Id="rId64" Target="https://doi.org/10.1046/j.1365-2427.1997.d01-546.x" TargetMode="External" /><Relationship Type="http://schemas.openxmlformats.org/officeDocument/2006/relationships/hyperlink" Id="rId136" Target="https://doi.org/10.1046/j.1365-2427.2001.00758.x" TargetMode="External" /><Relationship Type="http://schemas.openxmlformats.org/officeDocument/2006/relationships/hyperlink" Id="rId81" Target="https://doi.org/10.1086/678701" TargetMode="External" /><Relationship Type="http://schemas.openxmlformats.org/officeDocument/2006/relationships/hyperlink" Id="rId102" Target="https://doi.org/10.1086/697996" TargetMode="External" /><Relationship Type="http://schemas.openxmlformats.org/officeDocument/2006/relationships/hyperlink" Id="rId100" Target="https://doi.org/10.1111/1752-1688.12372" TargetMode="External" /><Relationship Type="http://schemas.openxmlformats.org/officeDocument/2006/relationships/hyperlink" Id="rId132" Target="https://doi.org/10.1111/gec3.12039" TargetMode="External" /><Relationship Type="http://schemas.openxmlformats.org/officeDocument/2006/relationships/hyperlink" Id="rId123" Target="https://doi.org/10.1111/j.1365-2427.1987.tb01027.x" TargetMode="External" /><Relationship Type="http://schemas.openxmlformats.org/officeDocument/2006/relationships/hyperlink" Id="rId87" Target="https://doi.org/10.1111/j.1365-2427.2011.02696.x" TargetMode="External" /><Relationship Type="http://schemas.openxmlformats.org/officeDocument/2006/relationships/hyperlink" Id="rId143" Target="https://doi.org/10.1111/j.1365-2664.2008.01548.x" TargetMode="External" /><Relationship Type="http://schemas.openxmlformats.org/officeDocument/2006/relationships/hyperlink" Id="rId75" Target="https://doi.org/10.1111/j.1526-100X.2007.00285.x" TargetMode="External" /><Relationship Type="http://schemas.openxmlformats.org/officeDocument/2006/relationships/hyperlink" Id="rId92" Target="https://doi.org/10.1111/j.1752-1688.2000.tb05717.x" TargetMode="External" /><Relationship Type="http://schemas.openxmlformats.org/officeDocument/2006/relationships/hyperlink" Id="rId107" Target="https://doi.org/10.1111/j.1752-1688.2011.00635.x" TargetMode="External" /><Relationship Type="http://schemas.openxmlformats.org/officeDocument/2006/relationships/hyperlink" Id="rId150" Target="https://doi.org/10.1111/jawr.12032" TargetMode="External" /><Relationship Type="http://schemas.openxmlformats.org/officeDocument/2006/relationships/hyperlink" Id="rId138" Target="https://doi.org/10.1111/jawr.12035" TargetMode="External" /><Relationship Type="http://schemas.openxmlformats.org/officeDocument/2006/relationships/hyperlink" Id="rId66" Target="https://doi.org/10.1146/annurev.ecolsys.35.120202.110122" TargetMode="External" /><Relationship Type="http://schemas.openxmlformats.org/officeDocument/2006/relationships/hyperlink" Id="rId152" Target="https://doi.org/10.1371/journal.pone.0090944" TargetMode="External" /><Relationship Type="http://schemas.openxmlformats.org/officeDocument/2006/relationships/hyperlink" Id="rId104" Target="https://doi.org/10.1371/journal.pone.0130710" TargetMode="External" /><Relationship Type="http://schemas.openxmlformats.org/officeDocument/2006/relationships/hyperlink" Id="rId154" Target="https://doi.org/10.1577/1548-8446(1997)022%3C0006:IOWLUO%3E2.0.CO;2" TargetMode="External" /><Relationship Type="http://schemas.openxmlformats.org/officeDocument/2006/relationships/hyperlink" Id="rId129" Target="https://doi.org/10.1890/11-0077.1" TargetMode="External" /><Relationship Type="http://schemas.openxmlformats.org/officeDocument/2006/relationships/hyperlink" Id="rId85" Target="https://doi.org/10.1899/0887-3593(2004)023%3C0599:BWRSUO%3E2.0.CO;2" TargetMode="External" /><Relationship Type="http://schemas.openxmlformats.org/officeDocument/2006/relationships/hyperlink" Id="rId141"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R. Ode (peter.ode@wildlife.ca.gov), Ryan Hill (hill.ryan@epa.gov), Chad Loflen (Chad.Loflen@waterboards.ca.gov), Martha Sutula (marthas@sccwrp.org), Eric D. Stein (erics@sccwrp.org)</dc:creator>
  <cp:keywords/>
  <dcterms:created xsi:type="dcterms:W3CDTF">2018-07-05T20:47:31Z</dcterms:created>
  <dcterms:modified xsi:type="dcterms:W3CDTF">2018-07-05T20:47:31Z</dcterms:modified>
</cp:coreProperties>
</file>