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6.png" ContentType="image/png"/>
  <Override PartName="/word/media/rId55.png" ContentType="image/png"/>
  <Override PartName="/word/media/rId59.png" ContentType="image/png"/>
  <Override PartName="/word/media/rId58.png" ContentType="image/png"/>
  <Override PartName="/word/media/rId57.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Thu Jul 5 13:48:34 2018 -0700</w:t>
      </w:r>
    </w:p>
    <w:p>
      <w:pPr>
        <w:pStyle w:val="Heading1"/>
      </w:pPr>
      <w:bookmarkStart w:id="30" w:name="abstract"/>
      <w:r>
        <w:t xml:space="preserve">Abstract</w:t>
      </w:r>
      <w:bookmarkEnd w:id="30"/>
    </w:p>
    <w:p>
      <w:pPr>
        <w:pStyle w:val="FirstParagraph"/>
      </w:pPr>
      <w:r>
        <w:t xml:space="preserve">Management goals for stream condition may be difficult where large-scale changes on the landscape (e.g., urbanization) impose constraints on the upper limit of biological integrity. A statewide landscape model was developed that provides context for a macroinvertebrate-based bioasssessment index by predicting a range of expectations that are typical at a site for the observed level of landscape alteration. With this approach, sites can be described as over- or under-scoring relative to an expectatation that is determined by landscape constraints on biological condition. A regional application of the landscape model was used to classify sites and prioritize different management actions by a local stakeholder group of regulators, dischargers, stormwater agencies, and environmental advocates from the San Gabriel River watershed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A clear gradient from the upper to lower watershed was observed in land use that was consistent with the model predictions,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through regulatory statutes if thresholds for biological objectives are impractical within site-specific conditions. Managers require explicit information that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proximal and immediate causes of poor biological condition are often linked to landscape-level factors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whereas the precise link between land use and instream condition may not be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been incentivized or enforced through regulation. Although these approaches can lead to improvements in stream health, there is no universal remedy that applies to all stream types and conditions.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 health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engineered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alternative use designations to account for baseline shifts in ecosystem health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potential as a function of land use constraints could help prioritize where management actions are most likely to achieve intended outcomes, or conversely, where landscape alteration might impose constraints on biological integrity that limits potential for management success.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specifically focusing on the potential of urban and agricultural land use to constrain biological condition. We include a case study that demonstrates how the statewide model can be used to classify and prioritize in a regional context using guidance from a local stakeholder group from a heavily urbanized watershed. An interactive software tool is also described that was developed to help choose management priorities from the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with extreme variation in altitude, geology,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flow lines in the NHD-plus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The StreamCat Dataset was developed specifically for the NHD-plus to leverage the topology of stream connections to estimate cumulative landscape metrics of all reaches.</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metrics that describe the structure and function of the macroinvertebrate community. The index score at a site can vary from 0 to ~ 1.4, with values near 1 indicating an observed community similar to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was developed to estimate likely ranges of CSCI scores associated with urban and agricultural land use gradients, collectively defined as developed landscapes.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 S1). These variables were chosen specifically to model scores only in relation to constraints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potential effects for the chosen variables were also not explicitly evaluated. Within these limits, deviation of observed scores from the model predictions were considered diagnostic of variation not related to landscape effects at a coarse level, in addition to potential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conversely where streams are unlikely to be impacted by placing bounds on the range of expectations relative to landscape constraints. Quantile regression forests were used to predict CSCI scores in each stream reach at five percent intervals (i.e., 5th, 10th, etc.) from the 5th to 95th percentile of expectations.</w:t>
      </w:r>
    </w:p>
    <w:p>
      <w:pPr>
        <w:pStyle w:val="BodyText"/>
      </w:pPr>
      <w:r>
        <w:t xml:space="preserve">Calibration data for the landscape model was based on a random selection of 75% of reaches with observed CSCI scores and where sufficient data were available in StreamCat (n = 1965 reaches). The random selection was stratified by major regions in California (Figure</w:t>
      </w:r>
      <w:r>
        <w:t xml:space="preserve"> </w:t>
      </w:r>
      <w:r>
        <w:t xml:space="preserve">1</w:t>
      </w:r>
      <w:r>
        <w:t xml:space="preserve">), with each further divided into quartiles based on watershed imperviousness. The stratification method was chosen to adequately represent landscape gradients in each ecoreg. For example, the 1st quartile of watershed imperviousness of all reaches in the South Coast was greater than the 3rd quartile of imperviousness of all reaches in the North Coast region. The remaining sites were used for model validation (n = 655). Where multiple samples were available at a single site, one was selected at random for both calibration and validation purposes. Model performance was assessed for the statewide dataset and within each major region. Differences between observed CSCI scores and median predictions were evaluated using Pearson correlations and root mean squared errors (RMSE). Regression analysis between predicted and observed scores was used to assess potential bias based on intercept and slope values differing from 0 and 1, respectively.</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1</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to define nominally low or high scores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1</w:t>
      </w:r>
      <w:r>
        <w:t xml:space="preserve">).</w:t>
      </w:r>
    </w:p>
    <w:p>
      <w:pPr>
        <w:pStyle w:val="BodyText"/>
      </w:pPr>
      <w:r>
        <w:t xml:space="preserve">CSCI scores from biomonitoring data were then used to define relative sites scores at a sample site given the stream reach classification (Figure</w:t>
      </w:r>
      <w:r>
        <w:t xml:space="preserve"> </w:t>
      </w:r>
      <w:r>
        <w:t xml:space="preserve">3</w:t>
      </w:r>
      <w:r>
        <w:t xml:space="preserve">d). This provided a definition to understand the observed score relative to the biological context (i.e., expectation) of a reach.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 scoring</w:t>
      </w:r>
      <w:r>
        <w:t xml:space="preserve">”</w:t>
      </w:r>
      <w:r>
        <w:t xml:space="preserve"> </w:t>
      </w:r>
      <w:r>
        <w:t xml:space="preserve">and sites below the lower limit (e.g., 10th percentile) were</w:t>
      </w:r>
      <w:r>
        <w:t xml:space="preserve"> </w:t>
      </w:r>
      <w:r>
        <w:t xml:space="preserve">“</w:t>
      </w:r>
      <w:r>
        <w:t xml:space="preserve">under scoring</w:t>
      </w:r>
      <w:r>
        <w:t xml:space="preserve">”</w:t>
      </w:r>
      <w:r>
        <w:t xml:space="preserve">. Sites with CSCI scores within the range of expectations were scoring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among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nominally low or high scores (Figure</w:t>
      </w:r>
      <w:r>
        <w:t xml:space="preserve"> </w:t>
      </w:r>
      <w:r>
        <w:t xml:space="preserve">3</w:t>
      </w:r>
      <w:r>
        <w:t xml:space="preserve">c). The 10th and 90th percentile of expected scores at a reach were used as a default range in which a high degree of certainty in the model output is assumed. The effect of reducing this range (e.g., 25th to 75th percentile) to assume less certainty in the model was evaluated. Similary, the CSCI threshold was also changed to assess effects of relaxing or increasing flexibility in defining low or high scores. A threshold of 0.79 was used by default as a measure of the 10th percentile of scores at all reference (non-impacted) sites that were used to calibrate the CSCI index</w:t>
      </w:r>
      <w:r>
        <w:t xml:space="preserve"> </w:t>
      </w:r>
      <w:r>
        <w:t xml:space="preserve">(Mazor et al.</w:t>
      </w:r>
      <w:r>
        <w:t xml:space="preserve"> </w:t>
      </w:r>
      <w:hyperlink w:anchor="ref-Mazor16">
        <w:r>
          <w:rPr>
            <w:rStyle w:val="Hyperlink"/>
          </w:rPr>
          <w:t xml:space="preserve">2016</w:t>
        </w:r>
      </w:hyperlink>
      <w:r>
        <w:t xml:space="preserve">)</w:t>
      </w:r>
      <w:r>
        <w:t xml:space="preserve">. This value was increased to examine effects of a more conservative threshold and decreased for a more relaxed threshold. The combined effects of changing both the certainty in the model and the CSCI threshold were evaluated to estimate the changes in stream extent in each classification.</w:t>
      </w:r>
    </w:p>
    <w:p>
      <w:pPr>
        <w:pStyle w:val="Heading2"/>
      </w:pPr>
      <w:bookmarkStart w:id="38" w:name="defining-management-priorities-in-the-san-gabriel-river-watershed"/>
      <w:r>
        <w:t xml:space="preserve">Defining management priorities in the San Gabriel River watershed</w:t>
      </w:r>
      <w:bookmarkEnd w:id="38"/>
    </w:p>
    <w:p>
      <w:pPr>
        <w:pStyle w:val="FirstParagraph"/>
      </w:pPr>
      <w:r>
        <w:t xml:space="preserve">A framework for identifying site priorities for management actions using the landscape model was developed through engagement with a local stakeholder group. The San Gabriel River Regional Monitoring Program (SGRRMP) includes stakeholders from local municipalities, water districts, water quality regulatory agencies, consulting groups, and non-government organizations that cooperatively work to increase awareness of issues in the SGR watershed and improve coordination of compliance and ambient monitoring efforts. The stakeholder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 Approximately half of the monitored sites in the watershed are in poor biological condition, all of which are in the lower watershed. Pioritizing among the many sites that require some management intervention was a critical objective of the stakeholder group in applying the landscape model.</w:t>
      </w:r>
    </w:p>
    <w:p>
      <w:pPr>
        <w:pStyle w:val="BodyText"/>
      </w:pPr>
      <w:r>
        <w:t xml:space="preserve">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in addition to the scoring expectation for the stream class (Table</w:t>
      </w:r>
      <w:r>
        <w:t xml:space="preserve"> </w:t>
      </w:r>
      <w:r>
        <w:t xml:space="preserve">2</w:t>
      </w:r>
      <w:r>
        <w:t xml:space="preserve">). To facilitate the process, a template was used that showed the site scores relative to the reach classifications (Figure S3,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priority assignments were also made with the explicit recognition that any recommendations are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 The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w:t>
      </w:r>
    </w:p>
    <w:p>
      <w:pPr>
        <w:pStyle w:val="BodyText"/>
      </w:pPr>
      <w:r>
        <w:t xml:space="preserve">The interactive and online Stream Classification and Priority Explorer (SCAPE) tool was created for the stakeholder group to facilitate the recommendation of management actions for each site type (Figure S1,</w:t>
      </w:r>
      <w:r>
        <w:t xml:space="preserve"> </w:t>
      </w:r>
      <w:hyperlink r:id="rId39">
        <w:r>
          <w:rPr>
            <w:rStyle w:val="Hyperlink"/>
          </w:rPr>
          <w:t xml:space="preserve">http://shiny.sccwrp.org/scape/</w:t>
        </w:r>
      </w:hyperlink>
      <w:r>
        <w:t xml:space="preserve">,</w:t>
      </w:r>
      <w:r>
        <w:t xml:space="preserve"> </w:t>
      </w:r>
      <w:r>
        <w:t xml:space="preserve">(</w:t>
      </w:r>
      <w:r>
        <w:rPr>
          <w:b/>
        </w:rPr>
        <w:t xml:space="preserve">???</w:t>
      </w:r>
      <w:r>
        <w:t xml:space="preserve">)</w:t>
      </w:r>
      <w:r>
        <w:t xml:space="preserve">).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Model performance statewide indicated generally good agreement between observed CSCI scores and the median prediction for the associated stream reach (Table S2). Agreement between observed and predicted values for the entire calibration dataset was r = 0.84 (Pearson) and RMSE = 0.14. The intercept and slope for a regression between observed and predicted values were 0.24 and 0.72, suggesting a slight negative bias of predictions at lower scores and slight positive bias at higher scores. The statewide calibration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 S2).</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consistent with land use (Figure</w:t>
      </w:r>
      <w:r>
        <w:t xml:space="preserve"> </w:t>
      </w:r>
      <w:r>
        <w:t xml:space="preserve">4</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4</w:t>
      </w:r>
      <w:r>
        <w:t xml:space="preserve">). Large rivers across the state were more commonly classified as possibly constrained (e.g., Klamath, Sacramento, Colorado rivers). By region, the most reaches classified as likely unconstrained reaches were in the Sierra Nevada (50%), North Coast (46%), and Desert Modoc (46%) regions, whereas the most reaches as likely constrained were observed in the Central Valley (22%) and South Coast (15%) regions. Overall, stream reaches were more often constrained for biotic integrity in regions with more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4</w:t>
      </w:r>
      <w:r>
        <w:t xml:space="preserve">). Relative CSCI scores compared to reach expectations were as expected for 80% of the sampled locations statewide, whereas a much smaller percentage of sites were equally under or over scoring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reaches between each region (Figure S4, see Figure S5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North Coast region and second most important for the Chapparal and Sierra Nevada regions. This variable was not in the top five for the South Coast region, which was exclusively described by imperviousness and urbanization. Soil erodibility was the most important variable in the Chaparral and Sierra Nevada regions.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san-gabriel-river-case-study"/>
      <w:r>
        <w:t xml:space="preserve">San Gabriel River Case study</w:t>
      </w:r>
      <w:bookmarkEnd w:id="44"/>
    </w:p>
    <w:p>
      <w:pPr>
        <w:pStyle w:val="FirstParagraph"/>
      </w:pPr>
      <w:r>
        <w:t xml:space="preserve">Engagement of the stakeholder group demonstrated how management actions can be prioritized through application of the landscape model using the SCAPE tool.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reaches in the upper watershed were a mix of likely and possibly unconstrained (40% and 28%), whereas stream reaches in the lower watershed were classified as likely and possibly constrained (25% and 7%). Several reaches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6</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reaches or those below the biological threshold with possibly unconstrained classification (Figure S3). Continuing current practices were generally recommended at constrained sites or restoration actions were recommended as a low priority despite low CSCI scores.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6</w:t>
      </w:r>
      <w:r>
        <w:t xml:space="preserve">). Sites in the lower watershed were lower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Heading1"/>
      </w:pPr>
      <w:bookmarkStart w:id="45" w:name="discussion"/>
      <w:r>
        <w:t xml:space="preserve">Discussion</w:t>
      </w:r>
      <w:bookmarkEnd w:id="45"/>
    </w:p>
    <w:p>
      <w:pPr>
        <w:pStyle w:val="FirstParagraph"/>
      </w:pPr>
      <w:r>
        <w:t xml:space="preserve">The landscape model can identity the location and extent of biologically constrained channels in urban and agricultural landscapes at the state level and major regions in California.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use limited resources for stream management by focusing on reaches where recommended actions are most likely to have the intended outcome of improving or protecting biological condition. The approach also leverages information from multiple sources to develop a context for biological assessment that provides an expectation of what is likely to be achieved relative to urban and agricultural stressors. This can facilitate more targeted management actions that vary depending on the identified context and can also inform decisions on extent and effort for future monitoring locations.</w:t>
      </w:r>
    </w:p>
    <w:p>
      <w:pPr>
        <w:pStyle w:val="BodyText"/>
      </w:pPr>
      <w:r>
        <w:t xml:space="preserve">Results from our analyses also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enable a discounts against sites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BodyText"/>
      </w:pPr>
      <w:r>
        <w:t xml:space="preserve">There are several assumptions in the landscape model that were reflected in the results or that require attention when applying the model outside of urban and agricultural settings. First, the model was developed with a focus on the needs of managers that apply bioassessment tools in developed landscapes. This includes a large segment of the management community in California and also describes areas of the state where large financial investments are made to protect water quality and quantity relative to other areas. As such, landscape variables were chosen that were expected to capture the effects of development in these areas on CSCI scores (Table S1). The model performed well in this context, but not for regions where other stressor gradients have impacted biological health. This could lead to potentially misguided conclusions that stem from the assumptions that guided development of the model. For example, the results suggest that streams in the North Coast and Sierra Nevada regions are largely unconstrained, but model performance was poor for these areas. The dominant stressors that could affect stream condition in these regions originate from unique sources that are not common in developed landscapes, e.g., silviculture, timber harvesting, and cannabis cultivation. The current landscape model does not capture these impacts nor are adequate data available to describe the potential impacts.</w:t>
      </w:r>
    </w:p>
    <w:p>
      <w:pPr>
        <w:pStyle w:val="BodyText"/>
      </w:pPr>
      <w:r>
        <w:t xml:space="preserve">An additional assumption is that the landscape model and the CSCI can adequately discriminate between intractable constraints on biology that are spatially and temporally pervasive relative to more tractable constraints. This assumption applies to any stressor gradient that could be used to develop the model. For example, our model adequately described urban constraints but there was no context for temporal or spatial scales that have management relevance. Pervasive alteration to groundwater and hydrology is common in highly developed areas and the long-term effects of this alteration on biological condition suggests that stream communities may not ever achieve reference conditions even in the most extreme management interventions. Similar arguments could be made for other land use gradients. A landscape model developed to describe constraints from timber harvesting practices may not provide adequate information on the long-term impacts of, for example, siltation on stream integrity if the input data does not describe these impacts at relevant spatial and temporal scales for managers. The potential legacy impacts of large-scale alterations of the natural environment is not well-captured by the current model, neither from a spatial nor temporal perspective. Our analysis of landscape factors associated with constraints using additional StreamCat variables provided a preliminary means of addressing this concern,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health.</w:t>
      </w:r>
    </w:p>
    <w:p>
      <w:pPr>
        <w:pStyle w:val="Heading2"/>
      </w:pPr>
      <w:bookmarkStart w:id="46" w:name="biological-constraints-are-meaningful-in-a-landscape-context"/>
      <w:r>
        <w:t xml:space="preserve">Biological constraints are meaningful in a landscape context</w:t>
      </w:r>
      <w:bookmarkEnd w:id="46"/>
    </w:p>
    <w:p>
      <w:pPr>
        <w:pStyle w:val="FirstParagraph"/>
      </w:pPr>
      <w:r>
        <w:t xml:space="preserve">Our approach has the advantage of relating strictly to biological condition, as compared to physical or chemical endpoints to assess constraints. This approach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An expected range of CSCI scores that is relatively low is an indication that stressors originating from the landscape may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constrained based on land use only.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Heading2"/>
      </w:pPr>
      <w:bookmarkStart w:id="47" w:name="engagement-of-local-stakeholders-is-critical-for-regional-application"/>
      <w:r>
        <w:t xml:space="preserve">Engagement of local stakeholders is critical for regional application</w:t>
      </w:r>
      <w:bookmarkEnd w:id="47"/>
    </w:p>
    <w:p>
      <w:pPr>
        <w:pStyle w:val="FirstParagraph"/>
      </w:pPr>
      <w:r>
        <w:t xml:space="preserve">Application of the landscape model to define potential management actions was effectively enabled through close interaction with our regional stakeholder group. The group was convened specifically to explore how the statewide model could be applied to inform decision-making at the watershed-level. The identified actions for monitoring sites in the San Gabriel watershed was chosen by discussion among the stakeholders that represented different interests (i.e., regulators, dischargers, consultants, and environmental advocates). The final decision by the group to prioritize management actions for the different sites in broad categories of protect, restore, and monitor was based on an iterative process where ideas were discussed and shared freely among stakeholders. Priorities were never assumed such that the recommended actions were defined through iterative discussion by the group. This approach ensured that stakeholders were generally in agreement with the final product and, therefore, more likely to adopt the recommendations provided by these tools in formal decision-making. The recommended actions have relevance only in the context of interests of the San Gabriel River Regional Monitoring Program. Application of the statewide model to other watersheds must engage local stakeholders in a similar process to develop recommendations that are adequate to meet regional needs.</w:t>
      </w:r>
    </w:p>
    <w:p>
      <w:pPr>
        <w:pStyle w:val="BodyText"/>
      </w:pPr>
      <w:r>
        <w:t xml:space="preserve">The development of the SCAPE tool (see supplement) was also critical for engaging the stakeholder group. The tool was developed to achieve the dual purposes of demonstrating concepts applied by the model and allowing stakeholders to iteratively evaluate scenarios for defining stream classifications and priorities. Initial challenges in engaging stakeholders were encountered wherein a complete understanding of concepts, as well as limitations, of the model was insufficient for discussing regional application to the SGR watershed. The tool provided a means of demonstrating these concepts that was not possible through more conventional methods, such as static presentations or simple text vignettes. SCAPE also allowed stakeholders to explore the key decision points that affect the model output, specifically related to changing certainties in the CSCI score predictions and the ability to explore alternative thresholds for biological objectives. This functionality is key in our approach to allow the stakeholders to develop recommendations that are completely independent of the model, i.e., decisions are not hard-wired into the model nor SCAPE. Because of this tool, this stakeholder group has a better understanding of the potential impacts of biointegrity policies currently under review in California, and will therefore have more meaningful engagement in the development and implementation of these policies. Application of the landscape modelling approach to other regions will benefit from similar tools that can easily be developed.</w:t>
      </w:r>
    </w:p>
    <w:p>
      <w:pPr>
        <w:pStyle w:val="Heading2"/>
      </w:pPr>
      <w:bookmarkStart w:id="48" w:name="the-landscape-model-is-a-tool-for-exploring-options"/>
      <w:r>
        <w:t xml:space="preserve">The landscape model is a tool for exploring options</w:t>
      </w:r>
      <w:bookmarkEnd w:id="48"/>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Instead, they can help identify a small set of sites where more intensive analyses may be appropriate. 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applying the model to inform management decisions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biological attributes of stream health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alternatives lines of evidence is needed for a more complete condition assessment.</w:t>
      </w:r>
    </w:p>
    <w:p>
      <w:pPr>
        <w:pStyle w:val="Heading2"/>
      </w:pPr>
      <w:bookmarkStart w:id="49" w:name="additional-applications-of-the-landscape-model"/>
      <w:r>
        <w:t xml:space="preserve">Additional applications of the landscape model</w:t>
      </w:r>
      <w:bookmarkEnd w:id="49"/>
    </w:p>
    <w:p>
      <w:pPr>
        <w:pStyle w:val="FirstParagraph"/>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to prioritize conservation or restoration beyond California should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under-performing relative to a biological endpoint. Doing so in California provided stakeholders with important context that helped establish management priorities, demonstrating the potential utility of this approach in other states.</w:t>
      </w:r>
    </w:p>
    <w:p>
      <w:pPr>
        <w:pStyle w:val="Heading2"/>
      </w:pPr>
      <w:bookmarkStart w:id="50" w:name="summary"/>
      <w:r>
        <w:t xml:space="preserve">Summary</w:t>
      </w:r>
      <w:bookmarkEnd w:id="50"/>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prescription for causes of impairment, nor does it discount sites from management intervention if constraints are high. The landscape model can inform the interpretation of biotic condition and is an exploratory tool that can help identify where management goals are most likely to be achieved.</w:t>
      </w:r>
    </w:p>
    <w:p>
      <w:pPr>
        <w:pStyle w:val="Heading1"/>
      </w:pPr>
      <w:bookmarkStart w:id="51" w:name="supplement"/>
      <w:r>
        <w:t xml:space="preserve">Supplement</w:t>
      </w:r>
      <w:bookmarkEnd w:id="51"/>
    </w:p>
    <w:p>
      <w:pPr>
        <w:pStyle w:val="FirstParagraph"/>
      </w:pPr>
      <w:r>
        <w:t xml:space="preserve">The SCAPE model application website:</w:t>
      </w:r>
      <w:r>
        <w:t xml:space="preserve"> </w:t>
      </w:r>
      <w:hyperlink r:id="rId39">
        <w:r>
          <w:rPr>
            <w:rStyle w:val="Hyperlink"/>
          </w:rPr>
          <w:t xml:space="preserve">http://shiny.sccwrp.org/scape/</w:t>
        </w:r>
      </w:hyperlink>
    </w:p>
    <w:p>
      <w:pPr>
        <w:pStyle w:val="Heading1"/>
      </w:pPr>
      <w:bookmarkStart w:id="52" w:name="figures"/>
      <w:r>
        <w:t xml:space="preserve">Figures</w:t>
      </w:r>
      <w:bookmarkEnd w:id="52"/>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3"/>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watershed is largely undeveloped in the north and heavily urbanized in the south." title="" id="1" name="Picture"/>
            <a:graphic>
              <a:graphicData uri="http://schemas.openxmlformats.org/drawingml/2006/picture">
                <pic:pic>
                  <pic:nvPicPr>
                    <pic:cNvPr descr="figs/sgrshd.png" id="0" name="Picture"/>
                    <pic:cNvPicPr>
                      <a:picLocks noChangeArrowheads="1" noChangeAspect="1"/>
                    </pic:cNvPicPr>
                  </pic:nvPicPr>
                  <pic:blipFill>
                    <a:blip r:embed="rId54"/>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largely undeveloped in the north and heavily urbanized in the south.</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4457700"/>
            <wp:effectExtent b="0" l="0" r="0" t="0"/>
            <wp:docPr descr="Figure 4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6"/>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reaches in the San Gabriel River watershed, Los Angeles County,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7"/>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reaches in the San Gabriel River watershed, Los Angeles County,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biological threshold for the CSCI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enance and monitoring is sufficient for a site. Recommended actions were defined by a local stakeholder group (see Figure S3)." title="" id="1" name="Picture"/>
            <a:graphic>
              <a:graphicData uri="http://schemas.openxmlformats.org/drawingml/2006/picture">
                <pic:pic>
                  <pic:nvPicPr>
                    <pic:cNvPr descr="figs/sgrresmap.png" id="0" name="Picture"/>
                    <pic:cNvPicPr>
                      <a:picLocks noChangeArrowheads="1" noChangeAspect="1"/>
                    </pic:cNvPicPr>
                  </pic:nvPicPr>
                  <pic:blipFill>
                    <a:blip r:embed="rId58"/>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maintenance and monitoring is sufficient for a site. Recommended actions were defined by a local stakeholder group (see Figure S3).</w:t>
      </w:r>
    </w:p>
    <w:p>
      <w:pPr>
        <w:pStyle w:val="CaptionedFigure"/>
      </w:pPr>
      <w:r>
        <w:drawing>
          <wp:inline>
            <wp:extent cx="5046020" cy="4587290"/>
            <wp:effectExtent b="0" l="0" r="0" t="0"/>
            <wp:docPr descr="Figure 7 Changes in stream reach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9"/>
                    <a:stretch>
                      <a:fillRect/>
                    </a:stretch>
                  </pic:blipFill>
                  <pic:spPr bwMode="auto">
                    <a:xfrm>
                      <a:off x="0" y="0"/>
                      <a:ext cx="5046020" cy="4587290"/>
                    </a:xfrm>
                    <a:prstGeom prst="rect">
                      <a:avLst/>
                    </a:prstGeom>
                    <a:noFill/>
                    <a:ln w="9525">
                      <a:noFill/>
                      <a:headEnd/>
                      <a:tailEnd/>
                    </a:ln>
                  </pic:spPr>
                </pic:pic>
              </a:graphicData>
            </a:graphic>
          </wp:inline>
        </w:drawing>
      </w:r>
    </w:p>
    <w:p>
      <w:pPr>
        <w:pStyle w:val="ImageCaption"/>
      </w:pPr>
      <w:r>
        <w:t xml:space="preserve">Figure 7 Changes in stream reach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w:t>
      </w:r>
    </w:p>
    <w:p>
      <w:pPr>
        <w:pStyle w:val="Heading1"/>
      </w:pPr>
      <w:bookmarkStart w:id="60" w:name="tables"/>
      <w:r>
        <w:t xml:space="preserve">Tables</w:t>
      </w:r>
      <w:bookmarkEnd w:id="60"/>
    </w:p>
    <w:p>
      <w:pPr>
        <w:pStyle w:val="TableCaption"/>
      </w:pPr>
      <w:r>
        <w:t xml:space="preserve">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2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2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BodyText"/>
      </w:pPr>
      <w:r>
        <w:rPr>
          <w:i/>
        </w:rPr>
        <w:t xml:space="preserve">Table</w:t>
      </w:r>
      <w:r>
        <w:rPr>
          <w:i/>
        </w:rPr>
        <w:t xml:space="preserve"> </w:t>
      </w:r>
      <w:r>
        <w:rPr>
          <w:i/>
        </w:rPr>
        <w:t xml:space="preserve">3</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(standard deviation) scores and counts (percents)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Heading1"/>
      </w:pPr>
      <w:bookmarkStart w:id="61" w:name="references"/>
      <w:r>
        <w:t xml:space="preserve">References</w:t>
      </w:r>
      <w:bookmarkEnd w:id="61"/>
    </w:p>
    <w:bookmarkStart w:id="153" w:name="refs"/>
    <w:bookmarkStart w:id="63"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2">
        <w:r>
          <w:rPr>
            <w:rStyle w:val="Hyperlink"/>
          </w:rPr>
          <w:t xml:space="preserve">https://doi.org/10.1046/j.1365-2427.1997.d01-546.x</w:t>
        </w:r>
      </w:hyperlink>
      <w:r>
        <w:t xml:space="preserve">.</w:t>
      </w:r>
    </w:p>
    <w:bookmarkEnd w:id="63"/>
    <w:bookmarkStart w:id="65"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4">
        <w:r>
          <w:rPr>
            <w:rStyle w:val="Hyperlink"/>
          </w:rPr>
          <w:t xml:space="preserve">https://doi.org/10.1146/annurev.ecolsys.35.120202.110122</w:t>
        </w:r>
      </w:hyperlink>
      <w:r>
        <w:t xml:space="preserve">.</w:t>
      </w:r>
    </w:p>
    <w:bookmarkEnd w:id="65"/>
    <w:bookmarkStart w:id="66"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6"/>
    <w:bookmarkStart w:id="68"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67">
        <w:r>
          <w:rPr>
            <w:rStyle w:val="Hyperlink"/>
          </w:rPr>
          <w:t xml:space="preserve">https://doi.org/10.1016/j.landurbplan.2012.07.009</w:t>
        </w:r>
      </w:hyperlink>
      <w:r>
        <w:t xml:space="preserve">.</w:t>
      </w:r>
    </w:p>
    <w:bookmarkEnd w:id="68"/>
    <w:bookmarkStart w:id="70"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69">
        <w:r>
          <w:rPr>
            <w:rStyle w:val="Hyperlink"/>
          </w:rPr>
          <w:t xml:space="preserve">https://doi.org/10.1007/s10661-014-4132-8</w:t>
        </w:r>
      </w:hyperlink>
      <w:r>
        <w:t xml:space="preserve">.</w:t>
      </w:r>
    </w:p>
    <w:bookmarkEnd w:id="70"/>
    <w:bookmarkStart w:id="71"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1"/>
    <w:bookmarkStart w:id="72" w:name="ref-CRWQCB14"/>
    <w:p>
      <w:pPr>
        <w:pStyle w:val="Bibliography"/>
      </w:pPr>
      <w:r>
        <w:t xml:space="preserve">California Regional Water Quality Control Board, Los Angeles Region. 2014. “Basin Plan for the Coastal Watersheds of Los Angeles and Ventura Counties.”</w:t>
      </w:r>
    </w:p>
    <w:bookmarkEnd w:id="72"/>
    <w:bookmarkStart w:id="74"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3">
        <w:r>
          <w:rPr>
            <w:rStyle w:val="Hyperlink"/>
          </w:rPr>
          <w:t xml:space="preserve">https://doi.org/10.1111/j.1526-100X.2007.00285.x</w:t>
        </w:r>
      </w:hyperlink>
      <w:r>
        <w:t xml:space="preserve">.</w:t>
      </w:r>
    </w:p>
    <w:bookmarkEnd w:id="74"/>
    <w:bookmarkStart w:id="76"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5">
        <w:r>
          <w:rPr>
            <w:rStyle w:val="Hyperlink"/>
          </w:rPr>
          <w:t xml:space="preserve">https://doi.org/10.1007/s10661-008-0256-z</w:t>
        </w:r>
      </w:hyperlink>
      <w:r>
        <w:t xml:space="preserve">.</w:t>
      </w:r>
    </w:p>
    <w:bookmarkEnd w:id="76"/>
    <w:bookmarkStart w:id="78"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77">
        <w:r>
          <w:rPr>
            <w:rStyle w:val="Hyperlink"/>
          </w:rPr>
          <w:t xml:space="preserve">https://doi.org/10.1016/j.ecolind.2013.07.006</w:t>
        </w:r>
      </w:hyperlink>
      <w:r>
        <w:t xml:space="preserve">.</w:t>
      </w:r>
    </w:p>
    <w:bookmarkEnd w:id="78"/>
    <w:bookmarkStart w:id="80"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79">
        <w:r>
          <w:rPr>
            <w:rStyle w:val="Hyperlink"/>
          </w:rPr>
          <w:t xml:space="preserve">https://doi.org/10.1086/678701</w:t>
        </w:r>
      </w:hyperlink>
      <w:r>
        <w:t xml:space="preserve">.</w:t>
      </w:r>
    </w:p>
    <w:bookmarkEnd w:id="80"/>
    <w:bookmarkStart w:id="82"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1">
        <w:r>
          <w:rPr>
            <w:rStyle w:val="Hyperlink"/>
          </w:rPr>
          <w:t xml:space="preserve">https://doi.org/10.1002/rra.1053</w:t>
        </w:r>
      </w:hyperlink>
      <w:r>
        <w:t xml:space="preserve">.</w:t>
      </w:r>
    </w:p>
    <w:bookmarkEnd w:id="82"/>
    <w:bookmarkStart w:id="84"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3">
        <w:r>
          <w:rPr>
            <w:rStyle w:val="Hyperlink"/>
          </w:rPr>
          <w:t xml:space="preserve">https://doi.org/10.1899/0887-3593(2004)023%3C0599:BWRSUO%3E2.0.CO;2</w:t>
        </w:r>
      </w:hyperlink>
      <w:r>
        <w:t xml:space="preserve">.</w:t>
      </w:r>
    </w:p>
    <w:bookmarkEnd w:id="84"/>
    <w:bookmarkStart w:id="86"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5">
        <w:r>
          <w:rPr>
            <w:rStyle w:val="Hyperlink"/>
          </w:rPr>
          <w:t xml:space="preserve">https://doi.org/10.1111/j.1365-2427.2011.02696.x</w:t>
        </w:r>
      </w:hyperlink>
      <w:r>
        <w:t xml:space="preserve">.</w:t>
      </w:r>
    </w:p>
    <w:bookmarkEnd w:id="86"/>
    <w:bookmarkStart w:id="88"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87">
        <w:r>
          <w:rPr>
            <w:rStyle w:val="Hyperlink"/>
          </w:rPr>
          <w:t xml:space="preserve">https://doi.org/10.1002/etc.2059</w:t>
        </w:r>
      </w:hyperlink>
      <w:r>
        <w:t xml:space="preserve">.</w:t>
      </w:r>
    </w:p>
    <w:bookmarkEnd w:id="88"/>
    <w:bookmarkStart w:id="89"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89"/>
    <w:bookmarkStart w:id="91"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0">
        <w:r>
          <w:rPr>
            <w:rStyle w:val="Hyperlink"/>
          </w:rPr>
          <w:t xml:space="preserve">https://doi.org/10.1111/j.1752-1688.2000.tb05717.x</w:t>
        </w:r>
      </w:hyperlink>
      <w:r>
        <w:t xml:space="preserve">.</w:t>
      </w:r>
    </w:p>
    <w:bookmarkEnd w:id="91"/>
    <w:bookmarkStart w:id="92"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2"/>
    <w:bookmarkStart w:id="94"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3">
        <w:r>
          <w:rPr>
            <w:rStyle w:val="Hyperlink"/>
          </w:rPr>
          <w:t xml:space="preserve">https://doi.org/10.1007/s10661-017-6025-0</w:t>
        </w:r>
      </w:hyperlink>
      <w:r>
        <w:t xml:space="preserve">.</w:t>
      </w:r>
    </w:p>
    <w:bookmarkEnd w:id="94"/>
    <w:bookmarkStart w:id="95"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5"/>
    <w:bookmarkStart w:id="97"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6">
        <w:r>
          <w:rPr>
            <w:rStyle w:val="Hyperlink"/>
          </w:rPr>
          <w:t xml:space="preserve">https://doi.org/10.1002/eap.1617</w:t>
        </w:r>
      </w:hyperlink>
      <w:r>
        <w:t xml:space="preserve">.</w:t>
      </w:r>
    </w:p>
    <w:bookmarkEnd w:id="97"/>
    <w:bookmarkStart w:id="99"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98">
        <w:r>
          <w:rPr>
            <w:rStyle w:val="Hyperlink"/>
          </w:rPr>
          <w:t xml:space="preserve">https://doi.org/10.1111/1752-1688.12372</w:t>
        </w:r>
      </w:hyperlink>
      <w:r>
        <w:t xml:space="preserve">.</w:t>
      </w:r>
    </w:p>
    <w:bookmarkEnd w:id="99"/>
    <w:bookmarkStart w:id="101"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0">
        <w:r>
          <w:rPr>
            <w:rStyle w:val="Hyperlink"/>
          </w:rPr>
          <w:t xml:space="preserve">https://doi.org/10.1086/697996</w:t>
        </w:r>
      </w:hyperlink>
      <w:r>
        <w:t xml:space="preserve">.</w:t>
      </w:r>
    </w:p>
    <w:bookmarkEnd w:id="101"/>
    <w:bookmarkStart w:id="103"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2">
        <w:r>
          <w:rPr>
            <w:rStyle w:val="Hyperlink"/>
          </w:rPr>
          <w:t xml:space="preserve">https://doi.org/10.1371/journal.pone.0130710</w:t>
        </w:r>
      </w:hyperlink>
      <w:r>
        <w:t xml:space="preserve">.</w:t>
      </w:r>
    </w:p>
    <w:bookmarkEnd w:id="103"/>
    <w:bookmarkStart w:id="104"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4"/>
    <w:bookmarkStart w:id="106"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5">
        <w:r>
          <w:rPr>
            <w:rStyle w:val="Hyperlink"/>
          </w:rPr>
          <w:t xml:space="preserve">https://doi.org/10.1111/j.1752-1688.2011.00635.x</w:t>
        </w:r>
      </w:hyperlink>
      <w:r>
        <w:t xml:space="preserve">.</w:t>
      </w:r>
    </w:p>
    <w:bookmarkEnd w:id="106"/>
    <w:bookmarkStart w:id="108"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07">
        <w:r>
          <w:rPr>
            <w:rStyle w:val="Hyperlink"/>
          </w:rPr>
          <w:t xml:space="preserve">https://doi.org/10.1016/j.scitotenv.2015.07.083</w:t>
        </w:r>
      </w:hyperlink>
      <w:r>
        <w:t xml:space="preserve">.</w:t>
      </w:r>
    </w:p>
    <w:bookmarkEnd w:id="108"/>
    <w:bookmarkStart w:id="110"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09">
        <w:r>
          <w:rPr>
            <w:rStyle w:val="Hyperlink"/>
          </w:rPr>
          <w:t xml:space="preserve">https://doi.org/10.1007%2Fs00267-008-9151-1</w:t>
        </w:r>
      </w:hyperlink>
      <w:r>
        <w:t xml:space="preserve">.</w:t>
      </w:r>
    </w:p>
    <w:bookmarkEnd w:id="110"/>
    <w:bookmarkStart w:id="112"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1">
        <w:r>
          <w:rPr>
            <w:rStyle w:val="Hyperlink"/>
          </w:rPr>
          <w:t xml:space="preserve">https://doi.org/10.1007/s10661-014-4086-x</w:t>
        </w:r>
      </w:hyperlink>
      <w:r>
        <w:t xml:space="preserve">.</w:t>
      </w:r>
    </w:p>
    <w:bookmarkEnd w:id="112"/>
    <w:bookmarkStart w:id="113"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3"/>
    <w:bookmarkStart w:id="114" w:name="ref-McKay12"/>
    <w:p>
      <w:pPr>
        <w:pStyle w:val="Bibliography"/>
      </w:pPr>
      <w:r>
        <w:t xml:space="preserve">McKay, L., T. Bondelid, T. Dewald, J. Johnston, R. Moore, and A. Reah. 2012. “NHDPlus Version 2: User Guide.”</w:t>
      </w:r>
    </w:p>
    <w:bookmarkEnd w:id="114"/>
    <w:bookmarkStart w:id="115"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5"/>
    <w:bookmarkStart w:id="117"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6">
        <w:r>
          <w:rPr>
            <w:rStyle w:val="Hyperlink"/>
          </w:rPr>
          <w:t xml:space="preserve">https://CRAN.R-project.org/package=quantregForest</w:t>
        </w:r>
      </w:hyperlink>
      <w:r>
        <w:t xml:space="preserve">.</w:t>
      </w:r>
    </w:p>
    <w:bookmarkEnd w:id="117"/>
    <w:bookmarkStart w:id="118"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18"/>
    <w:bookmarkStart w:id="119"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19"/>
    <w:bookmarkStart w:id="121"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0">
        <w:r>
          <w:rPr>
            <w:rStyle w:val="Hyperlink"/>
          </w:rPr>
          <w:t xml:space="preserve">https://doi.org/10.1111/j.1365-2427.1987.tb01027.x</w:t>
        </w:r>
      </w:hyperlink>
      <w:r>
        <w:t xml:space="preserve">.</w:t>
      </w:r>
    </w:p>
    <w:bookmarkEnd w:id="121"/>
    <w:bookmarkStart w:id="123"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2">
        <w:r>
          <w:rPr>
            <w:rStyle w:val="Hyperlink"/>
          </w:rPr>
          <w:t xml:space="preserve">https://doi.org/10.1016/j.watres.2004.09.002</w:t>
        </w:r>
      </w:hyperlink>
      <w:r>
        <w:t xml:space="preserve">.</w:t>
      </w:r>
    </w:p>
    <w:bookmarkEnd w:id="123"/>
    <w:bookmarkStart w:id="124"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124"/>
    <w:bookmarkStart w:id="12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5"/>
    <w:bookmarkStart w:id="127"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6">
        <w:r>
          <w:rPr>
            <w:rStyle w:val="Hyperlink"/>
          </w:rPr>
          <w:t xml:space="preserve">https://doi.org/10.1890/11-0077.1</w:t>
        </w:r>
      </w:hyperlink>
      <w:r>
        <w:t xml:space="preserve">.</w:t>
      </w:r>
    </w:p>
    <w:bookmarkEnd w:id="127"/>
    <w:bookmarkStart w:id="128"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28"/>
    <w:bookmarkStart w:id="130"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29">
        <w:r>
          <w:rPr>
            <w:rStyle w:val="Hyperlink"/>
          </w:rPr>
          <w:t xml:space="preserve">https://doi.org/10.1111/gec3.12039</w:t>
        </w:r>
      </w:hyperlink>
      <w:r>
        <w:t xml:space="preserve">.</w:t>
      </w:r>
    </w:p>
    <w:bookmarkEnd w:id="130"/>
    <w:bookmarkStart w:id="132"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1">
        <w:r>
          <w:rPr>
            <w:rStyle w:val="Hyperlink"/>
          </w:rPr>
          <w:t xml:space="preserve">https://doi.org/10.1007/s10661-010-1385-8</w:t>
        </w:r>
      </w:hyperlink>
      <w:r>
        <w:t xml:space="preserve">.</w:t>
      </w:r>
    </w:p>
    <w:bookmarkEnd w:id="132"/>
    <w:bookmarkStart w:id="134"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3">
        <w:r>
          <w:rPr>
            <w:rStyle w:val="Hyperlink"/>
          </w:rPr>
          <w:t xml:space="preserve">https://doi.org/10.1046/j.1365-2427.2001.00758.x</w:t>
        </w:r>
      </w:hyperlink>
      <w:r>
        <w:t xml:space="preserve">.</w:t>
      </w:r>
    </w:p>
    <w:bookmarkEnd w:id="134"/>
    <w:bookmarkStart w:id="13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5">
        <w:r>
          <w:rPr>
            <w:rStyle w:val="Hyperlink"/>
          </w:rPr>
          <w:t xml:space="preserve">https://doi.org/10.1111/jawr.12035</w:t>
        </w:r>
      </w:hyperlink>
      <w:r>
        <w:t xml:space="preserve">.</w:t>
      </w:r>
    </w:p>
    <w:bookmarkEnd w:id="136"/>
    <w:bookmarkStart w:id="137"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37"/>
    <w:bookmarkStart w:id="139"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38">
        <w:r>
          <w:rPr>
            <w:rStyle w:val="Hyperlink"/>
          </w:rPr>
          <w:t xml:space="preserve">https://www.waterboards.ca.gov/water_issues/programs/swamp/qapp/swamp_QAPrP_2017_Final.pdf</w:t>
        </w:r>
      </w:hyperlink>
      <w:r>
        <w:t xml:space="preserve">.</w:t>
      </w:r>
    </w:p>
    <w:bookmarkEnd w:id="139"/>
    <w:bookmarkStart w:id="141"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0">
        <w:r>
          <w:rPr>
            <w:rStyle w:val="Hyperlink"/>
          </w:rPr>
          <w:t xml:space="preserve">https://doi.org/10.1111/j.1365-2664.2008.01548.x</w:t>
        </w:r>
      </w:hyperlink>
      <w:r>
        <w:t xml:space="preserve">.</w:t>
      </w:r>
    </w:p>
    <w:bookmarkEnd w:id="141"/>
    <w:bookmarkStart w:id="142"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42"/>
    <w:bookmarkStart w:id="143" w:name="ref-USEPA16"/>
    <w:p>
      <w:pPr>
        <w:pStyle w:val="Bibliography"/>
      </w:pPr>
      <w:r>
        <w:t xml:space="preserve">USEPA (US Environmental Protection Agency). 2016. “National Rivers and Streams Assessment 2008-2009: A Collaborative Survey.” EPA-841-R-16-007. Washington, DC.</w:t>
      </w:r>
    </w:p>
    <w:bookmarkEnd w:id="143"/>
    <w:bookmarkStart w:id="144" w:name="ref-USGS99"/>
    <w:p>
      <w:pPr>
        <w:pStyle w:val="Bibliography"/>
      </w:pPr>
      <w:r>
        <w:t xml:space="preserve">USGS (US Geological Survey). 1999. “The quality of our nation’s waters: nutrients and pesticides.” Reston, Virginia.</w:t>
      </w:r>
    </w:p>
    <w:bookmarkEnd w:id="144"/>
    <w:bookmarkStart w:id="14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5">
        <w:r>
          <w:rPr>
            <w:rStyle w:val="Hyperlink"/>
          </w:rPr>
          <w:t xml:space="preserve">https://doi.org/10.1023/A:1023374524254</w:t>
        </w:r>
      </w:hyperlink>
      <w:r>
        <w:t xml:space="preserve">.</w:t>
      </w:r>
    </w:p>
    <w:bookmarkEnd w:id="146"/>
    <w:bookmarkStart w:id="148"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47">
        <w:r>
          <w:rPr>
            <w:rStyle w:val="Hyperlink"/>
          </w:rPr>
          <w:t xml:space="preserve">https://doi.org/10.1111/jawr.12032</w:t>
        </w:r>
      </w:hyperlink>
      <w:r>
        <w:t xml:space="preserve">.</w:t>
      </w:r>
    </w:p>
    <w:bookmarkEnd w:id="148"/>
    <w:bookmarkStart w:id="15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49">
        <w:r>
          <w:rPr>
            <w:rStyle w:val="Hyperlink"/>
          </w:rPr>
          <w:t xml:space="preserve">https://doi.org/10.1371/journal.pone.0090944</w:t>
        </w:r>
      </w:hyperlink>
      <w:r>
        <w:t xml:space="preserve">.</w:t>
      </w:r>
    </w:p>
    <w:bookmarkEnd w:id="150"/>
    <w:bookmarkStart w:id="152"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1">
        <w:r>
          <w:rPr>
            <w:rStyle w:val="Hyperlink"/>
          </w:rPr>
          <w:t xml:space="preserve">https://doi.org/10.1577/1548-8446(1997)022%3C0006:IOWLUO%3E2.0.CO;2</w:t>
        </w:r>
      </w:hyperlink>
      <w:r>
        <w:t xml:space="preserve">.</w:t>
      </w:r>
    </w:p>
    <w:bookmarkEnd w:id="152"/>
    <w:bookmarkEnd w:id="15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hyperlink" Id="rId39" Target="http://shiny.sccwrp.org/scape/" TargetMode="External" /><Relationship Type="http://schemas.openxmlformats.org/officeDocument/2006/relationships/hyperlink" Id="rId116" Target="https://CRAN.R-project.org/package=quantregForest" TargetMode="External" /><Relationship Type="http://schemas.openxmlformats.org/officeDocument/2006/relationships/hyperlink" Id="rId96" Target="https://doi.org/10.1002/eap.1617" TargetMode="External" /><Relationship Type="http://schemas.openxmlformats.org/officeDocument/2006/relationships/hyperlink" Id="rId87" Target="https://doi.org/10.1002/etc.2059" TargetMode="External" /><Relationship Type="http://schemas.openxmlformats.org/officeDocument/2006/relationships/hyperlink" Id="rId81" Target="https://doi.org/10.1002/rra.1053" TargetMode="External" /><Relationship Type="http://schemas.openxmlformats.org/officeDocument/2006/relationships/hyperlink" Id="rId109" Target="https://doi.org/10.1007%2Fs00267-008-9151-1" TargetMode="External" /><Relationship Type="http://schemas.openxmlformats.org/officeDocument/2006/relationships/hyperlink" Id="rId75" Target="https://doi.org/10.1007/s10661-008-0256-z" TargetMode="External" /><Relationship Type="http://schemas.openxmlformats.org/officeDocument/2006/relationships/hyperlink" Id="rId131" Target="https://doi.org/10.1007/s10661-010-1385-8" TargetMode="External" /><Relationship Type="http://schemas.openxmlformats.org/officeDocument/2006/relationships/hyperlink" Id="rId111" Target="https://doi.org/10.1007/s10661-014-4086-x" TargetMode="External" /><Relationship Type="http://schemas.openxmlformats.org/officeDocument/2006/relationships/hyperlink" Id="rId69" Target="https://doi.org/10.1007/s10661-014-4132-8" TargetMode="External" /><Relationship Type="http://schemas.openxmlformats.org/officeDocument/2006/relationships/hyperlink" Id="rId93" Target="https://doi.org/10.1007/s10661-017-6025-0" TargetMode="External" /><Relationship Type="http://schemas.openxmlformats.org/officeDocument/2006/relationships/hyperlink" Id="rId77" Target="https://doi.org/10.1016/j.ecolind.2013.07.006" TargetMode="External" /><Relationship Type="http://schemas.openxmlformats.org/officeDocument/2006/relationships/hyperlink" Id="rId67" Target="https://doi.org/10.1016/j.landurbplan.2012.07.009" TargetMode="External" /><Relationship Type="http://schemas.openxmlformats.org/officeDocument/2006/relationships/hyperlink" Id="rId107" Target="https://doi.org/10.1016/j.scitotenv.2015.07.083" TargetMode="External" /><Relationship Type="http://schemas.openxmlformats.org/officeDocument/2006/relationships/hyperlink" Id="rId122" Target="https://doi.org/10.1016/j.watres.2004.09.002" TargetMode="External" /><Relationship Type="http://schemas.openxmlformats.org/officeDocument/2006/relationships/hyperlink" Id="rId145" Target="https://doi.org/10.1023/A:1023374524254" TargetMode="External" /><Relationship Type="http://schemas.openxmlformats.org/officeDocument/2006/relationships/hyperlink" Id="rId62" Target="https://doi.org/10.1046/j.1365-2427.1997.d01-546.x" TargetMode="External" /><Relationship Type="http://schemas.openxmlformats.org/officeDocument/2006/relationships/hyperlink" Id="rId133" Target="https://doi.org/10.1046/j.1365-2427.2001.00758.x" TargetMode="External" /><Relationship Type="http://schemas.openxmlformats.org/officeDocument/2006/relationships/hyperlink" Id="rId79" Target="https://doi.org/10.1086/678701" TargetMode="External" /><Relationship Type="http://schemas.openxmlformats.org/officeDocument/2006/relationships/hyperlink" Id="rId100" Target="https://doi.org/10.1086/697996" TargetMode="External" /><Relationship Type="http://schemas.openxmlformats.org/officeDocument/2006/relationships/hyperlink" Id="rId98" Target="https://doi.org/10.1111/1752-1688.12372" TargetMode="External" /><Relationship Type="http://schemas.openxmlformats.org/officeDocument/2006/relationships/hyperlink" Id="rId129" Target="https://doi.org/10.1111/gec3.12039" TargetMode="External" /><Relationship Type="http://schemas.openxmlformats.org/officeDocument/2006/relationships/hyperlink" Id="rId120" Target="https://doi.org/10.1111/j.1365-2427.1987.tb01027.x" TargetMode="External" /><Relationship Type="http://schemas.openxmlformats.org/officeDocument/2006/relationships/hyperlink" Id="rId85" Target="https://doi.org/10.1111/j.1365-2427.2011.02696.x" TargetMode="External" /><Relationship Type="http://schemas.openxmlformats.org/officeDocument/2006/relationships/hyperlink" Id="rId140" Target="https://doi.org/10.1111/j.1365-2664.2008.01548.x" TargetMode="External" /><Relationship Type="http://schemas.openxmlformats.org/officeDocument/2006/relationships/hyperlink" Id="rId73" Target="https://doi.org/10.1111/j.1526-100X.2007.00285.x" TargetMode="External" /><Relationship Type="http://schemas.openxmlformats.org/officeDocument/2006/relationships/hyperlink" Id="rId90" Target="https://doi.org/10.1111/j.1752-1688.2000.tb05717.x" TargetMode="External" /><Relationship Type="http://schemas.openxmlformats.org/officeDocument/2006/relationships/hyperlink" Id="rId105" Target="https://doi.org/10.1111/j.1752-1688.2011.00635.x" TargetMode="External" /><Relationship Type="http://schemas.openxmlformats.org/officeDocument/2006/relationships/hyperlink" Id="rId147" Target="https://doi.org/10.1111/jawr.12032" TargetMode="External" /><Relationship Type="http://schemas.openxmlformats.org/officeDocument/2006/relationships/hyperlink" Id="rId135" Target="https://doi.org/10.1111/jawr.12035" TargetMode="External" /><Relationship Type="http://schemas.openxmlformats.org/officeDocument/2006/relationships/hyperlink" Id="rId64" Target="https://doi.org/10.1146/annurev.ecolsys.35.120202.110122" TargetMode="External" /><Relationship Type="http://schemas.openxmlformats.org/officeDocument/2006/relationships/hyperlink" Id="rId149" Target="https://doi.org/10.1371/journal.pone.0090944" TargetMode="External" /><Relationship Type="http://schemas.openxmlformats.org/officeDocument/2006/relationships/hyperlink" Id="rId102" Target="https://doi.org/10.1371/journal.pone.0130710" TargetMode="External" /><Relationship Type="http://schemas.openxmlformats.org/officeDocument/2006/relationships/hyperlink" Id="rId151" Target="https://doi.org/10.1577/1548-8446(1997)022%3C0006:IOWLUO%3E2.0.CO;2" TargetMode="External" /><Relationship Type="http://schemas.openxmlformats.org/officeDocument/2006/relationships/hyperlink" Id="rId126" Target="https://doi.org/10.1890/11-0077.1" TargetMode="External" /><Relationship Type="http://schemas.openxmlformats.org/officeDocument/2006/relationships/hyperlink" Id="rId83" Target="https://doi.org/10.1899/0887-3593(2004)023%3C0599:BWRSUO%3E2.0.CO;2" TargetMode="External" /><Relationship Type="http://schemas.openxmlformats.org/officeDocument/2006/relationships/hyperlink" Id="rId138"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39" Target="http://shiny.sccwrp.org/scape/" TargetMode="External" /><Relationship Type="http://schemas.openxmlformats.org/officeDocument/2006/relationships/hyperlink" Id="rId116" Target="https://CRAN.R-project.org/package=quantregForest" TargetMode="External" /><Relationship Type="http://schemas.openxmlformats.org/officeDocument/2006/relationships/hyperlink" Id="rId96" Target="https://doi.org/10.1002/eap.1617" TargetMode="External" /><Relationship Type="http://schemas.openxmlformats.org/officeDocument/2006/relationships/hyperlink" Id="rId87" Target="https://doi.org/10.1002/etc.2059" TargetMode="External" /><Relationship Type="http://schemas.openxmlformats.org/officeDocument/2006/relationships/hyperlink" Id="rId81" Target="https://doi.org/10.1002/rra.1053" TargetMode="External" /><Relationship Type="http://schemas.openxmlformats.org/officeDocument/2006/relationships/hyperlink" Id="rId109" Target="https://doi.org/10.1007%2Fs00267-008-9151-1" TargetMode="External" /><Relationship Type="http://schemas.openxmlformats.org/officeDocument/2006/relationships/hyperlink" Id="rId75" Target="https://doi.org/10.1007/s10661-008-0256-z" TargetMode="External" /><Relationship Type="http://schemas.openxmlformats.org/officeDocument/2006/relationships/hyperlink" Id="rId131" Target="https://doi.org/10.1007/s10661-010-1385-8" TargetMode="External" /><Relationship Type="http://schemas.openxmlformats.org/officeDocument/2006/relationships/hyperlink" Id="rId111" Target="https://doi.org/10.1007/s10661-014-4086-x" TargetMode="External" /><Relationship Type="http://schemas.openxmlformats.org/officeDocument/2006/relationships/hyperlink" Id="rId69" Target="https://doi.org/10.1007/s10661-014-4132-8" TargetMode="External" /><Relationship Type="http://schemas.openxmlformats.org/officeDocument/2006/relationships/hyperlink" Id="rId93" Target="https://doi.org/10.1007/s10661-017-6025-0" TargetMode="External" /><Relationship Type="http://schemas.openxmlformats.org/officeDocument/2006/relationships/hyperlink" Id="rId77" Target="https://doi.org/10.1016/j.ecolind.2013.07.006" TargetMode="External" /><Relationship Type="http://schemas.openxmlformats.org/officeDocument/2006/relationships/hyperlink" Id="rId67" Target="https://doi.org/10.1016/j.landurbplan.2012.07.009" TargetMode="External" /><Relationship Type="http://schemas.openxmlformats.org/officeDocument/2006/relationships/hyperlink" Id="rId107" Target="https://doi.org/10.1016/j.scitotenv.2015.07.083" TargetMode="External" /><Relationship Type="http://schemas.openxmlformats.org/officeDocument/2006/relationships/hyperlink" Id="rId122" Target="https://doi.org/10.1016/j.watres.2004.09.002" TargetMode="External" /><Relationship Type="http://schemas.openxmlformats.org/officeDocument/2006/relationships/hyperlink" Id="rId145" Target="https://doi.org/10.1023/A:1023374524254" TargetMode="External" /><Relationship Type="http://schemas.openxmlformats.org/officeDocument/2006/relationships/hyperlink" Id="rId62" Target="https://doi.org/10.1046/j.1365-2427.1997.d01-546.x" TargetMode="External" /><Relationship Type="http://schemas.openxmlformats.org/officeDocument/2006/relationships/hyperlink" Id="rId133" Target="https://doi.org/10.1046/j.1365-2427.2001.00758.x" TargetMode="External" /><Relationship Type="http://schemas.openxmlformats.org/officeDocument/2006/relationships/hyperlink" Id="rId79" Target="https://doi.org/10.1086/678701" TargetMode="External" /><Relationship Type="http://schemas.openxmlformats.org/officeDocument/2006/relationships/hyperlink" Id="rId100" Target="https://doi.org/10.1086/697996" TargetMode="External" /><Relationship Type="http://schemas.openxmlformats.org/officeDocument/2006/relationships/hyperlink" Id="rId98" Target="https://doi.org/10.1111/1752-1688.12372" TargetMode="External" /><Relationship Type="http://schemas.openxmlformats.org/officeDocument/2006/relationships/hyperlink" Id="rId129" Target="https://doi.org/10.1111/gec3.12039" TargetMode="External" /><Relationship Type="http://schemas.openxmlformats.org/officeDocument/2006/relationships/hyperlink" Id="rId120" Target="https://doi.org/10.1111/j.1365-2427.1987.tb01027.x" TargetMode="External" /><Relationship Type="http://schemas.openxmlformats.org/officeDocument/2006/relationships/hyperlink" Id="rId85" Target="https://doi.org/10.1111/j.1365-2427.2011.02696.x" TargetMode="External" /><Relationship Type="http://schemas.openxmlformats.org/officeDocument/2006/relationships/hyperlink" Id="rId140" Target="https://doi.org/10.1111/j.1365-2664.2008.01548.x" TargetMode="External" /><Relationship Type="http://schemas.openxmlformats.org/officeDocument/2006/relationships/hyperlink" Id="rId73" Target="https://doi.org/10.1111/j.1526-100X.2007.00285.x" TargetMode="External" /><Relationship Type="http://schemas.openxmlformats.org/officeDocument/2006/relationships/hyperlink" Id="rId90" Target="https://doi.org/10.1111/j.1752-1688.2000.tb05717.x" TargetMode="External" /><Relationship Type="http://schemas.openxmlformats.org/officeDocument/2006/relationships/hyperlink" Id="rId105" Target="https://doi.org/10.1111/j.1752-1688.2011.00635.x" TargetMode="External" /><Relationship Type="http://schemas.openxmlformats.org/officeDocument/2006/relationships/hyperlink" Id="rId147" Target="https://doi.org/10.1111/jawr.12032" TargetMode="External" /><Relationship Type="http://schemas.openxmlformats.org/officeDocument/2006/relationships/hyperlink" Id="rId135" Target="https://doi.org/10.1111/jawr.12035" TargetMode="External" /><Relationship Type="http://schemas.openxmlformats.org/officeDocument/2006/relationships/hyperlink" Id="rId64" Target="https://doi.org/10.1146/annurev.ecolsys.35.120202.110122" TargetMode="External" /><Relationship Type="http://schemas.openxmlformats.org/officeDocument/2006/relationships/hyperlink" Id="rId149" Target="https://doi.org/10.1371/journal.pone.0090944" TargetMode="External" /><Relationship Type="http://schemas.openxmlformats.org/officeDocument/2006/relationships/hyperlink" Id="rId102" Target="https://doi.org/10.1371/journal.pone.0130710" TargetMode="External" /><Relationship Type="http://schemas.openxmlformats.org/officeDocument/2006/relationships/hyperlink" Id="rId151" Target="https://doi.org/10.1577/1548-8446(1997)022%3C0006:IOWLUO%3E2.0.CO;2" TargetMode="External" /><Relationship Type="http://schemas.openxmlformats.org/officeDocument/2006/relationships/hyperlink" Id="rId126" Target="https://doi.org/10.1890/11-0077.1" TargetMode="External" /><Relationship Type="http://schemas.openxmlformats.org/officeDocument/2006/relationships/hyperlink" Id="rId83" Target="https://doi.org/10.1899/0887-3593(2004)023%3C0599:BWRSUO%3E2.0.CO;2" TargetMode="External" /><Relationship Type="http://schemas.openxmlformats.org/officeDocument/2006/relationships/hyperlink" Id="rId138"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2018-07-06T21:28:00Z</dcterms:created>
  <dcterms:modified xsi:type="dcterms:W3CDTF">2018-07-06T21:28:00Z</dcterms:modified>
</cp:coreProperties>
</file>