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64.png" ContentType="image/png"/>
  <Override PartName="/word/media/rId55.png" ContentType="image/png"/>
  <Override PartName="/word/media/rId60.png" ContentType="image/png"/>
  <Override PartName="/word/media/rId65.png" ContentType="image/png"/>
  <Override PartName="/word/media/rId59.png" ContentType="image/png"/>
  <Override PartName="/word/media/rId63.png" ContentType="image/png"/>
  <Override PartName="/word/media/rId57.png" ContentType="image/png"/>
  <Override PartName="/word/media/rId66.png" ContentType="image/png"/>
  <Override PartName="/word/media/rId62.png" ContentType="image/png"/>
  <Override PartName="/word/media/rId61.png" ContentType="image/png"/>
  <Override PartName="/word/media/rId5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Mon Jul 2 14:33:35 2018 -0700</w:t>
      </w:r>
    </w:p>
    <w:p>
      <w:pPr>
        <w:pStyle w:val="Heading1"/>
      </w:pPr>
      <w:bookmarkStart w:id="30" w:name="abstract"/>
      <w:r>
        <w:t xml:space="preserve">Abstract</w:t>
      </w:r>
      <w:bookmarkEnd w:id="30"/>
    </w:p>
    <w:p>
      <w:pPr>
        <w:pStyle w:val="FirstParagraph"/>
      </w:pPr>
      <w:r>
        <w:t xml:space="preserve">Some management goals may be impractical with limited resources, particularly in streams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through regulatory statutes if thresholds for biological objectives are impractical within site-specific conditions. Managers require explicit information that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 health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engineered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other alternative use designations to account for baseline shifts in ecosystem health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This work builds on the knowledge and relationships developed through existing monitoring programs and applies that in a predictive manner across entire landscapes to inform management decisions.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A case study demonstrated how the statewide model can be used to classify and prioritize in a regional context using guidance from a local stakeholder group. An interactive software tool that was used by the stakeholder group to develop priority recommendations from the landscape model is also described.</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of the CSCI was developed to estimate likely ranges of scores associated with land use gradients.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w:t>
      </w:r>
      <w:r>
        <w:t xml:space="preserve"> </w:t>
      </w:r>
      <w:r>
        <w:t xml:space="preserve">1</w:t>
      </w:r>
      <w:r>
        <w:t xml:space="preserve">). These variables were chosen specifically to model scores only in relation to long-term constraints on biological condition that are typically beyond the scope of management intervention or where costs to mitigate are likely to be prohibitive. The remainder of the variation in scores not related to to these landscape constraints could be attributed to additional, unmeasured environmental variables that influence stream biointegrity. Deviation of observed scores from the model predictions were considered diagnostic of variation not related to landscape effects, although deviations could also be attributed to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where streams are unlikely to be impacted by placing bounds on the range of expectations relative to landscape constraints. Quantile regression forests were used to predict CSCI scores in each stream reach from the 5th to the 95th percentiles of expectations at five percent intervals (i.e., 5th, 10th, etc.) up to the 45th and 55th percentiles.</w:t>
      </w:r>
    </w:p>
    <w:p>
      <w:pPr>
        <w:pStyle w:val="BodyText"/>
      </w:pPr>
      <w:r>
        <w:t xml:space="preserve">Calibration data for the landscape model was based on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The stratification method was chosen to adequately represent landscape gradients in each ecoreg. For example, the 1st quartile of watershed imperviousness of all reaches in the South Coast was greater than the 3rd quartile of imperviousness of all reaches in the North Coast region. The remaining sites were used for model validation (n = 655).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2</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2</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Reach classes as possibly or likely constrained (or unconstrained) were combined to evaluate the complete dataset.</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unclassifiable-reaches"/>
      <w:r>
        <w:t xml:space="preserve">Unclassifiable reaches</w:t>
      </w:r>
      <w:bookmarkEnd w:id="38"/>
    </w:p>
    <w:p>
      <w:pPr>
        <w:pStyle w:val="FirstParagraph"/>
      </w:pPr>
      <w:r>
        <w:t xml:space="preserve">Some stream reaches were not classified following application of the landscape model to the statewide hydrography dataset. Unclassifiable reaches occurred if StreamCat data were unavailable to predict bioassessment expectations using the landscape model or if a reach was excluded from the NHD-plus dataset (typically, small headwater streams). The former was more common, particularly in developed areas where canals and ditches were sometimes excluded from the natural stream network. Overall, unclassified reaches were not common in the statewide dataset but they may have regional importance depending on needs of local management groups. As described below, approximately 15% of the reaches in the San Gabriel River watershed were unclassifiable and a method for assigning a classification to these reaches was desired by the stakeholder group.</w:t>
      </w:r>
    </w:p>
    <w:p>
      <w:pPr>
        <w:pStyle w:val="BodyText"/>
      </w:pPr>
      <w:r>
        <w:t xml:space="preserve">An approach for assigning biological expectations to unclassified reaches was developed for</w:t>
      </w:r>
      <w:r>
        <w:t xml:space="preserve"> </w:t>
      </w:r>
      <w:r>
        <w:t xml:space="preserve">“</w:t>
      </w:r>
      <w:r>
        <w:t xml:space="preserve">typically</w:t>
      </w:r>
      <w:r>
        <w:t xml:space="preserve">”</w:t>
      </w:r>
      <w:r>
        <w:t xml:space="preserve"> </w:t>
      </w:r>
      <w:r>
        <w:t xml:space="preserve">urban or agricultural reaches that was based on the range of expectations for reaches with similar land use. This analysis was conducted statewide and stratified by major regions to account for statewide variation in land use. The approximate range of CSCI scores in unclassifiable reaches were defined for three different gruops: reaches dominated by either 1) urban, 2) agricultural, or 3) open (i.e., lack of urban or agricultural land use). The three groups were identified using kmeans clustering of percentage land use estimates that were available across reaches</w:t>
      </w:r>
      <w:r>
        <w:t xml:space="preserve"> </w:t>
      </w:r>
      <w:r>
        <w:t xml:space="preserve">(MacQueen</w:t>
      </w:r>
      <w:r>
        <w:t xml:space="preserve"> </w:t>
      </w:r>
      <w:hyperlink w:anchor="ref-MacQueen67">
        <w:r>
          <w:rPr>
            <w:rStyle w:val="Hyperlink"/>
          </w:rPr>
          <w:t xml:space="preserve">1967</w:t>
        </w:r>
      </w:hyperlink>
      <w:r>
        <w:t xml:space="preserve">)</w:t>
      </w:r>
      <w:r>
        <w:t xml:space="preserve">. This created groups of reaches with similar land use types, where membership of a reach within a particular group was based on the minimum difference in land use estimates for a reach from the group average for each land use type (within-group centroid). The two groups that were dominated by agricultural or urban land use were identified based on the largest centroid average of the clusters for each land use type. The third</w:t>
      </w:r>
      <w:r>
        <w:t xml:space="preserve"> </w:t>
      </w:r>
      <w:r>
        <w:t xml:space="preserve">“</w:t>
      </w:r>
      <w:r>
        <w:t xml:space="preserve">open</w:t>
      </w:r>
      <w:r>
        <w:t xml:space="preserve">”</w:t>
      </w:r>
      <w:r>
        <w:t xml:space="preserve"> </w:t>
      </w:r>
      <w:r>
        <w:t xml:space="preserve">group that was defined by a lack of urban and agricultural land use was identified by the minimum sum of the centroid values for the two land use types. The expected range of CSCI scores for the three groups were based on averages from the landscape model for reaches with available predictions.</w:t>
      </w:r>
    </w:p>
    <w:p>
      <w:pPr>
        <w:pStyle w:val="Heading2"/>
      </w:pPr>
      <w:bookmarkStart w:id="39" w:name="defining-management-priorities-in-the-san-gabriel-river-watershed"/>
      <w:r>
        <w:t xml:space="preserve">Defining management priorities in the San Gabriel River watershed</w:t>
      </w:r>
      <w:bookmarkEnd w:id="39"/>
    </w:p>
    <w:p>
      <w:pPr>
        <w:pStyle w:val="FirstParagraph"/>
      </w:pPr>
      <w:r>
        <w:t xml:space="preserve">A framework for identifying site priorities for management actions using the landscape model was developed through engagement with a local stakeholder group. The San Gabriel River Regional Monitoring Program (SGRRMP) includes stakeholders from local municipalities, water districts, water quality regulatory agencies, consulting groups, and non-government organizations that cooperatively work to increase awareness of issues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 Approximately half of the monitored sites in the watershed are in poor biological condition, all of which are in the lower watershed. Pioritizing among the many sites that require some management intervention was a critical objective of the stakeholder group in applying the landscape model.</w:t>
      </w:r>
    </w:p>
    <w:p>
      <w:pPr>
        <w:pStyle w:val="BodyText"/>
      </w:pPr>
      <w:r>
        <w:t xml:space="preserve">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in addition to the scoring expectation for the stream class (Table</w:t>
      </w:r>
      <w:r>
        <w:t xml:space="preserve"> </w:t>
      </w:r>
      <w:r>
        <w:t xml:space="preserve">3</w:t>
      </w:r>
      <w:r>
        <w:t xml:space="preserve">). To facilitate the process, a template was used that showed the site scores relative to the reach classifications (Figure</w:t>
      </w:r>
      <w:r>
        <w:t xml:space="preserve"> </w:t>
      </w:r>
      <w:r>
        <w:t xml:space="preserve">9</w:t>
      </w:r>
      <w:r>
        <w:t xml:space="preserve">,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priority assignments were also made with the explicit recognition that any recommendations are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w:t>
      </w:r>
    </w:p>
    <w:p>
      <w:pPr>
        <w:pStyle w:val="BodyText"/>
      </w:pPr>
      <w:r>
        <w:t xml:space="preserve">The interactive and online Stream Classification and Priority Explorer (SCAPE) tool was created for the stakeholder group to facilitate the recommendation of management actions for each site type (Figure</w:t>
      </w:r>
      <w:r>
        <w:t xml:space="preserve"> </w:t>
      </w:r>
      <w:r>
        <w:t xml:space="preserve">4</w:t>
      </w:r>
      <w:r>
        <w:t xml:space="preserve">).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w:t>
      </w:r>
      <w:r>
        <w:t xml:space="preserve"> </w:t>
      </w:r>
      <w:r>
        <w:t xml:space="preserve">4</w:t>
      </w:r>
      <w:r>
        <w:t xml:space="preserve">). Agreement between observed and predicted values for the entire calibration dataset was r = 0.84 (Pearson)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w:t>
      </w:r>
      <w:r>
        <w:t xml:space="preserve"> </w:t>
      </w:r>
      <w:r>
        <w:t xml:space="preserve">5</w:t>
      </w:r>
      <w:r>
        <w:t xml:space="preserve">).</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consistent with land use (Figure</w:t>
      </w:r>
      <w:r>
        <w:t xml:space="preserve"> </w:t>
      </w:r>
      <w:r>
        <w:t xml:space="preserve">6</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6</w:t>
      </w:r>
      <w:r>
        <w:t xml:space="preserve">). Large rivers across the state were more commonly classified as possibly constrained (e.g., Klamath, Sacramento, Colorado rivers). By region, the most reaches classified as likely unconstrained reaches were in the Sierra Nevada (50%), North Coast (46%), and Desert Modoc (46%) regions, whereas the most reaches as likely constrained were observed in the Central Valley (22%) and South Coast (15%) regions. Overall, stream reaches were more often constrained for biotic integrity in regions with more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6</w:t>
      </w:r>
      <w:r>
        <w:t xml:space="preserve">). Relative CSCI scores compared to reach expectations were as expected for 80% of the sampled locations statewide, whereas a much smaller percentage of sites were equally under or over scoring (Table</w:t>
      </w:r>
      <w:r>
        <w:t xml:space="preserve"> </w:t>
      </w:r>
      <w:r>
        <w:t xml:space="preserve">6</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reaches between each region (Figure</w:t>
      </w:r>
      <w:r>
        <w:t xml:space="preserve"> </w:t>
      </w:r>
      <w:r>
        <w:t xml:space="preserve">10</w:t>
      </w:r>
      <w:r>
        <w:t xml:space="preserve">, see Figure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12</w:t>
      </w:r>
      <w:r>
        <w:t xml:space="preserve">).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unclassified-reaches"/>
      <w:r>
        <w:t xml:space="preserve">Unclassified reaches</w:t>
      </w:r>
      <w:bookmarkEnd w:id="44"/>
    </w:p>
    <w:p>
      <w:pPr>
        <w:pStyle w:val="FirstParagraph"/>
      </w:pPr>
      <w:r>
        <w:t xml:space="preserve">Ranges of expected CSCI scores for typical reaches in urban, agricultural, and open (neither urban, nor agriculture) are shown in table</w:t>
      </w:r>
      <w:r>
        <w:t xml:space="preserve"> </w:t>
      </w:r>
      <w:r>
        <w:t xml:space="preserve">7</w:t>
      </w:r>
      <w:r>
        <w:t xml:space="preserve">. These typical values are shown for more to less certainty in the range of predictions. Unclassified reaches can be defined by the dominant watershed land use as urban, agricultural, or open, and then matched to the appropriate values in the table. Between regions, the variation in expected scores also provides context for landscape pressures that differ by location. For example, the expected range of scores in regions with heavy urban development (e.g., South Coast) are much lower than streams that are neither urban nor agricultural. The North Coast region in contrast has an expected range of scores in urban streams that is similar to streams that are open. The range of scores in urban and agricultural streams were similar in the Central Valley where agriculture is the dominant land use.</w:t>
      </w:r>
    </w:p>
    <w:p>
      <w:pPr>
        <w:pStyle w:val="Heading2"/>
      </w:pPr>
      <w:bookmarkStart w:id="45" w:name="san-gabriel-river-case-study"/>
      <w:r>
        <w:t xml:space="preserve">San Gabriel River Case study</w:t>
      </w:r>
      <w:bookmarkEnd w:id="45"/>
    </w:p>
    <w:p>
      <w:pPr>
        <w:pStyle w:val="FirstParagraph"/>
      </w:pPr>
      <w:r>
        <w:t xml:space="preserve">Engagement of the stakeholder group demonstrated how management actions can be prioritized through application of the landscape model using the SCAPE tool.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7</w:t>
      </w:r>
      <w:r>
        <w:t xml:space="preserve">). Stream reaches in the upper watershed were a mix of likely and possibly unconstrained (40% and 28%), whereas stream reaches in the lower watershed were classified as likely and possibly constrained (25% and 7%). Several reaches in the lower watershed had ranges that were right-skewed toward very low CSCI scores consistent with extreme landscape pressures (bottom left, Figure</w:t>
      </w:r>
      <w:r>
        <w:t xml:space="preserve"> </w:t>
      </w:r>
      <w:r>
        <w:t xml:space="preserve">7</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8</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reaches or those below the biological threshold with possibly unconstrained classification (Figure</w:t>
      </w:r>
      <w:r>
        <w:t xml:space="preserve"> </w:t>
      </w:r>
      <w:r>
        <w:t xml:space="preserve">9</w:t>
      </w:r>
      <w:r>
        <w:t xml:space="preserve">). Continuing current practices were generally recommended at constrained sites or restoration actions were recommended as a low priority despite low CSCI scores.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8</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1"/>
      </w:pPr>
      <w:bookmarkStart w:id="46" w:name="discussion"/>
      <w:r>
        <w:t xml:space="preserve">Discussion</w:t>
      </w:r>
      <w:bookmarkEnd w:id="46"/>
    </w:p>
    <w:p>
      <w:pPr>
        <w:pStyle w:val="FirstParagraph"/>
      </w:pPr>
      <w:r>
        <w:t xml:space="preserve">The landscape model was able to identify the location and extent of biologically constrained channels at the state level and major regions in California.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models provide tools that allow managers to determine how best to use limited resources for stream management by focusing on reaches where recommended actions are most likely to have the intended outcome of improving or protecting biological condition. The approach also leverages all available information to develop a context for biological assessment that provides an unambiguous expectation of what is likely to be achieved at any sampling location.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The above paragraph also has implications for identifying high ocon</w:t>
      </w:r>
      <w:r>
        <w:t xml:space="preserve"> </w:t>
      </w:r>
      <w:r>
        <w:t xml:space="preserve">What does the model mean vis a vis Pete’s comments - what variables did we include and how can we improve on this for more resolution depending on the region. Bias toward urban streams? What about time scale of impacts? What about possibility of model error? In regards to weak performance in the north coast, Rafi says: In the discussion, we should state explicitly that our model leads us to the conclusion that this region is generally unconstrained, and then we should evaluate if this is true. Cite a few studies about whether a stream can ever recover from a clearcut. Andy has a yet-to-be-published study showing that modern forestry practices are generally good for CSCI scores, although historic impacts might really be constrained by massive sediment pulses that will take decades/centuries to work their way through the systems.</w:t>
      </w:r>
    </w:p>
    <w:p>
      <w:pPr>
        <w:pStyle w:val="Heading2"/>
      </w:pPr>
      <w:bookmarkStart w:id="47" w:name="landscape-constraints-can-be-described-using-biological-endpoints"/>
      <w:r>
        <w:t xml:space="preserve">Landscape constraints can be described using biological endpoints</w:t>
      </w:r>
      <w:bookmarkEnd w:id="47"/>
    </w:p>
    <w:p>
      <w:pPr>
        <w:pStyle w:val="FirstParagraph"/>
      </w:pPr>
      <w:r>
        <w:t xml:space="preserve">Our approach has the advantage of relating strictly to biological condition, as compared to physical or chemical endpoints to assess constraints. This approach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limited range of expectations at the lower end of the distribution of CSCI scores is an indication that stressors originating from the landscape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constrained based on land use only.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challenges in engaging stakeholders were encountered wherein a complete understanding of concepts, as well as limitations, of the model was insufficient for discussing regional application to the SGR watershed. The tool provided a means of demonstrating these concepts that was not possible through more conventional methods, such as static presentations or simple text vignettes. SCAPE also allowed stakeholders to explore the key decision points that affect the model output, specifically related to changing certainties in the CSCI score predictions and the ability to explore alternative thresholds for biological objectives. This functionality is key in our approach to allow the stakeholders to develop recommendations that are completely independent of the model, i.e., decisions are not hard-wired into the model nor SCAPE. Because of this tool, this stakeholder group has a better understanding of the potential impacts of biointegrity policies currently under review in California, and will therefore have more meaningful engagement in the development and implementation of these policies. Application of the landscape modelling approach to other regions will benefit from similar tools that can easily be developed.</w:t>
      </w:r>
    </w:p>
    <w:p>
      <w:pPr>
        <w:pStyle w:val="Heading2"/>
      </w:pPr>
      <w:bookmarkStart w:id="49" w:name="the-landscape-model-is-a-tool-for-exploring-options"/>
      <w:r>
        <w:t xml:space="preserve">The landscape model is a tool for exploring options</w:t>
      </w:r>
      <w:bookmarkEnd w:id="49"/>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Instead, they can help identify a small set of sites where more intensive analyses may be appropriate.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biological attributes of stream health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50" w:name="additional-applications-of-the-landscape-model"/>
      <w:r>
        <w:t xml:space="preserve">Additional applications of the landscape model</w:t>
      </w:r>
      <w:bookmarkEnd w:id="50"/>
    </w:p>
    <w:p>
      <w:pPr>
        <w:pStyle w:val="FirstParagraph"/>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to prioritize conservation or restoration beyond California should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under-performing relative to a biological endpoint. Doing so in California provided stakeholders with important context that helped establish management priorities, demonstrating the potential utility of this approach in other states.</w:t>
      </w:r>
    </w:p>
    <w:p>
      <w:pPr>
        <w:pStyle w:val="Heading2"/>
      </w:pPr>
      <w:bookmarkStart w:id="51" w:name="summary"/>
      <w:r>
        <w:t xml:space="preserve">Summary</w:t>
      </w:r>
      <w:bookmarkEnd w:id="51"/>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2" w:name="supplement"/>
      <w:r>
        <w:t xml:space="preserve">Supplement</w:t>
      </w:r>
      <w:bookmarkEnd w:id="52"/>
    </w:p>
    <w:p>
      <w:pPr>
        <w:pStyle w:val="FirstParagraph"/>
      </w:pPr>
      <w:r>
        <w:t xml:space="preserve">The SCAPE model application website:</w:t>
      </w:r>
      <w:r>
        <w:t xml:space="preserve"> </w:t>
      </w:r>
      <w:hyperlink r:id="rId53">
        <w:r>
          <w:rPr>
            <w:rStyle w:val="Hyperlink"/>
          </w:rPr>
          <w:t xml:space="preserve">http://shiny.sccwrp.org/scape/</w:t>
        </w:r>
      </w:hyperlink>
    </w:p>
    <w:p>
      <w:pPr>
        <w:pStyle w:val="Heading1"/>
      </w:pPr>
      <w:bookmarkStart w:id="54" w:name="figures"/>
      <w:r>
        <w:t xml:space="preserve">Figures</w:t>
      </w:r>
      <w:bookmarkEnd w:id="54"/>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6523867"/>
            <wp:effectExtent b="0" l="0" r="0" t="0"/>
            <wp:docPr descr="Figure 4 Screenshots from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 title="" id="1" name="Picture"/>
            <a:graphic>
              <a:graphicData uri="http://schemas.openxmlformats.org/drawingml/2006/picture">
                <pic:pic>
                  <pic:nvPicPr>
                    <pic:cNvPr descr="figs/app.png" id="0" name="Picture"/>
                    <pic:cNvPicPr>
                      <a:picLocks noChangeArrowheads="1" noChangeAspect="1"/>
                    </pic:cNvPicPr>
                  </pic:nvPicPr>
                  <pic:blipFill>
                    <a:blip r:embed="rId58"/>
                    <a:stretch>
                      <a:fillRect/>
                    </a:stretch>
                  </pic:blipFill>
                  <pic:spPr bwMode="auto">
                    <a:xfrm>
                      <a:off x="0" y="0"/>
                      <a:ext cx="5943600" cy="6523867"/>
                    </a:xfrm>
                    <a:prstGeom prst="rect">
                      <a:avLst/>
                    </a:prstGeom>
                    <a:noFill/>
                    <a:ln w="9525">
                      <a:noFill/>
                      <a:headEnd/>
                      <a:tailEnd/>
                    </a:ln>
                  </pic:spPr>
                </pic:pic>
              </a:graphicData>
            </a:graphic>
          </wp:inline>
        </w:drawing>
      </w:r>
    </w:p>
    <w:p>
      <w:pPr>
        <w:pStyle w:val="ImageCaption"/>
      </w:pPr>
      <w:r>
        <w:t xml:space="preserve">Figure 4 Screenshots from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w:t>
      </w:r>
    </w:p>
    <w:p>
      <w:pPr>
        <w:pStyle w:val="CaptionedFigure"/>
      </w:pPr>
      <w:r>
        <w:drawing>
          <wp:inline>
            <wp:extent cx="5504749" cy="5504749"/>
            <wp:effectExtent b="0" l="0" r="0" t="0"/>
            <wp:docPr descr="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and Modoc Plateau,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59"/>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and Modoc Plateau, NC: North Coast, SN: Sierra Nevada, SC: South Coast.</w:t>
      </w:r>
    </w:p>
    <w:p>
      <w:pPr>
        <w:pStyle w:val="CaptionedFigure"/>
      </w:pPr>
      <w:r>
        <w:drawing>
          <wp:inline>
            <wp:extent cx="5943600" cy="4457700"/>
            <wp:effectExtent b="0" l="0" r="0" t="0"/>
            <wp:docPr descr="Figure 6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7 Application of the landscape model to stream reaches in the San Gabriel River watershed, Los Angeles County,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61"/>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County,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ena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62"/>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maintenance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tization of recommended actions for each stream type. The reach types (Table 3)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63"/>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prioritization of recommended actions for each stream type. The reach types (Table</w:t>
      </w:r>
      <w:r>
        <w:t xml:space="preserve"> </w:t>
      </w:r>
      <w:r>
        <w:t xml:space="preserve">3</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CaptionedFigure"/>
      </w:pPr>
      <w:r>
        <w:drawing>
          <wp:inline>
            <wp:extent cx="5943600" cy="4245428"/>
            <wp:effectExtent b="0" l="0" r="0" t="0"/>
            <wp:docPr descr="Figure 10 Factors associated with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and Modoc Plateau,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6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10 Factors associated with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and Modoc Plateau, NC: North Coast, SN: Sierra Nevada, SC: South Coast.</w:t>
      </w:r>
    </w:p>
    <w:p>
      <w:pPr>
        <w:pStyle w:val="CaptionedFigure"/>
      </w:pPr>
      <w:r>
        <w:drawing>
          <wp:inline>
            <wp:extent cx="5943600" cy="4245428"/>
            <wp:effectExtent b="0" l="0" r="0" t="0"/>
            <wp:docPr descr="Figure 11 Importance measures for landscape variables used to develop the landscape model of expected stream bioassessment scores in California. Values were obtained from quantile regression models of twenty landscape measures shown in Table 1 obtained from the StreamCat dataset (Hill et al. 2016). The importance measures describe the percent increase in mean square error and the increase in node impurity with exclusion of a variable across all random trees for each model (Meinshausen 2017)." title="" id="1" name="Picture"/>
            <a:graphic>
              <a:graphicData uri="http://schemas.openxmlformats.org/drawingml/2006/picture">
                <pic:pic>
                  <pic:nvPicPr>
                    <pic:cNvPr descr="figs/lndscpimp.png" id="0"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11 Importance measures for landscape variables used to develop the landscape model of expected stream bioassessment scores in California. Values were obtained from quantile regression models of twenty landscape measures shown in Table</w:t>
      </w:r>
      <w:r>
        <w:t xml:space="preserve"> </w:t>
      </w:r>
      <w:r>
        <w:t xml:space="preserve">1</w:t>
      </w:r>
      <w:r>
        <w:t xml:space="preserve"> </w:t>
      </w:r>
      <w:r>
        <w:t xml:space="preserve">obtained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importance measures describe the percent increase in mean square error and the increase in node impurity with exclusion of a variable across all random trees for each model</w:t>
      </w:r>
      <w:r>
        <w:t xml:space="preserve"> </w:t>
      </w:r>
      <w:r>
        <w:t xml:space="preserve">(Meinshausen</w:t>
      </w:r>
      <w:r>
        <w:t xml:space="preserve"> </w:t>
      </w:r>
      <w:hyperlink w:anchor="ref-Meinshausen17">
        <w:r>
          <w:rPr>
            <w:rStyle w:val="Hyperlink"/>
          </w:rPr>
          <w:t xml:space="preserve">2017</w:t>
        </w:r>
      </w:hyperlink>
      <w:r>
        <w:t xml:space="preserve">)</w:t>
      </w:r>
      <w:r>
        <w:t xml:space="preserve">.</w:t>
      </w:r>
    </w:p>
    <w:p>
      <w:pPr>
        <w:pStyle w:val="CaptionedFigure"/>
      </w:pPr>
      <w:r>
        <w:drawing>
          <wp:inline>
            <wp:extent cx="5943600" cy="4245428"/>
            <wp:effectExtent b="0" l="0" r="0" t="0"/>
            <wp:docPr descr="Figure 12 Changes in stream reach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 (three scenarios for relaxed to more conservative). The percentage of total stream length for each classification is shown for each scenario.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66"/>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12 Changes in stream reach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 (three scenarios for relaxed to more conservative). The percentage of total stream length for each classification is shown for each scenario. CV: Central Valley, CH: Chaparral, DM: Deserts and Modoc Plateau, NC: North Coast, SN: Sierra Nevada, SC: South Coast.</w:t>
      </w:r>
    </w:p>
    <w:p>
      <w:pPr>
        <w:pStyle w:val="Heading1"/>
      </w:pPr>
      <w:bookmarkStart w:id="67" w:name="tables"/>
      <w:r>
        <w:t xml:space="preserve">Tables</w:t>
      </w:r>
      <w:bookmarkEnd w:id="67"/>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The measurement scale for each variable is at the catchment, watershed, and/or riparian scale (100 m buffer) relative to a stream reach. Total urban and agriculture land use variables were based on sums of indvidual variables in StreamCat as noted in the desciption.</w:t>
      </w:r>
    </w:p>
    <w:tbl>
      <w:tblPr>
        <w:tblStyle w:val="Table"/>
        <w:tblW w:type="pct" w:w="0.0"/>
        <w:tblLook w:firstRow="1"/>
        <w:tblCaption w:val="Table 1 Land use variables used to develop the landscape model of stream bioassessment scores. All variables were obtained from StreamCat (Hill et al. 2016). The measurement scale for each variable is at the catchment, watershed, and/or riparian scale (100 m buffer) relative to a stream reach. Total urban and agriculture land use variables were based on sums of indvidual variables in StreamCat as noted in the descip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CanalDensCat</w:t>
            </w:r>
          </w:p>
        </w:tc>
        <w:tc>
          <w:p>
            <w:pPr>
              <w:pStyle w:val="Compact"/>
              <w:jc w:val="left"/>
            </w:pPr>
            <w:r>
              <w:t xml:space="preserve">catchment</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CanalDensWs</w:t>
            </w:r>
          </w:p>
        </w:tc>
        <w:tc>
          <w:p>
            <w:pPr>
              <w:pStyle w:val="Compact"/>
              <w:jc w:val="left"/>
            </w:pPr>
            <w:r>
              <w:t xml:space="preserve">watershed</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PctImp2006Cat</w:t>
            </w:r>
          </w:p>
        </w:tc>
        <w:tc>
          <w:p>
            <w:pPr>
              <w:pStyle w:val="Compact"/>
              <w:jc w:val="left"/>
            </w:pPr>
            <w:r>
              <w:t xml:space="preserve">catchment</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w:t>
            </w:r>
          </w:p>
        </w:tc>
        <w:tc>
          <w:p>
            <w:pPr>
              <w:pStyle w:val="Compact"/>
              <w:jc w:val="left"/>
            </w:pPr>
            <w:r>
              <w:t xml:space="preserve">watershed</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PctImp2006CatRp100</w:t>
            </w:r>
          </w:p>
        </w:tc>
        <w:tc>
          <w:p>
            <w:pPr>
              <w:pStyle w:val="Compact"/>
              <w:jc w:val="left"/>
            </w:pPr>
            <w:r>
              <w:t xml:space="preserve">catchment,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PctImp2006WsRp100</w:t>
            </w:r>
          </w:p>
        </w:tc>
        <w:tc>
          <w:p>
            <w:pPr>
              <w:pStyle w:val="Compact"/>
              <w:jc w:val="left"/>
            </w:pPr>
            <w:r>
              <w:t xml:space="preserve">watershed,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TotUrb2011Ws</w:t>
            </w:r>
          </w:p>
        </w:tc>
        <w:tc>
          <w:p>
            <w:pPr>
              <w:pStyle w:val="Compact"/>
              <w:jc w:val="left"/>
            </w:pPr>
            <w:r>
              <w:t xml:space="preserve">watershed</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w:t>
            </w:r>
          </w:p>
        </w:tc>
        <w:tc>
          <w:p>
            <w:pPr>
              <w:pStyle w:val="Compact"/>
              <w:jc w:val="left"/>
            </w:pPr>
            <w:r>
              <w:t xml:space="preserve">catchment</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TotUrb2011WsRp100</w:t>
            </w:r>
          </w:p>
        </w:tc>
        <w:tc>
          <w:p>
            <w:pPr>
              <w:pStyle w:val="Compact"/>
              <w:jc w:val="left"/>
            </w:pPr>
            <w:r>
              <w:t xml:space="preserve">watershed,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TotUrb2011CatRp100</w:t>
            </w:r>
          </w:p>
        </w:tc>
        <w:tc>
          <w:p>
            <w:pPr>
              <w:pStyle w:val="Compact"/>
              <w:jc w:val="left"/>
            </w:pPr>
            <w:r>
              <w:t xml:space="preserve">catchment,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TotAg2011Ws</w:t>
            </w:r>
          </w:p>
        </w:tc>
        <w:tc>
          <w:p>
            <w:pPr>
              <w:pStyle w:val="Compact"/>
              <w:jc w:val="left"/>
            </w:pPr>
            <w:r>
              <w:t xml:space="preserve">watershed</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w:t>
            </w:r>
          </w:p>
        </w:tc>
        <w:tc>
          <w:p>
            <w:pPr>
              <w:pStyle w:val="Compact"/>
              <w:jc w:val="left"/>
            </w:pPr>
            <w:r>
              <w:t xml:space="preserve">catchment</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TotAg2011WsRp100</w:t>
            </w:r>
          </w:p>
        </w:tc>
        <w:tc>
          <w:p>
            <w:pPr>
              <w:pStyle w:val="Compact"/>
              <w:jc w:val="left"/>
            </w:pPr>
            <w:r>
              <w:t xml:space="preserve">watershed,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TotAg2011CatRp100</w:t>
            </w:r>
          </w:p>
        </w:tc>
        <w:tc>
          <w:p>
            <w:pPr>
              <w:pStyle w:val="Compact"/>
              <w:jc w:val="left"/>
            </w:pPr>
            <w:r>
              <w:t xml:space="preserve">catchment,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RdDensCat</w:t>
            </w:r>
          </w:p>
        </w:tc>
        <w:tc>
          <w:p>
            <w:pPr>
              <w:pStyle w:val="Compact"/>
              <w:jc w:val="left"/>
            </w:pPr>
            <w:r>
              <w:t xml:space="preserve">catchment</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w:t>
            </w:r>
          </w:p>
        </w:tc>
        <w:tc>
          <w:p>
            <w:pPr>
              <w:pStyle w:val="Compact"/>
              <w:jc w:val="left"/>
            </w:pPr>
            <w:r>
              <w:t xml:space="preserve">watershed</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RdDensCatRp100</w:t>
            </w:r>
          </w:p>
        </w:tc>
        <w:tc>
          <w:p>
            <w:pPr>
              <w:pStyle w:val="Compact"/>
              <w:jc w:val="left"/>
            </w:pPr>
            <w:r>
              <w:t xml:space="preserve">catchment,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RdDensWsRp100</w:t>
            </w:r>
          </w:p>
        </w:tc>
        <w:tc>
          <w:p>
            <w:pPr>
              <w:pStyle w:val="Compact"/>
              <w:jc w:val="left"/>
            </w:pPr>
            <w:r>
              <w:t xml:space="preserve">watershed,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RdCrsCat</w:t>
            </w:r>
          </w:p>
        </w:tc>
        <w:tc>
          <w:p>
            <w:pPr>
              <w:pStyle w:val="Compact"/>
              <w:jc w:val="left"/>
            </w:pPr>
            <w:r>
              <w:t xml:space="preserve">catchment</w:t>
            </w:r>
          </w:p>
        </w:tc>
        <w:tc>
          <w:p>
            <w:pPr>
              <w:pStyle w:val="Compact"/>
              <w:jc w:val="left"/>
            </w:pPr>
            <w:r>
              <w:t xml:space="preserve">Density of roads-stream intersections (2010 Census Tiger Lines-NHD stream lines)</w:t>
            </w:r>
          </w:p>
        </w:tc>
        <w:tc>
          <w:p>
            <w:pPr>
              <w:pStyle w:val="Compact"/>
              <w:jc w:val="left"/>
            </w:pPr>
            <w:r>
              <w:t xml:space="preserve">crossings/sq km</w:t>
            </w:r>
          </w:p>
        </w:tc>
      </w:tr>
      <w:tr>
        <w:tc>
          <w:p>
            <w:pPr>
              <w:pStyle w:val="Compact"/>
              <w:jc w:val="left"/>
            </w:pPr>
            <w:r>
              <w:t xml:space="preserve">RdCrsWs</w:t>
            </w:r>
          </w:p>
        </w:tc>
        <w:tc>
          <w:p>
            <w:pPr>
              <w:pStyle w:val="Compact"/>
              <w:jc w:val="left"/>
            </w:pPr>
            <w:r>
              <w:t xml:space="preserve">watershed</w:t>
            </w:r>
          </w:p>
        </w:tc>
        <w:tc>
          <w:p>
            <w:pPr>
              <w:pStyle w:val="Compact"/>
              <w:jc w:val="left"/>
            </w:pPr>
            <w:r>
              <w:t xml:space="preserve">Density of roads-stream intersections (2010 Census Tiger Lines-NHD stream lines)</w:t>
            </w:r>
          </w:p>
        </w:tc>
        <w:tc>
          <w:p>
            <w:pPr>
              <w:pStyle w:val="Compact"/>
              <w:jc w:val="left"/>
            </w:pPr>
            <w:r>
              <w:t xml:space="preserve">crosssings/sq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TableCaption"/>
      </w:pPr>
      <w:r>
        <w:t xml:space="preserve">Table 4 Performance of the landscape model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w:t>
      </w:r>
    </w:p>
    <w:tbl>
      <w:tblPr>
        <w:tblStyle w:val="Table"/>
        <w:tblW w:type="pct" w:w="0.0"/>
        <w:tblLook w:firstRow="1"/>
        <w:tblCaption w:val="Table 4 Performance of the landscape model by calibration and validation datasets in predicting CSCI scores. The statewide dataset (Figure 6)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0.34</w:t>
            </w:r>
          </w:p>
        </w:tc>
        <w:tc>
          <w:p>
            <w:pPr>
              <w:pStyle w:val="Compact"/>
              <w:jc w:val="lef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0.38</w:t>
            </w:r>
          </w:p>
        </w:tc>
        <w:tc>
          <w:p>
            <w:pPr>
              <w:pStyle w:val="Compact"/>
              <w:jc w:val="lef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0.29</w:t>
            </w:r>
          </w:p>
        </w:tc>
        <w:tc>
          <w:p>
            <w:pPr>
              <w:pStyle w:val="Compact"/>
              <w:jc w:val="lef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0.63</w:t>
            </w:r>
          </w:p>
        </w:tc>
        <w:tc>
          <w:p>
            <w:pPr>
              <w:pStyle w:val="Compact"/>
              <w:jc w:val="lef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0.61</w:t>
            </w:r>
          </w:p>
        </w:tc>
        <w:tc>
          <w:p>
            <w:pPr>
              <w:pStyle w:val="Compact"/>
              <w:jc w:val="lef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0.27</w:t>
            </w:r>
          </w:p>
        </w:tc>
        <w:tc>
          <w:p>
            <w:pPr>
              <w:pStyle w:val="Compact"/>
              <w:jc w:val="lef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0.75</w:t>
            </w:r>
          </w:p>
        </w:tc>
        <w:tc>
          <w:p>
            <w:pPr>
              <w:pStyle w:val="Compact"/>
              <w:jc w:val="lef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0.36</w:t>
            </w:r>
          </w:p>
        </w:tc>
        <w:tc>
          <w:p>
            <w:pPr>
              <w:pStyle w:val="Compact"/>
              <w:jc w:val="lef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0.39</w:t>
            </w:r>
          </w:p>
        </w:tc>
        <w:tc>
          <w:p>
            <w:pPr>
              <w:pStyle w:val="Compact"/>
              <w:jc w:val="lef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0.38</w:t>
            </w:r>
          </w:p>
        </w:tc>
        <w:tc>
          <w:p>
            <w:pPr>
              <w:pStyle w:val="Compact"/>
              <w:jc w:val="lef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0.63</w:t>
            </w:r>
          </w:p>
        </w:tc>
        <w:tc>
          <w:p>
            <w:pPr>
              <w:pStyle w:val="Compact"/>
              <w:jc w:val="lef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0.67</w:t>
            </w:r>
          </w:p>
        </w:tc>
        <w:tc>
          <w:p>
            <w:pPr>
              <w:pStyle w:val="Compact"/>
              <w:jc w:val="lef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0.27</w:t>
            </w:r>
          </w:p>
        </w:tc>
        <w:tc>
          <w:p>
            <w:pPr>
              <w:pStyle w:val="Compact"/>
              <w:jc w:val="lef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0.88</w:t>
            </w:r>
          </w:p>
        </w:tc>
        <w:tc>
          <w:p>
            <w:pPr>
              <w:pStyle w:val="Compact"/>
              <w:jc w:val="left"/>
            </w:pPr>
            <w:r>
              <w:t xml:space="preserve">0.11</w:t>
            </w:r>
          </w:p>
        </w:tc>
      </w:tr>
    </w:tbl>
    <w:p>
      <w:pPr>
        <w:pStyle w:val="BodyText"/>
      </w:pPr>
      <w:r>
        <w:rPr>
          <w:i/>
        </w:rPr>
        <w:t xml:space="preserve">Table</w:t>
      </w:r>
      <w:r>
        <w:rPr>
          <w:i/>
        </w:rPr>
        <w:t xml:space="preserve"> </w:t>
      </w:r>
      <w:r>
        <w:rPr>
          <w:i/>
        </w:rPr>
        <w:t xml:space="preserve">5</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6</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TableCaption"/>
      </w:pPr>
      <w:r>
        <w:t xml:space="preserve">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and Modoc Plateau, NC: North Coast, SN: Sierra Nevada, SC: South Coast.</w:t>
      </w:r>
    </w:p>
    <w:tbl>
      <w:tblPr>
        <w:tblStyle w:val="Table"/>
        <w:tblW w:type="pct" w:w="0.0"/>
        <w:tblLook w:firstRow="1"/>
        <w:tblCaption w:val="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High certainty (10th - 90th)</w:t>
            </w:r>
          </w:p>
        </w:tc>
        <w:tc>
          <w:tcPr>
            <w:tcBorders>
              <w:bottom w:val="single"/>
            </w:tcBorders>
            <w:vAlign w:val="bottom"/>
          </w:tcPr>
          <w:p>
            <w:pPr>
              <w:pStyle w:val="Compact"/>
              <w:jc w:val="left"/>
            </w:pPr>
            <w:r>
              <w:t xml:space="preserve">Moderate (25th - 75th)</w:t>
            </w:r>
          </w:p>
        </w:tc>
        <w:tc>
          <w:tcPr>
            <w:tcBorders>
              <w:bottom w:val="single"/>
            </w:tcBorders>
            <w:vAlign w:val="bottom"/>
          </w:tcPr>
          <w:p>
            <w:pPr>
              <w:pStyle w:val="Compact"/>
              <w:jc w:val="left"/>
            </w:pPr>
            <w:r>
              <w:t xml:space="preserve">Low certainty (40th - 60th)</w:t>
            </w:r>
          </w:p>
        </w:tc>
      </w:tr>
      <w:tr>
        <w:tc>
          <w:p>
            <w:pPr>
              <w:pStyle w:val="Compact"/>
              <w:jc w:val="left"/>
            </w:pPr>
            <w:r>
              <w:t xml:space="preserve">Statewide</w:t>
            </w:r>
          </w:p>
        </w:tc>
        <w:tc>
          <w:p>
            <w:pPr>
              <w:pStyle w:val="Compact"/>
              <w:jc w:val="left"/>
            </w:pPr>
            <w:r>
              <w:t xml:space="preserve">Urban</w:t>
            </w:r>
          </w:p>
        </w:tc>
        <w:tc>
          <w:p>
            <w:pPr>
              <w:pStyle w:val="Compact"/>
              <w:jc w:val="left"/>
            </w:pPr>
            <w:r>
              <w:t xml:space="preserve">0.34 - 0.83</w:t>
            </w:r>
          </w:p>
        </w:tc>
        <w:tc>
          <w:p>
            <w:pPr>
              <w:pStyle w:val="Compact"/>
              <w:jc w:val="left"/>
            </w:pPr>
            <w:r>
              <w:t xml:space="preserve">0.45 - 0.72</w:t>
            </w:r>
          </w:p>
        </w:tc>
        <w:tc>
          <w:p>
            <w:pPr>
              <w:pStyle w:val="Compact"/>
              <w:jc w:val="left"/>
            </w:pPr>
            <w:r>
              <w:t xml:space="preserve">0.53 - 0.64</w:t>
            </w:r>
          </w:p>
        </w:tc>
      </w:tr>
      <w:tr>
        <w:tc>
          <w:p>
            <w:pPr>
              <w:pStyle w:val="Compact"/>
            </w:pPr>
          </w:p>
        </w:tc>
        <w:tc>
          <w:p>
            <w:pPr>
              <w:pStyle w:val="Compact"/>
              <w:jc w:val="left"/>
            </w:pPr>
            <w:r>
              <w:t xml:space="preserve">Ag</w:t>
            </w:r>
          </w:p>
        </w:tc>
        <w:tc>
          <w:p>
            <w:pPr>
              <w:pStyle w:val="Compact"/>
              <w:jc w:val="left"/>
            </w:pPr>
            <w:r>
              <w:t xml:space="preserve">0.38 - 0.93</w:t>
            </w:r>
          </w:p>
        </w:tc>
        <w:tc>
          <w:p>
            <w:pPr>
              <w:pStyle w:val="Compact"/>
              <w:jc w:val="left"/>
            </w:pPr>
            <w:r>
              <w:t xml:space="preserve">0.47 - 0.77</w:t>
            </w:r>
          </w:p>
        </w:tc>
        <w:tc>
          <w:p>
            <w:pPr>
              <w:pStyle w:val="Compact"/>
              <w:jc w:val="left"/>
            </w:pPr>
            <w:r>
              <w:t xml:space="preserve">0.54 - 0.66</w:t>
            </w:r>
          </w:p>
        </w:tc>
      </w:tr>
      <w:tr>
        <w:tc>
          <w:p>
            <w:pPr>
              <w:pStyle w:val="Compact"/>
            </w:pPr>
          </w:p>
        </w:tc>
        <w:tc>
          <w:p>
            <w:pPr>
              <w:pStyle w:val="Compact"/>
              <w:jc w:val="left"/>
            </w:pPr>
            <w:r>
              <w:t xml:space="preserve">Open</w:t>
            </w:r>
          </w:p>
        </w:tc>
        <w:tc>
          <w:p>
            <w:pPr>
              <w:pStyle w:val="Compact"/>
              <w:jc w:val="left"/>
            </w:pPr>
            <w:r>
              <w:t xml:space="preserve">0.80 - 1.15</w:t>
            </w:r>
          </w:p>
        </w:tc>
        <w:tc>
          <w:p>
            <w:pPr>
              <w:pStyle w:val="Compact"/>
              <w:jc w:val="left"/>
            </w:pPr>
            <w:r>
              <w:t xml:space="preserve">0.91 - 1.08</w:t>
            </w:r>
          </w:p>
        </w:tc>
        <w:tc>
          <w:p>
            <w:pPr>
              <w:pStyle w:val="Compact"/>
              <w:jc w:val="left"/>
            </w:pPr>
            <w:r>
              <w:t xml:space="preserve">0.97 - 1.03</w:t>
            </w:r>
          </w:p>
        </w:tc>
      </w:tr>
      <w:tr>
        <w:tc>
          <w:p>
            <w:pPr>
              <w:pStyle w:val="Compact"/>
              <w:jc w:val="left"/>
            </w:pPr>
            <w:r>
              <w:t xml:space="preserve">DM</w:t>
            </w:r>
          </w:p>
        </w:tc>
        <w:tc>
          <w:p>
            <w:pPr>
              <w:pStyle w:val="Compact"/>
              <w:jc w:val="left"/>
            </w:pPr>
            <w:r>
              <w:t xml:space="preserve">Urban</w:t>
            </w:r>
          </w:p>
        </w:tc>
        <w:tc>
          <w:p>
            <w:pPr>
              <w:pStyle w:val="Compact"/>
              <w:jc w:val="left"/>
            </w:pPr>
            <w:r>
              <w:t xml:space="preserve">0.53 - 1.07</w:t>
            </w:r>
          </w:p>
        </w:tc>
        <w:tc>
          <w:p>
            <w:pPr>
              <w:pStyle w:val="Compact"/>
              <w:jc w:val="left"/>
            </w:pPr>
            <w:r>
              <w:t xml:space="preserve">0.68 - 0.98</w:t>
            </w:r>
          </w:p>
        </w:tc>
        <w:tc>
          <w:p>
            <w:pPr>
              <w:pStyle w:val="Compact"/>
              <w:jc w:val="left"/>
            </w:pPr>
            <w:r>
              <w:t xml:space="preserve">0.78 - 0.89</w:t>
            </w:r>
          </w:p>
        </w:tc>
      </w:tr>
      <w:tr>
        <w:tc>
          <w:p>
            <w:pPr>
              <w:pStyle w:val="Compact"/>
            </w:pPr>
          </w:p>
        </w:tc>
        <w:tc>
          <w:p>
            <w:pPr>
              <w:pStyle w:val="Compact"/>
              <w:jc w:val="left"/>
            </w:pPr>
            <w:r>
              <w:t xml:space="preserve">Ag</w:t>
            </w:r>
          </w:p>
        </w:tc>
        <w:tc>
          <w:p>
            <w:pPr>
              <w:pStyle w:val="Compact"/>
              <w:jc w:val="left"/>
            </w:pPr>
            <w:r>
              <w:t xml:space="preserve">0.39 - 0.96</w:t>
            </w:r>
          </w:p>
        </w:tc>
        <w:tc>
          <w:p>
            <w:pPr>
              <w:pStyle w:val="Compact"/>
              <w:jc w:val="left"/>
            </w:pPr>
            <w:r>
              <w:t xml:space="preserve">0.48 - 0.78</w:t>
            </w:r>
          </w:p>
        </w:tc>
        <w:tc>
          <w:p>
            <w:pPr>
              <w:pStyle w:val="Compact"/>
              <w:jc w:val="left"/>
            </w:pPr>
            <w:r>
              <w:t xml:space="preserve">0.56 - 0.67</w:t>
            </w:r>
          </w:p>
        </w:tc>
      </w:tr>
      <w:tr>
        <w:tc>
          <w:p>
            <w:pPr>
              <w:pStyle w:val="Compact"/>
            </w:pPr>
          </w:p>
        </w:tc>
        <w:tc>
          <w:p>
            <w:pPr>
              <w:pStyle w:val="Compact"/>
              <w:jc w:val="left"/>
            </w:pPr>
            <w:r>
              <w:t xml:space="preserve">Open</w:t>
            </w:r>
          </w:p>
        </w:tc>
        <w:tc>
          <w:p>
            <w:pPr>
              <w:pStyle w:val="Compact"/>
              <w:jc w:val="left"/>
            </w:pPr>
            <w:r>
              <w:t xml:space="preserve">0.79 - 1.15</w:t>
            </w:r>
          </w:p>
        </w:tc>
        <w:tc>
          <w:p>
            <w:pPr>
              <w:pStyle w:val="Compact"/>
              <w:jc w:val="left"/>
            </w:pPr>
            <w:r>
              <w:t xml:space="preserve">0.90 - 1.08</w:t>
            </w:r>
          </w:p>
        </w:tc>
        <w:tc>
          <w:p>
            <w:pPr>
              <w:pStyle w:val="Compact"/>
              <w:jc w:val="left"/>
            </w:pPr>
            <w:r>
              <w:t xml:space="preserve">0.96 - 1.03</w:t>
            </w:r>
          </w:p>
        </w:tc>
      </w:tr>
      <w:tr>
        <w:tc>
          <w:p>
            <w:pPr>
              <w:pStyle w:val="Compact"/>
              <w:jc w:val="left"/>
            </w:pPr>
            <w:r>
              <w:t xml:space="preserve">SN</w:t>
            </w:r>
          </w:p>
        </w:tc>
        <w:tc>
          <w:p>
            <w:pPr>
              <w:pStyle w:val="Compact"/>
              <w:jc w:val="left"/>
            </w:pPr>
            <w:r>
              <w:t xml:space="preserve">Urban</w:t>
            </w:r>
          </w:p>
        </w:tc>
        <w:tc>
          <w:p>
            <w:pPr>
              <w:pStyle w:val="Compact"/>
              <w:jc w:val="left"/>
            </w:pPr>
            <w:r>
              <w:t xml:space="preserve">0.51 - 1.07</w:t>
            </w:r>
          </w:p>
        </w:tc>
        <w:tc>
          <w:p>
            <w:pPr>
              <w:pStyle w:val="Compact"/>
              <w:jc w:val="left"/>
            </w:pPr>
            <w:r>
              <w:t xml:space="preserve">0.65 - 0.97</w:t>
            </w:r>
          </w:p>
        </w:tc>
        <w:tc>
          <w:p>
            <w:pPr>
              <w:pStyle w:val="Compact"/>
              <w:jc w:val="left"/>
            </w:pPr>
            <w:r>
              <w:t xml:space="preserve">0.76 - 0.88</w:t>
            </w:r>
          </w:p>
        </w:tc>
      </w:tr>
      <w:tr>
        <w:tc>
          <w:p>
            <w:pPr>
              <w:pStyle w:val="Compact"/>
            </w:pPr>
          </w:p>
        </w:tc>
        <w:tc>
          <w:p>
            <w:pPr>
              <w:pStyle w:val="Compact"/>
              <w:jc w:val="left"/>
            </w:pPr>
            <w:r>
              <w:t xml:space="preserve">Ag</w:t>
            </w:r>
          </w:p>
        </w:tc>
        <w:tc>
          <w:p>
            <w:pPr>
              <w:pStyle w:val="Compact"/>
              <w:jc w:val="left"/>
            </w:pPr>
            <w:r>
              <w:t xml:space="preserve">0.41 - 1.03</w:t>
            </w:r>
          </w:p>
        </w:tc>
        <w:tc>
          <w:p>
            <w:pPr>
              <w:pStyle w:val="Compact"/>
              <w:jc w:val="left"/>
            </w:pPr>
            <w:r>
              <w:t xml:space="preserve">0.53 - 0.87</w:t>
            </w:r>
          </w:p>
        </w:tc>
        <w:tc>
          <w:p>
            <w:pPr>
              <w:pStyle w:val="Compact"/>
              <w:jc w:val="left"/>
            </w:pPr>
            <w:r>
              <w:t xml:space="preserve">0.62 - 0.75</w:t>
            </w:r>
          </w:p>
        </w:tc>
      </w:tr>
      <w:tr>
        <w:tc>
          <w:p>
            <w:pPr>
              <w:pStyle w:val="Compact"/>
            </w:pPr>
          </w:p>
        </w:tc>
        <w:tc>
          <w:p>
            <w:pPr>
              <w:pStyle w:val="Compact"/>
              <w:jc w:val="left"/>
            </w:pPr>
            <w:r>
              <w:t xml:space="preserve">Open</w:t>
            </w:r>
          </w:p>
        </w:tc>
        <w:tc>
          <w:p>
            <w:pPr>
              <w:pStyle w:val="Compact"/>
              <w:jc w:val="left"/>
            </w:pPr>
            <w:r>
              <w:t xml:space="preserve">0.80 - 1.16</w:t>
            </w:r>
          </w:p>
        </w:tc>
        <w:tc>
          <w:p>
            <w:pPr>
              <w:pStyle w:val="Compact"/>
              <w:jc w:val="left"/>
            </w:pPr>
            <w:r>
              <w:t xml:space="preserve">0.92 - 1.09</w:t>
            </w:r>
          </w:p>
        </w:tc>
        <w:tc>
          <w:p>
            <w:pPr>
              <w:pStyle w:val="Compact"/>
              <w:jc w:val="left"/>
            </w:pPr>
            <w:r>
              <w:t xml:space="preserve">0.98 - 1.04</w:t>
            </w:r>
          </w:p>
        </w:tc>
      </w:tr>
      <w:tr>
        <w:tc>
          <w:p>
            <w:pPr>
              <w:pStyle w:val="Compact"/>
              <w:jc w:val="left"/>
            </w:pPr>
            <w:r>
              <w:t xml:space="preserve">NC</w:t>
            </w:r>
          </w:p>
        </w:tc>
        <w:tc>
          <w:p>
            <w:pPr>
              <w:pStyle w:val="Compact"/>
              <w:jc w:val="left"/>
            </w:pPr>
            <w:r>
              <w:t xml:space="preserve">Urban</w:t>
            </w:r>
          </w:p>
        </w:tc>
        <w:tc>
          <w:p>
            <w:pPr>
              <w:pStyle w:val="Compact"/>
              <w:jc w:val="left"/>
            </w:pPr>
            <w:r>
              <w:t xml:space="preserve">0.72 - 1.17</w:t>
            </w:r>
          </w:p>
        </w:tc>
        <w:tc>
          <w:p>
            <w:pPr>
              <w:pStyle w:val="Compact"/>
              <w:jc w:val="left"/>
            </w:pPr>
            <w:r>
              <w:t xml:space="preserve">0.87 - 1.10</w:t>
            </w:r>
          </w:p>
        </w:tc>
        <w:tc>
          <w:p>
            <w:pPr>
              <w:pStyle w:val="Compact"/>
              <w:jc w:val="left"/>
            </w:pPr>
            <w:r>
              <w:t xml:space="preserve">0.94 - 1.04</w:t>
            </w:r>
          </w:p>
        </w:tc>
      </w:tr>
      <w:tr>
        <w:tc>
          <w:p>
            <w:pPr>
              <w:pStyle w:val="Compact"/>
            </w:pPr>
          </w:p>
        </w:tc>
        <w:tc>
          <w:p>
            <w:pPr>
              <w:pStyle w:val="Compact"/>
              <w:jc w:val="left"/>
            </w:pPr>
            <w:r>
              <w:t xml:space="preserve">Ag</w:t>
            </w:r>
          </w:p>
        </w:tc>
        <w:tc>
          <w:p>
            <w:pPr>
              <w:pStyle w:val="Compact"/>
              <w:jc w:val="left"/>
            </w:pPr>
            <w:r>
              <w:t xml:space="preserve">0.41 - 1.04</w:t>
            </w:r>
          </w:p>
        </w:tc>
        <w:tc>
          <w:p>
            <w:pPr>
              <w:pStyle w:val="Compact"/>
              <w:jc w:val="left"/>
            </w:pPr>
            <w:r>
              <w:t xml:space="preserve">0.51 - 0.86</w:t>
            </w:r>
          </w:p>
        </w:tc>
        <w:tc>
          <w:p>
            <w:pPr>
              <w:pStyle w:val="Compact"/>
              <w:jc w:val="left"/>
            </w:pPr>
            <w:r>
              <w:t xml:space="preserve">0.60 - 0.72</w:t>
            </w:r>
          </w:p>
        </w:tc>
      </w:tr>
      <w:tr>
        <w:tc>
          <w:p>
            <w:pPr>
              <w:pStyle w:val="Compact"/>
            </w:pPr>
          </w:p>
        </w:tc>
        <w:tc>
          <w:p>
            <w:pPr>
              <w:pStyle w:val="Compact"/>
              <w:jc w:val="left"/>
            </w:pPr>
            <w:r>
              <w:t xml:space="preserve">Open</w:t>
            </w:r>
          </w:p>
        </w:tc>
        <w:tc>
          <w:p>
            <w:pPr>
              <w:pStyle w:val="Compact"/>
              <w:jc w:val="left"/>
            </w:pPr>
            <w:r>
              <w:t xml:space="preserve">0.82 - 1.14</w:t>
            </w:r>
          </w:p>
        </w:tc>
        <w:tc>
          <w:p>
            <w:pPr>
              <w:pStyle w:val="Compact"/>
              <w:jc w:val="left"/>
            </w:pPr>
            <w:r>
              <w:t xml:space="preserve">0.92 - 1.07</w:t>
            </w:r>
          </w:p>
        </w:tc>
        <w:tc>
          <w:p>
            <w:pPr>
              <w:pStyle w:val="Compact"/>
              <w:jc w:val="left"/>
            </w:pPr>
            <w:r>
              <w:t xml:space="preserve">0.97 - 1.03</w:t>
            </w:r>
          </w:p>
        </w:tc>
      </w:tr>
      <w:tr>
        <w:tc>
          <w:p>
            <w:pPr>
              <w:pStyle w:val="Compact"/>
              <w:jc w:val="left"/>
            </w:pPr>
            <w:r>
              <w:t xml:space="preserve">CH</w:t>
            </w:r>
          </w:p>
        </w:tc>
        <w:tc>
          <w:p>
            <w:pPr>
              <w:pStyle w:val="Compact"/>
              <w:jc w:val="left"/>
            </w:pPr>
            <w:r>
              <w:t xml:space="preserve">Urban</w:t>
            </w:r>
          </w:p>
        </w:tc>
        <w:tc>
          <w:p>
            <w:pPr>
              <w:pStyle w:val="Compact"/>
              <w:jc w:val="left"/>
            </w:pPr>
            <w:r>
              <w:t xml:space="preserve">0.32 - 0.80</w:t>
            </w:r>
          </w:p>
        </w:tc>
        <w:tc>
          <w:p>
            <w:pPr>
              <w:pStyle w:val="Compact"/>
              <w:jc w:val="left"/>
            </w:pPr>
            <w:r>
              <w:t xml:space="preserve">0.42 - 0.69</w:t>
            </w:r>
          </w:p>
        </w:tc>
        <w:tc>
          <w:p>
            <w:pPr>
              <w:pStyle w:val="Compact"/>
              <w:jc w:val="left"/>
            </w:pPr>
            <w:r>
              <w:t xml:space="preserve">0.50 - 0.60</w:t>
            </w:r>
          </w:p>
        </w:tc>
      </w:tr>
      <w:tr>
        <w:tc>
          <w:p>
            <w:pPr>
              <w:pStyle w:val="Compact"/>
            </w:pPr>
          </w:p>
        </w:tc>
        <w:tc>
          <w:p>
            <w:pPr>
              <w:pStyle w:val="Compact"/>
              <w:jc w:val="left"/>
            </w:pPr>
            <w:r>
              <w:t xml:space="preserve">Ag</w:t>
            </w:r>
          </w:p>
        </w:tc>
        <w:tc>
          <w:p>
            <w:pPr>
              <w:pStyle w:val="Compact"/>
              <w:jc w:val="left"/>
            </w:pPr>
            <w:r>
              <w:t xml:space="preserve">0.40 - 0.98</w:t>
            </w:r>
          </w:p>
        </w:tc>
        <w:tc>
          <w:p>
            <w:pPr>
              <w:pStyle w:val="Compact"/>
              <w:jc w:val="left"/>
            </w:pPr>
            <w:r>
              <w:t xml:space="preserve">0.51 - 0.84</w:t>
            </w:r>
          </w:p>
        </w:tc>
        <w:tc>
          <w:p>
            <w:pPr>
              <w:pStyle w:val="Compact"/>
              <w:jc w:val="left"/>
            </w:pPr>
            <w:r>
              <w:t xml:space="preserve">0.60 - 0.72</w:t>
            </w:r>
          </w:p>
        </w:tc>
      </w:tr>
      <w:tr>
        <w:tc>
          <w:p>
            <w:pPr>
              <w:pStyle w:val="Compact"/>
            </w:pPr>
          </w:p>
        </w:tc>
        <w:tc>
          <w:p>
            <w:pPr>
              <w:pStyle w:val="Compact"/>
              <w:jc w:val="left"/>
            </w:pPr>
            <w:r>
              <w:t xml:space="preserve">Open</w:t>
            </w:r>
          </w:p>
        </w:tc>
        <w:tc>
          <w:p>
            <w:pPr>
              <w:pStyle w:val="Compact"/>
              <w:jc w:val="left"/>
            </w:pPr>
            <w:r>
              <w:t xml:space="preserve">0.80 - 1.15</w:t>
            </w:r>
          </w:p>
        </w:tc>
        <w:tc>
          <w:p>
            <w:pPr>
              <w:pStyle w:val="Compact"/>
              <w:jc w:val="left"/>
            </w:pPr>
            <w:r>
              <w:t xml:space="preserve">0.91 - 1.08</w:t>
            </w:r>
          </w:p>
        </w:tc>
        <w:tc>
          <w:p>
            <w:pPr>
              <w:pStyle w:val="Compact"/>
              <w:jc w:val="left"/>
            </w:pPr>
            <w:r>
              <w:t xml:space="preserve">0.97 - 1.03</w:t>
            </w:r>
          </w:p>
        </w:tc>
      </w:tr>
      <w:tr>
        <w:tc>
          <w:p>
            <w:pPr>
              <w:pStyle w:val="Compact"/>
              <w:jc w:val="left"/>
            </w:pPr>
            <w:r>
              <w:t xml:space="preserve">CV</w:t>
            </w:r>
          </w:p>
        </w:tc>
        <w:tc>
          <w:p>
            <w:pPr>
              <w:pStyle w:val="Compact"/>
              <w:jc w:val="left"/>
            </w:pPr>
            <w:r>
              <w:t xml:space="preserve">Urban</w:t>
            </w:r>
          </w:p>
        </w:tc>
        <w:tc>
          <w:p>
            <w:pPr>
              <w:pStyle w:val="Compact"/>
              <w:jc w:val="left"/>
            </w:pPr>
            <w:r>
              <w:t xml:space="preserve">0.39 - 0.90</w:t>
            </w:r>
          </w:p>
        </w:tc>
        <w:tc>
          <w:p>
            <w:pPr>
              <w:pStyle w:val="Compact"/>
              <w:jc w:val="left"/>
            </w:pPr>
            <w:r>
              <w:t xml:space="preserve">0.51 - 0.79</w:t>
            </w:r>
          </w:p>
        </w:tc>
        <w:tc>
          <w:p>
            <w:pPr>
              <w:pStyle w:val="Compact"/>
              <w:jc w:val="left"/>
            </w:pPr>
            <w:r>
              <w:t xml:space="preserve">0.60 - 0.71</w:t>
            </w:r>
          </w:p>
        </w:tc>
      </w:tr>
      <w:tr>
        <w:tc>
          <w:p>
            <w:pPr>
              <w:pStyle w:val="Compact"/>
            </w:pPr>
          </w:p>
        </w:tc>
        <w:tc>
          <w:p>
            <w:pPr>
              <w:pStyle w:val="Compact"/>
              <w:jc w:val="left"/>
            </w:pPr>
            <w:r>
              <w:t xml:space="preserve">Ag</w:t>
            </w:r>
          </w:p>
        </w:tc>
        <w:tc>
          <w:p>
            <w:pPr>
              <w:pStyle w:val="Compact"/>
              <w:jc w:val="left"/>
            </w:pPr>
            <w:r>
              <w:t xml:space="preserve">0.36 - 0.89</w:t>
            </w:r>
          </w:p>
        </w:tc>
        <w:tc>
          <w:p>
            <w:pPr>
              <w:pStyle w:val="Compact"/>
              <w:jc w:val="left"/>
            </w:pPr>
            <w:r>
              <w:t xml:space="preserve">0.45 - 0.73</w:t>
            </w:r>
          </w:p>
        </w:tc>
        <w:tc>
          <w:p>
            <w:pPr>
              <w:pStyle w:val="Compact"/>
              <w:jc w:val="left"/>
            </w:pPr>
            <w:r>
              <w:t xml:space="preserve">0.52 - 0.63</w:t>
            </w:r>
          </w:p>
        </w:tc>
      </w:tr>
      <w:tr>
        <w:tc>
          <w:p>
            <w:pPr>
              <w:pStyle w:val="Compact"/>
            </w:pPr>
          </w:p>
        </w:tc>
        <w:tc>
          <w:p>
            <w:pPr>
              <w:pStyle w:val="Compact"/>
              <w:jc w:val="left"/>
            </w:pPr>
            <w:r>
              <w:t xml:space="preserve">Open</w:t>
            </w:r>
          </w:p>
        </w:tc>
        <w:tc>
          <w:p>
            <w:pPr>
              <w:pStyle w:val="Compact"/>
              <w:jc w:val="left"/>
            </w:pPr>
            <w:r>
              <w:t xml:space="preserve">0.67 - 1.11</w:t>
            </w:r>
          </w:p>
        </w:tc>
        <w:tc>
          <w:p>
            <w:pPr>
              <w:pStyle w:val="Compact"/>
              <w:jc w:val="left"/>
            </w:pPr>
            <w:r>
              <w:t xml:space="preserve">0.80 - 1.02</w:t>
            </w:r>
          </w:p>
        </w:tc>
        <w:tc>
          <w:p>
            <w:pPr>
              <w:pStyle w:val="Compact"/>
              <w:jc w:val="left"/>
            </w:pPr>
            <w:r>
              <w:t xml:space="preserve">0.87 - 0.96</w:t>
            </w:r>
          </w:p>
        </w:tc>
      </w:tr>
      <w:tr>
        <w:tc>
          <w:p>
            <w:pPr>
              <w:pStyle w:val="Compact"/>
              <w:jc w:val="left"/>
            </w:pPr>
            <w:r>
              <w:t xml:space="preserve">SC</w:t>
            </w:r>
          </w:p>
        </w:tc>
        <w:tc>
          <w:p>
            <w:pPr>
              <w:pStyle w:val="Compact"/>
              <w:jc w:val="left"/>
            </w:pPr>
            <w:r>
              <w:t xml:space="preserve">Urban</w:t>
            </w:r>
          </w:p>
        </w:tc>
        <w:tc>
          <w:p>
            <w:pPr>
              <w:pStyle w:val="Compact"/>
              <w:jc w:val="left"/>
            </w:pPr>
            <w:r>
              <w:t xml:space="preserve">0.30 - 0.76</w:t>
            </w:r>
          </w:p>
        </w:tc>
        <w:tc>
          <w:p>
            <w:pPr>
              <w:pStyle w:val="Compact"/>
              <w:jc w:val="left"/>
            </w:pPr>
            <w:r>
              <w:t xml:space="preserve">0.40 - 0.66</w:t>
            </w:r>
          </w:p>
        </w:tc>
        <w:tc>
          <w:p>
            <w:pPr>
              <w:pStyle w:val="Compact"/>
              <w:jc w:val="left"/>
            </w:pPr>
            <w:r>
              <w:t xml:space="preserve">0.48 - 0.57</w:t>
            </w:r>
          </w:p>
        </w:tc>
      </w:tr>
      <w:tr>
        <w:tc>
          <w:p>
            <w:pPr>
              <w:pStyle w:val="Compact"/>
            </w:pPr>
          </w:p>
        </w:tc>
        <w:tc>
          <w:p>
            <w:pPr>
              <w:pStyle w:val="Compact"/>
              <w:jc w:val="left"/>
            </w:pPr>
            <w:r>
              <w:t xml:space="preserve">Ag</w:t>
            </w:r>
          </w:p>
        </w:tc>
        <w:tc>
          <w:p>
            <w:pPr>
              <w:pStyle w:val="Compact"/>
              <w:jc w:val="left"/>
            </w:pPr>
            <w:r>
              <w:t xml:space="preserve">0.41 - 1.01</w:t>
            </w:r>
          </w:p>
        </w:tc>
        <w:tc>
          <w:p>
            <w:pPr>
              <w:pStyle w:val="Compact"/>
              <w:jc w:val="left"/>
            </w:pPr>
            <w:r>
              <w:t xml:space="preserve">0.53 - 0.90</w:t>
            </w:r>
          </w:p>
        </w:tc>
        <w:tc>
          <w:p>
            <w:pPr>
              <w:pStyle w:val="Compact"/>
              <w:jc w:val="left"/>
            </w:pPr>
            <w:r>
              <w:t xml:space="preserve">0.63 - 0.78</w:t>
            </w:r>
          </w:p>
        </w:tc>
      </w:tr>
      <w:tr>
        <w:tc>
          <w:p>
            <w:pPr>
              <w:pStyle w:val="Compact"/>
            </w:pPr>
          </w:p>
        </w:tc>
        <w:tc>
          <w:p>
            <w:pPr>
              <w:pStyle w:val="Compact"/>
              <w:jc w:val="left"/>
            </w:pPr>
            <w:r>
              <w:t xml:space="preserve">Open</w:t>
            </w:r>
          </w:p>
        </w:tc>
        <w:tc>
          <w:p>
            <w:pPr>
              <w:pStyle w:val="Compact"/>
              <w:jc w:val="left"/>
            </w:pPr>
            <w:r>
              <w:t xml:space="preserve">0.83 - 1.15</w:t>
            </w:r>
          </w:p>
        </w:tc>
        <w:tc>
          <w:p>
            <w:pPr>
              <w:pStyle w:val="Compact"/>
              <w:jc w:val="left"/>
            </w:pPr>
            <w:r>
              <w:t xml:space="preserve">0.93 - 1.08</w:t>
            </w:r>
          </w:p>
        </w:tc>
        <w:tc>
          <w:p>
            <w:pPr>
              <w:pStyle w:val="Compact"/>
              <w:jc w:val="left"/>
            </w:pPr>
            <w:r>
              <w:t xml:space="preserve">0.98 - 1.04</w:t>
            </w:r>
          </w:p>
        </w:tc>
      </w:tr>
    </w:tbl>
    <w:p>
      <w:pPr>
        <w:pStyle w:val="Heading1"/>
      </w:pPr>
      <w:bookmarkStart w:id="68" w:name="references"/>
      <w:r>
        <w:t xml:space="preserve">References</w:t>
      </w:r>
      <w:bookmarkEnd w:id="68"/>
    </w:p>
    <w:bookmarkStart w:id="161" w:name="refs"/>
    <w:bookmarkStart w:id="70"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9">
        <w:r>
          <w:rPr>
            <w:rStyle w:val="Hyperlink"/>
          </w:rPr>
          <w:t xml:space="preserve">https://doi.org/10.1046/j.1365-2427.1997.d01-546.x</w:t>
        </w:r>
      </w:hyperlink>
      <w:r>
        <w:t xml:space="preserve">.</w:t>
      </w:r>
    </w:p>
    <w:bookmarkEnd w:id="70"/>
    <w:bookmarkStart w:id="72"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71">
        <w:r>
          <w:rPr>
            <w:rStyle w:val="Hyperlink"/>
          </w:rPr>
          <w:t xml:space="preserve">https://doi.org/10.1146/annurev.ecolsys.35.120202.110122</w:t>
        </w:r>
      </w:hyperlink>
      <w:r>
        <w:t xml:space="preserve">.</w:t>
      </w:r>
    </w:p>
    <w:bookmarkEnd w:id="72"/>
    <w:bookmarkStart w:id="73"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4">
        <w:r>
          <w:rPr>
            <w:rStyle w:val="Hyperlink"/>
          </w:rPr>
          <w:t xml:space="preserve">https://doi.org/10.1016/j.landurbplan.2012.07.009</w:t>
        </w:r>
      </w:hyperlink>
      <w:r>
        <w:t xml:space="preserve">.</w:t>
      </w:r>
    </w:p>
    <w:bookmarkEnd w:id="75"/>
    <w:bookmarkStart w:id="7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76">
        <w:r>
          <w:rPr>
            <w:rStyle w:val="Hyperlink"/>
          </w:rPr>
          <w:t xml:space="preserve">https://doi.org/10.1007/s10661-014-4132-8</w:t>
        </w:r>
      </w:hyperlink>
      <w:r>
        <w:t xml:space="preserve">.</w:t>
      </w:r>
    </w:p>
    <w:bookmarkEnd w:id="77"/>
    <w:bookmarkStart w:id="7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8"/>
    <w:bookmarkStart w:id="79" w:name="ref-CRWQCB14"/>
    <w:p>
      <w:pPr>
        <w:pStyle w:val="Bibliography"/>
      </w:pPr>
      <w:r>
        <w:t xml:space="preserve">California Regional Water Quality Control Board, Los Angeles Region. 2014. “Basin Plan for the Coastal Watersheds of Los Angeles and Ventura Counties.”</w:t>
      </w:r>
    </w:p>
    <w:bookmarkEnd w:id="79"/>
    <w:bookmarkStart w:id="81"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80">
        <w:r>
          <w:rPr>
            <w:rStyle w:val="Hyperlink"/>
          </w:rPr>
          <w:t xml:space="preserve">https://doi.org/10.1111/j.1526-100X.2007.00285.x</w:t>
        </w:r>
      </w:hyperlink>
      <w:r>
        <w:t xml:space="preserve">.</w:t>
      </w:r>
    </w:p>
    <w:bookmarkEnd w:id="81"/>
    <w:bookmarkStart w:id="83"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82">
        <w:r>
          <w:rPr>
            <w:rStyle w:val="Hyperlink"/>
          </w:rPr>
          <w:t xml:space="preserve">https://doi.org/10.1007/s10661-008-0256-z</w:t>
        </w:r>
      </w:hyperlink>
      <w:r>
        <w:t xml:space="preserve">.</w:t>
      </w:r>
    </w:p>
    <w:bookmarkEnd w:id="83"/>
    <w:bookmarkStart w:id="85"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4">
        <w:r>
          <w:rPr>
            <w:rStyle w:val="Hyperlink"/>
          </w:rPr>
          <w:t xml:space="preserve">https://doi.org/10.1016/j.ecolind.2013.07.006</w:t>
        </w:r>
      </w:hyperlink>
      <w:r>
        <w:t xml:space="preserve">.</w:t>
      </w:r>
    </w:p>
    <w:bookmarkEnd w:id="85"/>
    <w:bookmarkStart w:id="87"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6">
        <w:r>
          <w:rPr>
            <w:rStyle w:val="Hyperlink"/>
          </w:rPr>
          <w:t xml:space="preserve">https://doi.org/10.1086/678701</w:t>
        </w:r>
      </w:hyperlink>
      <w:r>
        <w:t xml:space="preserve">.</w:t>
      </w:r>
    </w:p>
    <w:bookmarkEnd w:id="87"/>
    <w:bookmarkStart w:id="89"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8">
        <w:r>
          <w:rPr>
            <w:rStyle w:val="Hyperlink"/>
          </w:rPr>
          <w:t xml:space="preserve">https://doi.org/10.1002/rra.1053</w:t>
        </w:r>
      </w:hyperlink>
      <w:r>
        <w:t xml:space="preserve">.</w:t>
      </w:r>
    </w:p>
    <w:bookmarkEnd w:id="89"/>
    <w:bookmarkStart w:id="91"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90">
        <w:r>
          <w:rPr>
            <w:rStyle w:val="Hyperlink"/>
          </w:rPr>
          <w:t xml:space="preserve">https://doi.org/10.1899/0887-3593(2004)023%3C0599:BWRSUO%3E2.0.CO;2</w:t>
        </w:r>
      </w:hyperlink>
      <w:r>
        <w:t xml:space="preserve">.</w:t>
      </w:r>
    </w:p>
    <w:bookmarkEnd w:id="91"/>
    <w:bookmarkStart w:id="93"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92">
        <w:r>
          <w:rPr>
            <w:rStyle w:val="Hyperlink"/>
          </w:rPr>
          <w:t xml:space="preserve">https://doi.org/10.1111/j.1365-2427.2011.02696.x</w:t>
        </w:r>
      </w:hyperlink>
      <w:r>
        <w:t xml:space="preserve">.</w:t>
      </w:r>
    </w:p>
    <w:bookmarkEnd w:id="93"/>
    <w:bookmarkStart w:id="95"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4">
        <w:r>
          <w:rPr>
            <w:rStyle w:val="Hyperlink"/>
          </w:rPr>
          <w:t xml:space="preserve">https://doi.org/10.1002/etc.2059</w:t>
        </w:r>
      </w:hyperlink>
      <w:r>
        <w:t xml:space="preserve">.</w:t>
      </w:r>
    </w:p>
    <w:bookmarkEnd w:id="95"/>
    <w:bookmarkStart w:id="96"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96"/>
    <w:bookmarkStart w:id="98"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7">
        <w:r>
          <w:rPr>
            <w:rStyle w:val="Hyperlink"/>
          </w:rPr>
          <w:t xml:space="preserve">https://doi.org/10.1111/j.1752-1688.2000.tb05717.x</w:t>
        </w:r>
      </w:hyperlink>
      <w:r>
        <w:t xml:space="preserve">.</w:t>
      </w:r>
    </w:p>
    <w:bookmarkEnd w:id="98"/>
    <w:bookmarkStart w:id="99"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9"/>
    <w:bookmarkStart w:id="101"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100">
        <w:r>
          <w:rPr>
            <w:rStyle w:val="Hyperlink"/>
          </w:rPr>
          <w:t xml:space="preserve">https://doi.org/10.1007/s10661-017-6025-0</w:t>
        </w:r>
      </w:hyperlink>
      <w:r>
        <w:t xml:space="preserve">.</w:t>
      </w:r>
    </w:p>
    <w:bookmarkEnd w:id="101"/>
    <w:bookmarkStart w:id="102"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2"/>
    <w:bookmarkStart w:id="104"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103">
        <w:r>
          <w:rPr>
            <w:rStyle w:val="Hyperlink"/>
          </w:rPr>
          <w:t xml:space="preserve">https://doi.org/10.1002/eap.1617</w:t>
        </w:r>
      </w:hyperlink>
      <w:r>
        <w:t xml:space="preserve">.</w:t>
      </w:r>
    </w:p>
    <w:bookmarkEnd w:id="104"/>
    <w:bookmarkStart w:id="106"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5">
        <w:r>
          <w:rPr>
            <w:rStyle w:val="Hyperlink"/>
          </w:rPr>
          <w:t xml:space="preserve">https://doi.org/10.1111/1752-1688.12372</w:t>
        </w:r>
      </w:hyperlink>
      <w:r>
        <w:t xml:space="preserve">.</w:t>
      </w:r>
    </w:p>
    <w:bookmarkEnd w:id="106"/>
    <w:bookmarkStart w:id="108"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7">
        <w:r>
          <w:rPr>
            <w:rStyle w:val="Hyperlink"/>
          </w:rPr>
          <w:t xml:space="preserve">https://doi.org/10.1086/697996</w:t>
        </w:r>
      </w:hyperlink>
      <w:r>
        <w:t xml:space="preserve">.</w:t>
      </w:r>
    </w:p>
    <w:bookmarkEnd w:id="108"/>
    <w:bookmarkStart w:id="110"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9">
        <w:r>
          <w:rPr>
            <w:rStyle w:val="Hyperlink"/>
          </w:rPr>
          <w:t xml:space="preserve">https://doi.org/10.1371/journal.pone.0130710</w:t>
        </w:r>
      </w:hyperlink>
      <w:r>
        <w:t xml:space="preserve">.</w:t>
      </w:r>
    </w:p>
    <w:bookmarkEnd w:id="110"/>
    <w:bookmarkStart w:id="111"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11"/>
    <w:bookmarkStart w:id="113"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12">
        <w:r>
          <w:rPr>
            <w:rStyle w:val="Hyperlink"/>
          </w:rPr>
          <w:t xml:space="preserve">https://doi.org/10.1111/j.1752-1688.2011.00635.x</w:t>
        </w:r>
      </w:hyperlink>
      <w:r>
        <w:t xml:space="preserve">.</w:t>
      </w:r>
    </w:p>
    <w:bookmarkEnd w:id="113"/>
    <w:bookmarkStart w:id="115"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14">
        <w:r>
          <w:rPr>
            <w:rStyle w:val="Hyperlink"/>
          </w:rPr>
          <w:t xml:space="preserve">https://doi.org/10.1016/j.scitotenv.2015.07.083</w:t>
        </w:r>
      </w:hyperlink>
      <w:r>
        <w:t xml:space="preserve">.</w:t>
      </w:r>
    </w:p>
    <w:bookmarkEnd w:id="115"/>
    <w:bookmarkStart w:id="117"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6">
        <w:r>
          <w:rPr>
            <w:rStyle w:val="Hyperlink"/>
          </w:rPr>
          <w:t xml:space="preserve">https://doi.org/10.1007%2Fs00267-008-9151-1</w:t>
        </w:r>
      </w:hyperlink>
      <w:r>
        <w:t xml:space="preserve">.</w:t>
      </w:r>
    </w:p>
    <w:bookmarkEnd w:id="117"/>
    <w:bookmarkStart w:id="118" w:name="ref-MacQueen67"/>
    <w:p>
      <w:pPr>
        <w:pStyle w:val="Bibliography"/>
      </w:pPr>
      <w:r>
        <w:t xml:space="preserve">MacQueen, J. 1967. “Some Methods for Classification and Analysis of Multivariate Observations.” In</w:t>
      </w:r>
      <w:r>
        <w:t xml:space="preserve"> </w:t>
      </w:r>
      <w:r>
        <w:rPr>
          <w:i/>
        </w:rPr>
        <w:t xml:space="preserve">Proceedings of the Fifth Berkeley Symposium on Mathematical Statistics and Probability</w:t>
      </w:r>
      <w:r>
        <w:t xml:space="preserve">, edited by L. M. Le Cam and J. Neyman, 281–97. Berkeley, California, USA: University of California Press.</w:t>
      </w:r>
    </w:p>
    <w:bookmarkEnd w:id="118"/>
    <w:bookmarkStart w:id="120"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9">
        <w:r>
          <w:rPr>
            <w:rStyle w:val="Hyperlink"/>
          </w:rPr>
          <w:t xml:space="preserve">https://doi.org/10.1007/s10661-014-4086-x</w:t>
        </w:r>
      </w:hyperlink>
      <w:r>
        <w:t xml:space="preserve">.</w:t>
      </w:r>
    </w:p>
    <w:bookmarkEnd w:id="120"/>
    <w:bookmarkStart w:id="121"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1"/>
    <w:bookmarkStart w:id="122" w:name="ref-McKay12"/>
    <w:p>
      <w:pPr>
        <w:pStyle w:val="Bibliography"/>
      </w:pPr>
      <w:r>
        <w:t xml:space="preserve">McKay, L., T. Bondelid, T. Dewald, J. Johnston, R. Moore, and A. Reah. 2012. “NHDPlus Version 2: User Guide.”</w:t>
      </w:r>
    </w:p>
    <w:bookmarkEnd w:id="122"/>
    <w:bookmarkStart w:id="123"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23"/>
    <w:bookmarkStart w:id="125"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24">
        <w:r>
          <w:rPr>
            <w:rStyle w:val="Hyperlink"/>
          </w:rPr>
          <w:t xml:space="preserve">https://CRAN.R-project.org/package=quantregForest</w:t>
        </w:r>
      </w:hyperlink>
      <w:r>
        <w:t xml:space="preserve">.</w:t>
      </w:r>
    </w:p>
    <w:bookmarkEnd w:id="125"/>
    <w:bookmarkStart w:id="126"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26"/>
    <w:bookmarkStart w:id="127"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7"/>
    <w:bookmarkStart w:id="129"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8">
        <w:r>
          <w:rPr>
            <w:rStyle w:val="Hyperlink"/>
          </w:rPr>
          <w:t xml:space="preserve">https://doi.org/10.1111/j.1365-2427.1987.tb01027.x</w:t>
        </w:r>
      </w:hyperlink>
      <w:r>
        <w:t xml:space="preserve">.</w:t>
      </w:r>
    </w:p>
    <w:bookmarkEnd w:id="129"/>
    <w:bookmarkStart w:id="13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30">
        <w:r>
          <w:rPr>
            <w:rStyle w:val="Hyperlink"/>
          </w:rPr>
          <w:t xml:space="preserve">https://doi.org/10.1016/j.watres.2004.09.002</w:t>
        </w:r>
      </w:hyperlink>
      <w:r>
        <w:t xml:space="preserve">.</w:t>
      </w:r>
    </w:p>
    <w:bookmarkEnd w:id="131"/>
    <w:bookmarkStart w:id="13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32"/>
    <w:bookmarkStart w:id="133"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33"/>
    <w:bookmarkStart w:id="135"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34">
        <w:r>
          <w:rPr>
            <w:rStyle w:val="Hyperlink"/>
          </w:rPr>
          <w:t xml:space="preserve">https://doi.org/10.1890/11-0077.1</w:t>
        </w:r>
      </w:hyperlink>
      <w:r>
        <w:t xml:space="preserve">.</w:t>
      </w:r>
    </w:p>
    <w:bookmarkEnd w:id="135"/>
    <w:bookmarkStart w:id="136"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36"/>
    <w:bookmarkStart w:id="138"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37">
        <w:r>
          <w:rPr>
            <w:rStyle w:val="Hyperlink"/>
          </w:rPr>
          <w:t xml:space="preserve">https://doi.org/10.1111/gec3.12039</w:t>
        </w:r>
      </w:hyperlink>
      <w:r>
        <w:t xml:space="preserve">.</w:t>
      </w:r>
    </w:p>
    <w:bookmarkEnd w:id="138"/>
    <w:bookmarkStart w:id="140"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9">
        <w:r>
          <w:rPr>
            <w:rStyle w:val="Hyperlink"/>
          </w:rPr>
          <w:t xml:space="preserve">https://doi.org/10.1007/s10661-010-1385-8</w:t>
        </w:r>
      </w:hyperlink>
      <w:r>
        <w:t xml:space="preserve">.</w:t>
      </w:r>
    </w:p>
    <w:bookmarkEnd w:id="140"/>
    <w:bookmarkStart w:id="142"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41">
        <w:r>
          <w:rPr>
            <w:rStyle w:val="Hyperlink"/>
          </w:rPr>
          <w:t xml:space="preserve">https://doi.org/10.1046/j.1365-2427.2001.00758.x</w:t>
        </w:r>
      </w:hyperlink>
      <w:r>
        <w:t xml:space="preserve">.</w:t>
      </w:r>
    </w:p>
    <w:bookmarkEnd w:id="142"/>
    <w:bookmarkStart w:id="144"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43">
        <w:r>
          <w:rPr>
            <w:rStyle w:val="Hyperlink"/>
          </w:rPr>
          <w:t xml:space="preserve">https://doi.org/10.1111/jawr.12035</w:t>
        </w:r>
      </w:hyperlink>
      <w:r>
        <w:t xml:space="preserve">.</w:t>
      </w:r>
    </w:p>
    <w:bookmarkEnd w:id="144"/>
    <w:bookmarkStart w:id="145"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45"/>
    <w:bookmarkStart w:id="147"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46">
        <w:r>
          <w:rPr>
            <w:rStyle w:val="Hyperlink"/>
          </w:rPr>
          <w:t xml:space="preserve">https://www.waterboards.ca.gov/water_issues/programs/swamp/qapp/swamp_QAPrP_2017_Final.pdf</w:t>
        </w:r>
      </w:hyperlink>
      <w:r>
        <w:t xml:space="preserve">.</w:t>
      </w:r>
    </w:p>
    <w:bookmarkEnd w:id="147"/>
    <w:bookmarkStart w:id="149"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8">
        <w:r>
          <w:rPr>
            <w:rStyle w:val="Hyperlink"/>
          </w:rPr>
          <w:t xml:space="preserve">https://doi.org/10.1111/j.1365-2664.2008.01548.x</w:t>
        </w:r>
      </w:hyperlink>
      <w:r>
        <w:t xml:space="preserve">.</w:t>
      </w:r>
    </w:p>
    <w:bookmarkEnd w:id="149"/>
    <w:bookmarkStart w:id="150"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50"/>
    <w:bookmarkStart w:id="151" w:name="ref-USEPA16"/>
    <w:p>
      <w:pPr>
        <w:pStyle w:val="Bibliography"/>
      </w:pPr>
      <w:r>
        <w:t xml:space="preserve">USEPA (US Environmental Protection Agency). 2016. “National Rivers and Streams Assessment 2008-2009: A Collaborative Survey.” EPA-841-R-16-007. Washington, DC.</w:t>
      </w:r>
    </w:p>
    <w:bookmarkEnd w:id="151"/>
    <w:bookmarkStart w:id="152" w:name="ref-USGS99"/>
    <w:p>
      <w:pPr>
        <w:pStyle w:val="Bibliography"/>
      </w:pPr>
      <w:r>
        <w:t xml:space="preserve">USGS (US Geological Survey). 1999. “The quality of our nation’s waters: nutrients and pesticides.” Reston, Virginia.</w:t>
      </w:r>
    </w:p>
    <w:bookmarkEnd w:id="152"/>
    <w:bookmarkStart w:id="154"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53">
        <w:r>
          <w:rPr>
            <w:rStyle w:val="Hyperlink"/>
          </w:rPr>
          <w:t xml:space="preserve">https://doi.org/10.1023/A:1023374524254</w:t>
        </w:r>
      </w:hyperlink>
      <w:r>
        <w:t xml:space="preserve">.</w:t>
      </w:r>
    </w:p>
    <w:bookmarkEnd w:id="154"/>
    <w:bookmarkStart w:id="156"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55">
        <w:r>
          <w:rPr>
            <w:rStyle w:val="Hyperlink"/>
          </w:rPr>
          <w:t xml:space="preserve">https://doi.org/10.1111/jawr.12032</w:t>
        </w:r>
      </w:hyperlink>
      <w:r>
        <w:t xml:space="preserve">.</w:t>
      </w:r>
    </w:p>
    <w:bookmarkEnd w:id="156"/>
    <w:bookmarkStart w:id="158"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7">
        <w:r>
          <w:rPr>
            <w:rStyle w:val="Hyperlink"/>
          </w:rPr>
          <w:t xml:space="preserve">https://doi.org/10.1371/journal.pone.0090944</w:t>
        </w:r>
      </w:hyperlink>
      <w:r>
        <w:t xml:space="preserve">.</w:t>
      </w:r>
    </w:p>
    <w:bookmarkEnd w:id="158"/>
    <w:bookmarkStart w:id="160"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9">
        <w:r>
          <w:rPr>
            <w:rStyle w:val="Hyperlink"/>
          </w:rPr>
          <w:t xml:space="preserve">https://doi.org/10.1577/1548-8446(1997)022%3C0006:IOWLUO%3E2.0.CO;2</w:t>
        </w:r>
      </w:hyperlink>
      <w:r>
        <w:t xml:space="preserve">.</w:t>
      </w:r>
    </w:p>
    <w:bookmarkEnd w:id="160"/>
    <w:bookmarkEnd w:id="16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53"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3" Target="https://doi.org/10.1002/eap.1617" TargetMode="External" /><Relationship Type="http://schemas.openxmlformats.org/officeDocument/2006/relationships/hyperlink" Id="rId94" Target="https://doi.org/10.1002/etc.2059" TargetMode="External" /><Relationship Type="http://schemas.openxmlformats.org/officeDocument/2006/relationships/hyperlink" Id="rId88" Target="https://doi.org/10.1002/rra.1053" TargetMode="External" /><Relationship Type="http://schemas.openxmlformats.org/officeDocument/2006/relationships/hyperlink" Id="rId116" Target="https://doi.org/10.1007%2Fs00267-008-9151-1" TargetMode="External" /><Relationship Type="http://schemas.openxmlformats.org/officeDocument/2006/relationships/hyperlink" Id="rId82"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6" Target="https://doi.org/10.1007/s10661-014-4132-8" TargetMode="External" /><Relationship Type="http://schemas.openxmlformats.org/officeDocument/2006/relationships/hyperlink" Id="rId100" Target="https://doi.org/10.1007/s10661-017-6025-0" TargetMode="External" /><Relationship Type="http://schemas.openxmlformats.org/officeDocument/2006/relationships/hyperlink" Id="rId84"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14"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6" Target="https://doi.org/10.1086/678701" TargetMode="External" /><Relationship Type="http://schemas.openxmlformats.org/officeDocument/2006/relationships/hyperlink" Id="rId107" Target="https://doi.org/10.1086/697996" TargetMode="External" /><Relationship Type="http://schemas.openxmlformats.org/officeDocument/2006/relationships/hyperlink" Id="rId105"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2"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80" Target="https://doi.org/10.1111/j.1526-100X.2007.00285.x" TargetMode="External" /><Relationship Type="http://schemas.openxmlformats.org/officeDocument/2006/relationships/hyperlink" Id="rId97" Target="https://doi.org/10.1111/j.1752-1688.2000.tb05717.x" TargetMode="External" /><Relationship Type="http://schemas.openxmlformats.org/officeDocument/2006/relationships/hyperlink" Id="rId112"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9"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90" Target="https://doi.org/10.1899/0887-3593(2004)023%3C0599:BWRSUO%3E2.0.CO;2"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3"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3" Target="https://doi.org/10.1002/eap.1617" TargetMode="External" /><Relationship Type="http://schemas.openxmlformats.org/officeDocument/2006/relationships/hyperlink" Id="rId94" Target="https://doi.org/10.1002/etc.2059" TargetMode="External" /><Relationship Type="http://schemas.openxmlformats.org/officeDocument/2006/relationships/hyperlink" Id="rId88" Target="https://doi.org/10.1002/rra.1053" TargetMode="External" /><Relationship Type="http://schemas.openxmlformats.org/officeDocument/2006/relationships/hyperlink" Id="rId116" Target="https://doi.org/10.1007%2Fs00267-008-9151-1" TargetMode="External" /><Relationship Type="http://schemas.openxmlformats.org/officeDocument/2006/relationships/hyperlink" Id="rId82"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6" Target="https://doi.org/10.1007/s10661-014-4132-8" TargetMode="External" /><Relationship Type="http://schemas.openxmlformats.org/officeDocument/2006/relationships/hyperlink" Id="rId100" Target="https://doi.org/10.1007/s10661-017-6025-0" TargetMode="External" /><Relationship Type="http://schemas.openxmlformats.org/officeDocument/2006/relationships/hyperlink" Id="rId84"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14"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6" Target="https://doi.org/10.1086/678701" TargetMode="External" /><Relationship Type="http://schemas.openxmlformats.org/officeDocument/2006/relationships/hyperlink" Id="rId107" Target="https://doi.org/10.1086/697996" TargetMode="External" /><Relationship Type="http://schemas.openxmlformats.org/officeDocument/2006/relationships/hyperlink" Id="rId105"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2"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80" Target="https://doi.org/10.1111/j.1526-100X.2007.00285.x" TargetMode="External" /><Relationship Type="http://schemas.openxmlformats.org/officeDocument/2006/relationships/hyperlink" Id="rId97" Target="https://doi.org/10.1111/j.1752-1688.2000.tb05717.x" TargetMode="External" /><Relationship Type="http://schemas.openxmlformats.org/officeDocument/2006/relationships/hyperlink" Id="rId112"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9"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90" Target="https://doi.org/10.1899/0887-3593(2004)023%3C0599:BWRSUO%3E2.0.CO;2"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2018-07-03T17:43:50Z</dcterms:created>
  <dcterms:modified xsi:type="dcterms:W3CDTF">2018-07-03T17:43:50Z</dcterms:modified>
</cp:coreProperties>
</file>