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5.png" ContentType="image/png"/>
  <Override PartName="/word/media/rId54.png" ContentType="image/png"/>
  <Override PartName="/word/media/rId58.png" ContentType="image/png"/>
  <Override PartName="/word/media/rId57.png" ContentType="image/png"/>
  <Override PartName="/word/media/rId56.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Tue Jul 10 14:33:04 2018 -0700</w:t>
      </w:r>
    </w:p>
    <w:p>
      <w:pPr>
        <w:pStyle w:val="Heading1"/>
      </w:pPr>
      <w:bookmarkStart w:id="30" w:name="abstract"/>
      <w:r>
        <w:t xml:space="preserve">Abstract</w:t>
      </w:r>
      <w:bookmarkEnd w:id="30"/>
    </w:p>
    <w:p>
      <w:pPr>
        <w:pStyle w:val="FirstParagraph"/>
      </w:pPr>
      <w:r>
        <w:t xml:space="preserve">Stream management goals may be difficult or impossible to achieve where large-scale, historic alteration of the landscape (e.g., urbanization) presents challenges to attaining biological integrity. We developed a statewide landscape model that provides context for a macroinvertebrate-based bioassessment index by predicting ranges of likely scores that are typical at a site for the observed level of landscape alteration. With this approach, a relative site score can be identified to evaluate if a site is scoring above, below, or within the range of scores that are expected given the level of unmitigated landscape alteration. We applied the model at a local scale to classify sites and prioritize different management actions using guidance from a local stakeholder group from the San Gabriel River Regional Monitoring Program (Los Angeles County, California). Stakeholder decisions were facilitated with the Stream Classification and Priority Explorer (SCAPE) tool that compares observed bioassessment scores with expectations from the landscape model to rapidly identify stream segments that are scoring better or worse than expected. Of the 71 sites in the watershed where bioassessment occurred, over half (58%) had biological conditions that were constrained by landscape alteration,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We observed model predictions that were consistent with the clear land use gradient from the upper to lower watershed, where limits to achieving biological integrity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or account for additional factors that influence biological integrity at spatial and temporal scales that can be effectively managed</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A bioassessment index may be difficult to incorporate into management if thresholds for biological objectives are impractical within site-specific conditions. Use of bioassessment information to guide decisions that affect aquatic resources may also be challenging if the data are not explicable relative to the needs of local stakeholder groups. Explicit information is required to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 miles in the USA are estimated to be in poor biotic condition based on macroinvertebrate bioassesssment and the observed condition can be strongly associated with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immediate and proximate causes of poor biological condition are often linked to landscape-level alterations that occur in the watershed.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but the precise link between land use and instream condition is not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In developed urban and agricultural landscapes, the majority of stream miles are in poor biotic condition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Conventional approaches to protect and restore biological integrity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 Loflen et al.</w:t>
      </w:r>
      <w:r>
        <w:t xml:space="preserve"> </w:t>
      </w:r>
      <w:hyperlink w:anchor="ref-Loflen16">
        <w:r>
          <w:rPr>
            <w:rStyle w:val="Hyperlink"/>
          </w:rPr>
          <w:t xml:space="preserve">2016</w:t>
        </w:r>
      </w:hyperlink>
      <w:r>
        <w:t xml:space="preserve">)</w:t>
      </w:r>
      <w:r>
        <w:t xml:space="preserve">, whereas upstream preventative measures have been incentivized or enforced through regulation. Although these approaches can lead to improvements in ecological condition, there is no universal remedy for achieving biological integrity in streams. Restoring streams in urban or agricultural settings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A confounding factor for managing streams in developed landscapes is the extensive modification to streams for flood control or water conveyance. Channel modification has been used as a basis for redefining water quality criteria that is site specific or for re-evaluating use attainability goals. For example, the Los Angeles River (California, USA) is heavily modified as a concrete-lined channel and recreational uses that apply nationally are suspended under high 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Other states have recommended a tiered aquatic life use or alternative use designations to account for baseline shifts in ecosystem condition from environmental modification</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w:t>
      </w:r>
    </w:p>
    <w:p>
      <w:pPr>
        <w:pStyle w:val="BodyText"/>
      </w:pPr>
      <w:r>
        <w:t xml:space="preserve">Developing an expectation of biological condition as a function of historic and unmitigated alteration of the landscape could help prioritize where management actions are most likely to achieve intended outcomes, or conversely, where landscape alteration could limit management success in achieving biological integrity. Understanding limits to biological potential is a fundamental concept in bioassessment that has recieved some attention. Methods for factor-ceiling analysis have been explored in a bioassessment context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The development of modelling tools for understanding biological condition across landscape gradients could provide a powerful approach to informing the use of limited resources to manage stream integrity. Previous modelling efforts for bioassessment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condition at unsampled locations. Macroinvertebrate communities can respond predictably to landscape alteration</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 of biological condition with landscape metrics that describe these changes could be used to predict a range of expectations for biotic integrity as related to observed watershed development. This approach could build on previous applications of landscape models by predicting a lower and upper estimate of what bioassessment index scores are likely relative to the landscape, in addition to estimating biological condition at unsampled locations. Once the predicted response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is to present the development of a landscape model to classify and prioritize stream monitoring sites and demonstrate its application to estimate the potential of achieving biological integrity in California streams relative to unmitigated landscape alteration. The specific objectives were to 1) demonstrate development of a landscape model to predict expected ranges of biotic condition, 2) classify stream segments into biological constraint categories using modelling expectations, 3) assess the extent of stream classes and explore the sensitivity of the classifications to decision points in the model output, and 4) prioritize potential management decisions by comparing expectations to observed bioassessment scores. The model was developed and applied to all streams and rivers in California, specifically focusing on the potential of urban and agricultural land use to impact biological condition. We include a case study that demonstrates how the statewide model can be used to classify and prioritize in a regional context using guidance from a local stakeholder group from a heavily urbanized watershed. An interactive software tool is also described that was developed to help choose management priorities from the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with extreme variation in altitude, geology,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A large portion of the central region of the state is agricultural (i.e., Central Valley), whereas dense areas of urban development are in the southwest (i.e., Los Angeles and San Diego) and central (San Francisco Bay area) coast areas. Landscape alteration has been relatively recent, with one estimate showing that developed lands have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 Development prior to the late-1990s occurred before requirements in stormwater controls were implemented in California.</w:t>
      </w:r>
    </w:p>
    <w:p>
      <w:pPr>
        <w:pStyle w:val="BodyText"/>
      </w:pPr>
      <w:r>
        <w:t xml:space="preserve">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in the context of NHD-Plus flowlines and is not necessarily a strictly defined hydro-geomorphological feature.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of stream condition that compares the observed taxa and metrics at a site to those expected under reference conditions.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higher values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A CSCI threshold of 0.79 based on the tenth percentile of scores at all reference calibration sites is used to categorize low or high scoring sites and has been used to identify stream degradation by regulatory agencies</w:t>
      </w:r>
      <w:r>
        <w:t xml:space="preserve"> </w:t>
      </w:r>
      <w:r>
        <w:t xml:space="preserve">(Board</w:t>
      </w:r>
      <w:r>
        <w:t xml:space="preserve"> </w:t>
      </w:r>
      <w:hyperlink w:anchor="ref-SDWB16">
        <w:r>
          <w:rPr>
            <w:rStyle w:val="Hyperlink"/>
          </w:rPr>
          <w:t xml:space="preserve">2016</w:t>
        </w:r>
      </w:hyperlink>
      <w:r>
        <w:t xml:space="preserve">)</w:t>
      </w:r>
      <w:r>
        <w:t xml:space="preserve">. Benthic macroinvertebrate data were used to calculate 6270 individual CSCI scores at nearly 3400 unique sites between 2000 and 2016. Field data were collected during base flow conditions typically between May and July following methods in</w:t>
      </w:r>
      <w:r>
        <w:t xml:space="preserve"> </w:t>
      </w:r>
      <w:r>
        <w:t xml:space="preserve">Ode et al. (</w:t>
      </w:r>
      <w:hyperlink w:anchor="ref-Ode16">
        <w:r>
          <w:rPr>
            <w:rStyle w:val="Hyperlink"/>
          </w:rPr>
          <w:t xml:space="preserve">2016</w:t>
        </w:r>
      </w:hyperlink>
      <w:r>
        <w:t xml:space="preserve">)</w:t>
      </w:r>
      <w:r>
        <w:t xml:space="preserve">.</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was developed to estimate likely ranges of CSCI scores associated with urban and agricultural land use gradients, collectively defined as developed landscapes. Measures of land use development were quantified for riparian, catchment, and watershed areas of each stream segment in California using the StreamCat dataset</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segment (Table S1). These variables were chosen specifically to model scores only in relation to constraints on biological condition that are typically beyond the scope of management intervention or where costs to mitigate are likely prohibitive. Potential effects on biological condition that may vary through time or from stressors not associated with urban or agricultural land use were not captured by the model. Similarly, potential differences in the magnitude of potential effects for the chosen variables were also not explicitly evaluated. Within these limits, we considered deviation of observed scores from model predictions to be diagnostic of human activity not related to human-related stressors that can be measured on the landscape, in addition to potential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conversely where streams are unlikely to be impacted by placing bounds on the range of expectations relative to landscape constraints. Quantile regression forests were used to predict CSCI scores in each stream segment at five percent intervals (i.e., 5th, 10th, etc.) from the 5th to 95th percentile of expectations.</w:t>
      </w:r>
    </w:p>
    <w:p>
      <w:pPr>
        <w:pStyle w:val="BodyText"/>
      </w:pPr>
      <w:r>
        <w:t xml:space="preserve">We stratified sample data to ensure sufficient representation of landscape gradients in each ecoregion and across percentiles of catchment imperviousness (Figure</w:t>
      </w:r>
      <w:r>
        <w:t xml:space="preserve"> </w:t>
      </w:r>
      <w:r>
        <w:t xml:space="preserve">1</w:t>
      </w:r>
      <w:r>
        <w:t xml:space="preserve">). Calibration data for the landscape model were obtained from a random selection of 75% of segments with observed CSCI scores across this stratification and where sufficient data were available in StreamCat (n = 1965 segments). The remaining sites were used for model validation (n = 655). Where multiple samples were available at a single site, one was selected at random for both calibration and validation purposes. Model performance was assessed for the statewide dataset and within each major region by comparing differences between observed CSCI scores and median predictions at the same locations. Differences were evaluated using Pearson correlations and root mean squared errors (RMSE). Regression analysis between predicted and observed scores was used to assess potential bias based on intercept and slope values differing from 0 and 1, respectively. Collectively, the performance metrics were chosen to evaluate both predictive ability of the landscape model and potential for bias which may vary depending on different land use gradients across the state.</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Here and throughout, constrained is defined as a biological community that is impacted by large-scale, historic, and unmitigated alteration of the landscape. Consequently, achieving biological integrity for constrained communities may present management challenges relative to unconstrained communities. Using the model results, each stream segment was assigned to one of four classes (Table</w:t>
      </w:r>
      <w:r>
        <w:t xml:space="preserve"> </w:t>
      </w:r>
      <w:r>
        <w:t xml:space="preserve">1</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segment with a chosen CSCI threshold, where expectations could be below, above, or overlapping the threshold. Two decision points were considered for their importance in defining segment classifications:</w:t>
      </w:r>
    </w:p>
    <w:p>
      <w:pPr>
        <w:pStyle w:val="Compact"/>
        <w:numPr>
          <w:numId w:val="1002"/>
          <w:ilvl w:val="0"/>
        </w:numPr>
      </w:pPr>
      <w:r>
        <w:t xml:space="preserve">The selected range of CSCI expectations at a segment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used for comparison with the modelled expectations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segments with the range of CSCI score expectations entirely below the threshold were considered likely constrained, whereas those with expectations entirely above were considered likely unconstrained. Segments with score expectations that overlapped the CSCI threshold were considered possibly constrained or possibly unconstrained, where distinction between the two was based on location of the median expectation of a segment relative to the threshold (Table</w:t>
      </w:r>
      <w:r>
        <w:t xml:space="preserve"> </w:t>
      </w:r>
      <w:r>
        <w:t xml:space="preserve">1</w:t>
      </w:r>
      <w:r>
        <w:t xml:space="preserve">).</w:t>
      </w:r>
    </w:p>
    <w:p>
      <w:pPr>
        <w:pStyle w:val="BodyText"/>
      </w:pPr>
      <w:r>
        <w:t xml:space="preserve">CSCI scores from biomonitoring data were then compared to the stream segment classification to identify a</w:t>
      </w:r>
      <w:r>
        <w:t xml:space="preserve"> </w:t>
      </w:r>
      <w:r>
        <w:t xml:space="preserve">“</w:t>
      </w:r>
      <w:r>
        <w:t xml:space="preserve">relative site score</w:t>
      </w:r>
      <w:r>
        <w:t xml:space="preserve">”</w:t>
      </w:r>
      <w:r>
        <w:t xml:space="preserve"> </w:t>
      </w:r>
      <w:r>
        <w:t xml:space="preserve">(Figure</w:t>
      </w:r>
      <w:r>
        <w:t xml:space="preserve"> </w:t>
      </w:r>
      <w:r>
        <w:t xml:space="preserve">3</w:t>
      </w:r>
      <w:r>
        <w:t xml:space="preserve">d). This comparison is a fundamental product of the landscape model that can be used to evaluate if a site is scoring above, below, or within the range of scores that are expected given the level of landscape alteration. For each of the four segment classifications (likely constrained, possibly constrained, possibly unconstrained, and likely unconstrained), relative site scores were defined based on location to the range of expected CSCI scores.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relative site score was considered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segments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among segment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The possibly and likely constrained classes were evaluated together, as were the possibly and likely unconstrained classes. However, it was recognized that retaining the possibly or likely classes could be useful to refine the priorities described below.</w:t>
      </w:r>
    </w:p>
    <w:p>
      <w:pPr>
        <w:pStyle w:val="Heading2"/>
      </w:pPr>
      <w:bookmarkStart w:id="37" w:name="sensitivity-analysis-of-segment-classifications"/>
      <w:r>
        <w:t xml:space="preserve">Sensitivity analysis of segment classifications</w:t>
      </w:r>
      <w:bookmarkEnd w:id="37"/>
    </w:p>
    <w:p>
      <w:pPr>
        <w:pStyle w:val="FirstParagraph"/>
      </w:pPr>
      <w:r>
        <w:t xml:space="preserve">A sensitivity analysis was conducted to evaluate the influence of key decision points on the extent of segment classifications created by the landscape model. Stream segment classifications depend on the chosen range of score expectations (or certainty) from the landscape model (Figure</w:t>
      </w:r>
      <w:r>
        <w:t xml:space="preserve"> </w:t>
      </w:r>
      <w:r>
        <w:t xml:space="preserve">3</w:t>
      </w:r>
      <w:r>
        <w:t xml:space="preserve">b) and the CSCI threshold for defining low or high scores (Figure</w:t>
      </w:r>
      <w:r>
        <w:t xml:space="preserve"> </w:t>
      </w:r>
      <w:r>
        <w:t xml:space="preserve">3</w:t>
      </w:r>
      <w:r>
        <w:t xml:space="preserve">c). The combined effects of changing both the certainty in the model and the CSCI threshold were evaluated to estimate the changes in stream extent in each classification. Eight different ranges of values for the score expectations from wide to narrow were evaluated at five percent intervals from the 5th-95th to the 45th-55th range of predications (i.e., 5th-95th, 20th-90th, …, 45th-55th). Different CSCI thresholds were also evaluated using values of 0.63, 0.79, and 0.92, corresponding to the 1st, 10th, and 30th percentile of scores at reference calibration sites used to develop the CSCI index</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segements in each class statewide and by major regions were estimated for each of twenty-four scenarios (width by threshold combinations) to evaluate sensitivity to changes in the decision points.</w:t>
      </w:r>
    </w:p>
    <w:p>
      <w:pPr>
        <w:pStyle w:val="Heading2"/>
      </w:pPr>
      <w:bookmarkStart w:id="38" w:name="defining-management-priorities-in-the-san-gabriel-river-watershed"/>
      <w:r>
        <w:t xml:space="preserve">Defining management priorities in the San Gabriel River watershed</w:t>
      </w:r>
      <w:bookmarkEnd w:id="38"/>
    </w:p>
    <w:p>
      <w:pPr>
        <w:pStyle w:val="FirstParagraph"/>
      </w:pPr>
      <w:r>
        <w:t xml:space="preserve">A framework for identifying site priorities for management actions using results from the landscape model was developed through engagement with a local stakeholder group. The San Gabriel River (SGR) Regional Monitoring Program (Los Angeles County, California) includes stakeholders from water quality regulatory agencies, municipalities, and non-govermental organizations that cooperatively work to manage aquatic resources in the watershed and improve coordination of compliance and ambient monitoring efforts. The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condition (Figure</w:t>
      </w:r>
      <w:r>
        <w:t xml:space="preserve"> </w:t>
      </w:r>
      <w:r>
        <w:t xml:space="preserve">2</w:t>
      </w:r>
      <w:r>
        <w:t xml:space="preserve">a). Headwaters begin in the San Gabriel mountains where the land is primarily undeveloped or protected for recreational use, whereas the lower watershed is in a heavily urbanized region of Los Angeles County. The SGR is dammed at four locations for flood control in the upper watershed. Spreading grounds are present in the middle of the watershed for groundwater recharge during high flow. As a result, the upper and lower watersheds are hydrologically disconnected when annual rainfall is normal. Nearly all of the stream segments in the lower half of the watershed are channelized with concrete or other reinforcements. The majority of flow in the lower watershed is provided to San Jose Creek, Coyote Creek, and the mainstem of the SGR by wastewater treatment plants releasing tertiary treated effluent. Approximately half of the monitored sites in the watershed are in poor biological condition, all of which are in the lower watershed.</w:t>
      </w:r>
    </w:p>
    <w:p>
      <w:pPr>
        <w:pStyle w:val="BodyText"/>
      </w:pPr>
      <w:r>
        <w:t xml:space="preserve">Pioritizing among the many sites that require some management intervention was a critical objective of the stakeholder group in applying the landscape model. 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segment classes). The priorities were also defined by considering if an observed CSCI score at a site was above or below a potential biological threshold (e.g., CSCI of 0.79), in addition to the scoring expectation for the stream class (Table</w:t>
      </w:r>
      <w:r>
        <w:t xml:space="preserve"> </w:t>
      </w:r>
      <w:r>
        <w:t xml:space="preserve">2</w:t>
      </w:r>
      <w:r>
        <w:t xml:space="preserve">). To facilitate the process, a template was used that showed the site scores relative to the segment classifications (Figure S3,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assignments were also made with the explicit recognition that any priority recommendations were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w:t>
      </w:r>
    </w:p>
    <w:p>
      <w:pPr>
        <w:pStyle w:val="BodyText"/>
      </w:pPr>
      <w:r>
        <w:t xml:space="preserve">The interactive and online Stream Classification and Priority Explorer (SCAPE) tool was created for the stakeholder group to facilitate the recommendation of management actions for each site type (Figure S1,</w:t>
      </w:r>
      <w:r>
        <w:t xml:space="preserve"> </w:t>
      </w:r>
      <w:hyperlink r:id="rId39">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r>
        <w:t xml:space="preserve">)</w:t>
      </w:r>
      <w:r>
        <w:t xml:space="preserve">. This application provided maps of the extent and type of classification for segments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segments in California. The bioassessment dataset used to develop the model included 2620 unique field observations assigned to stream segments in the NHD-plus dataset. Model performance statewide indicated generally good agreement between observed CSCI scores and the median prediction for the associated stream segment (Table S2). Agreement between observed and predicted values for the entire calibration dataset was r = 0.75 (Pearson) and RMSE = 0.17. The intercept and slope for a regression between observed and predicted values were 0.34 and 0.60, suggesting a slight negative bias of predictions at lower scores and slight positive bias at higher scores. The statewide validation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Chaparral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0.57 with observed values in the calibration dataset and 0.53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 S2).</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that were consistent with land use (Figure</w:t>
      </w:r>
      <w:r>
        <w:t xml:space="preserve"> </w:t>
      </w:r>
      <w:r>
        <w:t xml:space="preserve">4</w:t>
      </w:r>
      <w:r>
        <w:t xml:space="preserve">). A majority of stream segments statewide were classified as possibly constrained (11% of all stream length) or possibly unconstrained (46%), whereas a minority were likely constrained (4%) or likely unconstrained (39%) (Table</w:t>
      </w:r>
      <w:r>
        <w:t xml:space="preserve"> </w:t>
      </w:r>
      <w:r>
        <w:t xml:space="preserve">3</w:t>
      </w:r>
      <w:r>
        <w:t xml:space="preserve">). Large rivers across the state were more commonly classified as possibly constrained (e.g., Klamath, Sacramento, Colorado rivers). By region, the most segments classified as likely unconstrained were in the Sierra Nevada (50%), North Coast (46%), and Desert Modoc (46%) regions, whereas the most segments as likely constrained were observed in the Central Valley (22%) and South Coast (15%) regions. Overall, stream segments were more often constrained for biotic integrity in regions with more development, either as urban or agricultural land. For example, likely constrained segments were apparent from the statewide map in coastal areas of the South Coast where heavy urbanization occurs and in the Central Valley where agriculture is the dominant land use. Stream segments were more likely to be unconstrained in regions with less development, with areas in the North Coast and the Sierra Nevada region visible on the map (right, Figure</w:t>
      </w:r>
      <w:r>
        <w:t xml:space="preserve"> </w:t>
      </w:r>
      <w:r>
        <w:t xml:space="preserve">4</w:t>
      </w:r>
      <w:r>
        <w:t xml:space="preserve">). Relative CSCI scores compared to segment expectations were as expected for 80% of the sampled locations statewide, whereas a much smaller percentage of sites were equally under or over scoring (Table</w:t>
      </w:r>
      <w:r>
        <w:t xml:space="preserve"> </w:t>
      </w:r>
      <w:r>
        <w:t xml:space="preserve">4</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segments between each region (Figure S4, see Figure S5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Chaparral region, second most important for the North Coast, and third most important for the Sierra Nevada region. This variable was not in the top five for the South Coast region, which was exclusively described by imperviousness and urbanization. Soil erodibility was the most important variable in the Sierra Nevada region.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7</w:t>
      </w:r>
      <w:r>
        <w:t xml:space="preserve">). Decreasing the certainty of predictions from the landscape model by choosing a narrower range of scores (5th/95th to 45th/55th at 5% intervals) increased the number of streams from the possible to likely category in both constrained and unconstrained segments.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segments in the Central Valley were classified as likely constrained using a conservative CSCI threshold with low certainty of predictions, whereas less than 1% of segments were in this category using a relaxed CSCI threshold with the highest level of certainty. Opposite trends were observed in regions with reduced land use pressures. For example, almost all stream segments in the North Coast and Sierra Nevada regions were classified as likely unconstrained using a relaxed CSCI threshold and low certainty of predictions.</w:t>
      </w:r>
    </w:p>
    <w:p>
      <w:pPr>
        <w:pStyle w:val="Heading2"/>
      </w:pPr>
      <w:bookmarkStart w:id="44" w:name="san-gabriel-river-case-study"/>
      <w:r>
        <w:t xml:space="preserve">San Gabriel River Case study</w:t>
      </w:r>
      <w:bookmarkEnd w:id="44"/>
    </w:p>
    <w:p>
      <w:pPr>
        <w:pStyle w:val="FirstParagraph"/>
      </w:pPr>
      <w:r>
        <w:t xml:space="preserve">Engagement of stakeholders from the SGR Regional Monitoring Program demonstrated how management actions can be prioritized through application of the landscape model. About 750 segments in the SGR watershed were identified and classified from NHD-plus, of which 10% were visited over a ten-year period for bioassessment sampling. CSCI scores ranged from 0.2 to 1.23 consistent with heavy urban development in the lower watershed and open land use at higher elevation in the upper watershed (Figure</w:t>
      </w:r>
      <w:r>
        <w:t xml:space="preserve"> </w:t>
      </w:r>
      <w:r>
        <w:t xml:space="preserve">2</w:t>
      </w:r>
      <w:r>
        <w:t xml:space="preserve">a). Application of the landscape model results to the CSCI scores provided a context of expectations consistent with the strong land use gradient in the watershed (Figure</w:t>
      </w:r>
      <w:r>
        <w:t xml:space="preserve"> </w:t>
      </w:r>
      <w:r>
        <w:t xml:space="preserve">5</w:t>
      </w:r>
      <w:r>
        <w:t xml:space="preserve">). Stream segments in the upper watershed were a mix of likely and possibly unconstrained (40% and 28%), whereas stream segments in the lower watershed were classified as likely and possibly constrained (25% and 7%). Several segments in the lower watershed had ranges that were right-skewed toward very low CSCI scores consistent with extreme landscape pressures (bottom left, Figure</w:t>
      </w:r>
      <w:r>
        <w:t xml:space="preserve"> </w:t>
      </w:r>
      <w:r>
        <w:t xml:space="preserve">5</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(top, Figure</w:t>
      </w:r>
      <w:r>
        <w:t xml:space="preserve"> </w:t>
      </w:r>
      <w:r>
        <w:t xml:space="preserve">6</w:t>
      </w:r>
      <w:r>
        <w:t xml:space="preserve">).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segments or those below the biological threshold with possibly unconstrained classification (Figure S3). Continuing current practices were generally recommended at constrained sites or restoration actions were recommended as a lower priority despite low CSCI scores. Recommended actions to investigate were more common for both over-scoring and under-scoring sites, protect was given a high priority exclusively at over-scoring sites, and restore was more common at under-scoring sites. A clear distinction between low and high priority actions was observed on the watershed map (bottom, Figure</w:t>
      </w:r>
      <w:r>
        <w:t xml:space="preserve"> </w:t>
      </w:r>
      <w:r>
        <w:t xml:space="preserve">6</w:t>
      </w:r>
      <w:r>
        <w:t xml:space="preserve">). Sites in the lower watershed were lower priority if an action was recommended, whereas the five high priority sites were in the upper watershed (multiple recommendations were assigned to the sites). The distinction between lower and higher priorities between the lower and upper watershed was driven exclusively by the segment classifications, where constrained segments were in the lower watershed and unconstrained segments were in the upper watershed. Several sites that were scoring as expected for likely and possibly unconstrained segments in the upper watershed were recommended as medium priority for protection.</w:t>
      </w:r>
    </w:p>
    <w:p>
      <w:pPr>
        <w:pStyle w:val="Heading1"/>
      </w:pPr>
      <w:bookmarkStart w:id="45" w:name="discussion"/>
      <w:r>
        <w:t xml:space="preserve">Discussion</w:t>
      </w:r>
      <w:bookmarkEnd w:id="45"/>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diagnosis of causes of impairment, nor does it provide an exemption from management intervention if constraints are high. The landscape model can inform the interpretation of biotic condition and is an exploratory tool that can help identify where management goals are most likely to be achieved.</w:t>
      </w:r>
    </w:p>
    <w:p>
      <w:pPr>
        <w:pStyle w:val="BodyText"/>
      </w:pPr>
      <w:r>
        <w:t xml:space="preserve">Results from our analyses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exclude sites from management actions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Heading2"/>
      </w:pPr>
      <w:bookmarkStart w:id="46" w:name="the-landscape-model-is-a-tool-for-exploring-options"/>
      <w:r>
        <w:t xml:space="preserve">The landscape model is a tool for exploring options</w:t>
      </w:r>
      <w:bookmarkEnd w:id="46"/>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to assess whether a site can attain a particular use. Instead, they can help identify patterns among monitoring sites where more intensive analyses may be appropriate. This application was effectively demonstrated through engagement of our local stakeholder group. Rather than identifying individual sites in need of specific management actions, the group used the landscape model to characterize patterns on the landscape that were consistent with the recommended managagment priorities. In doing so, the group was able to synthesize a large volume of bioassessment data to explore potential management actions relative to the landscape contexts of the watershed.</w:t>
      </w:r>
    </w:p>
    <w:p>
      <w:pPr>
        <w:pStyle w:val="BodyText"/>
      </w:pPr>
      <w:r>
        <w:t xml:space="preserve">The ability of the landscape model to predict the range of expected biological condition at a given site reflects an associative link between land use and stream biology. A relatively low expected range of CSCI scores is an indication that stressors originating from the landscape may have imposed habitat limits that constrain biology. From a regulatory perspective, many states, including California, have explicit biological assessment requirements which are often interpreted in the context of land use. The use of biological endpoints in the landscape model will likely facilitate the development of biological standards as noted above. Landscape models could also be used to support conservation planning, particularly at the watershed scale where land use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BodyText"/>
      </w:pPr>
      <w:r>
        <w:t xml:space="preserve">Our approach to predict biological condition using landscape constraints also has advantages over other methods that define constraints based only on channel modification. Several states have recommended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 Our results generally support this approach, although defining constraints based only on channel modification may be insufficient. Physical habitat quality can be limited in engineered channels and our models identified many of these locations in our case study. However, these channels were identified as biologically constrained based on landscape characteristics. Constrained channels in rural landscapes (e.g., the mainstem of the Klamath and Russian rivers in the North Coast region) were also identified by the model, as well as many streams in agricultural areas (e.g., Salinas River).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Modified channels may also be present in undeveloped landscapes and high bioassessment scores have been observed in armoured streams within national forest lands</w:t>
      </w:r>
      <w:r>
        <w:t xml:space="preserve"> </w:t>
      </w:r>
      <w:r>
        <w:t xml:space="preserve">(Stein et al.</w:t>
      </w:r>
      <w:r>
        <w:t xml:space="preserve"> </w:t>
      </w:r>
      <w:hyperlink w:anchor="ref-Stein13">
        <w:r>
          <w:rPr>
            <w:rStyle w:val="Hyperlink"/>
          </w:rPr>
          <w:t xml:space="preserve">2013</w:t>
        </w:r>
      </w:hyperlink>
      <w:r>
        <w:t xml:space="preserve">)</w:t>
      </w:r>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BodyText"/>
      </w:pPr>
      <w:r>
        <w:t xml:space="preserve">The utility of landscape models in supporting watershed management has applications outside of California.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Doing so in California provided stakeholders with important context that helped establish management priorities, demonstrating the potential utility of this approach in other states.</w:t>
      </w:r>
    </w:p>
    <w:p>
      <w:pPr>
        <w:pStyle w:val="Heading1"/>
      </w:pPr>
      <w:bookmarkStart w:id="47" w:name="model-assumptions-and-limitations"/>
      <w:r>
        <w:t xml:space="preserve">Model assumptions and limitations</w:t>
      </w:r>
      <w:bookmarkEnd w:id="47"/>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As such, landscape variables were chosen to capture the effects of development on CSCI scores in these areas (Table S1). This could lead to erroneous conclusions in regions where different stressors have strong impacts on stream condition. For example, our results suggest that streams in the North Coast and Sierra Nevada regions are largely unconstrained, but model performance was poor in these areas. The dominant stressors likely to affect stream condition in these regions originate from sources that are less common in developed landscapes, e.g., silviculture, cannabis cultivation, water extraction and hydrologic alteration. The current landscape model does not adequately capture these impacts outside of urban and agricultural environments. Accurate data for quantifying these potential stressors are much less readily available, but this is an area where investments in improving spatial data could yield significant improvements.</w:t>
      </w:r>
    </w:p>
    <w:p>
      <w:pPr>
        <w:pStyle w:val="BodyText"/>
      </w:pPr>
      <w:r>
        <w:t xml:space="preserve">An additional assumption is that the landscape model and the CSCI can adequately discriminate between intractable constraints on biology that are spatially and temporally pervasive relative to more tractable constraints. This assumption applies to any stressor gradient that could be used to develop the model. For example, our model adequately described urban constraints but there was no context for temporal or spatial scales that have management relevance. Pervasive and profound alteration to groundwater and hydrology is common in highly developed areas and stream communities may not ever be able to be restored to reference conditions even in the most extreme management interventions. Similar conditions likely exist for other land use gradients. For example, a landscape model developed to describe constraints from timber harvesting practices may not provide adequate information on the long-term impacts of siltation on stream integrity if the input data does not describe these impacts at spatial and temporal scales that are relevant for management. The potential legacy impacts of large-scale alterations of the natural environment are not well-captured by the current model, neither from a spatial nor temporal perspective. Our analysis of landscape factors associated with constraints using additional StreamCat variables provided a preliminary means of addressing this concern (Figure S4), although a more refined application of the landscape model would be necessary to evaluate different scales of impact. This could include developing separate models for each region, as well as more careful selection of model inputs to capture scales of interest for potential impacts on stream condition.</w:t>
      </w:r>
    </w:p>
    <w:p>
      <w:pPr>
        <w:pStyle w:val="BodyText"/>
      </w:pPr>
      <w:r>
        <w:t xml:space="preserve">The landscape model is associative by design and does not identify mechanistic links between biological constraints and proximal causes. The model describes constraints at scales larger than instream characteristics as a necessary approach to accurately predict bioassessment scores. More comprehensive assessments at individual sites are needed to diagnose the immediate causes of degraded condition.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w:t>
      </w:r>
    </w:p>
    <w:p>
      <w:pPr>
        <w:pStyle w:val="BodyText"/>
      </w:pPr>
      <w:r>
        <w:t xml:space="preserve">An additional consideration in using the landscape model is the meaning of biologically constrained in the context of macroinvertebrate communities. Biologically constrained sites were considered those where landscapes were likely to limit the bioassessment index and a constrained site is relative to the CSCI. In many cases, poor biotic condition of the macroinvertebrate community translates to poor stream condition. However, a constrained macroinvertebrate community does not always mean other biological attributes of stream condition (e.g., fish 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alternatives lines of evidence is needed for a more complete condition assessment.</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tested with stakeholders from the SGR Regional Monitoring Program. The final decision by the group to prioritize management actions for the different sites in broad categories of protect, restore, and investigate was based on an iterative process where ideas were discussed and shared freely among stakeholders. This approach ensured that stakeholders were generally in agreement with the final product and, therefore, more likely to adopt the recommendations provided by these tools in formal decision-making. The recommended actions have relevance only in the context of interests of the SGR Regional Monitoring Program. Application of the statewide model to other watersheds must include the engagement of local stakeholders in a similar process to develop recommendations that are adequate to meet regional needs.</w:t>
      </w:r>
    </w:p>
    <w:p>
      <w:pPr>
        <w:pStyle w:val="BodyText"/>
      </w:pPr>
      <w:r>
        <w:t xml:space="preserve">The development of the SCAPE tool was also critical for engaging the stakeholder group. The tool was developed to achieve the dual purposes of demonstrating concepts applied by the model and allowing stakeholders to iteratively evaluate scenarios for defining stream classifications and priorities. The tool provided a means of demonstrating core concepts of the landscape model and allowed stakeholders to explore the key decision points that affect the model output, specifically related to changing certainties in the CSCI score predictions and the ability to explore alternative thresholds for biological objectives. This functionality allowed the stakeholders to develop recommendations that were completely independent of the model, i.e., decisions were not hard-wired into the model nor SCAPE. Because of this tool, this stakeholder group has a better understanding of the potential impacts of biointegrity policies currently under review in California. Additionally, the SCAPE tool provided assurance to the prioritization process by correctly identifying sites where dicrepancies between CSCI scores and other measures of stream condition had been observed. The SCAPE tool prioritized a site for restoration in the upper watershed that was unconstrained and under-performing. This confirmed a discrepancy identified by the stakeholders where good physical habitat conditions were observed from field visits, but the observed CSCI score was below the chosen threshold. As such, application of the landscape modelling approach to other regions will benefit from similar tools that actively engage managers with bioassessment data.</w:t>
      </w:r>
    </w:p>
    <w:p>
      <w:pPr>
        <w:pStyle w:val="Heading2"/>
      </w:pPr>
      <w:bookmarkStart w:id="49" w:name="summary"/>
      <w:r>
        <w:t xml:space="preserve">Summary</w:t>
      </w:r>
      <w:bookmarkEnd w:id="49"/>
    </w:p>
    <w:p>
      <w:pPr>
        <w:pStyle w:val="FirstParagraph"/>
      </w:pPr>
      <w:r>
        <w:t xml:space="preserve">The landscape model can be used to characterize the extent of biologically constrained channels in urban and agricultural landscapes.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prioritize limited resources for stream management by focusing on segments where recommended actions are most likely to have the intended outcome of improving or protecting biological condition. The approach also leverages information from multiple sources to develop a context for biological assessment that provides an expectation of what is likely to be achieved relative to urban and agricultural stressors. This can facilitate more targeted management actions that vary depending on the identified context and can also inform decisions on extent and effort for future monitoring locations.</w:t>
      </w:r>
    </w:p>
    <w:p>
      <w:pPr>
        <w:pStyle w:val="Heading1"/>
      </w:pPr>
      <w:bookmarkStart w:id="50" w:name="supplement"/>
      <w:r>
        <w:t xml:space="preserve">Supplement</w:t>
      </w:r>
      <w:bookmarkEnd w:id="50"/>
    </w:p>
    <w:p>
      <w:pPr>
        <w:pStyle w:val="FirstParagraph"/>
      </w:pPr>
      <w:r>
        <w:t xml:space="preserve">The SCAPE model application website:</w:t>
      </w:r>
      <w:r>
        <w:t xml:space="preserve"> </w:t>
      </w:r>
      <w:hyperlink r:id="rId39">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r>
        <w:t xml:space="preserve">)</w:t>
      </w:r>
      <w:r>
        <w:t xml:space="preserve">.</w:t>
      </w:r>
    </w:p>
    <w:p>
      <w:pPr>
        <w:pStyle w:val="Heading1"/>
      </w:pPr>
      <w:bookmarkStart w:id="51" w:name="figures"/>
      <w:r>
        <w:t xml:space="preserve">Figures</w:t>
      </w:r>
      <w:bookmarkEnd w:id="51"/>
    </w:p>
    <w:p>
      <w:pPr>
        <w:pStyle w:val="CaptionedFigure"/>
      </w:pPr>
      <w:r>
        <w:drawing>
          <wp:inline>
            <wp:extent cx="5943600" cy="4245428"/>
            <wp:effectExtent b="0" l="0" r="0" t="0"/>
            <wp:docPr descr="Figure 1 Urban and agricultural land use (left) and distribution of observed stream CSCI scores (right) in California. Cover of urban and agricultural land use in stream watersheds was used to develop a landscape model for stream segment expectations of bioassessment scores. Breakpoints for CSCI scores in the right plot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segment expectations of bioassessment scores. Breakpoints for CSCI scores in the right plot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segment and observed CSCI scores are shown in (b). The upper watershed is largely undeveloped, whereas the lower watershed is heavily urbanized." title="" id="1" name="Picture"/>
            <a:graphic>
              <a:graphicData uri="http://schemas.openxmlformats.org/drawingml/2006/picture">
                <pic:pic>
                  <pic:nvPicPr>
                    <pic:cNvPr descr="figs/sgrshd.png" id="0" name="Picture"/>
                    <pic:cNvPicPr>
                      <a:picLocks noChangeArrowheads="1" noChangeAspect="1"/>
                    </pic:cNvPicPr>
                  </pic:nvPicPr>
                  <pic:blipFill>
                    <a:blip r:embed="rId53"/>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segment and observed CSCI scores are shown in (b). The upper watershed is largely undeveloped, whereas the lower watershed is heavily urbanized.</w:t>
      </w:r>
    </w:p>
    <w:p>
      <w:pPr>
        <w:pStyle w:val="CaptionedFigure"/>
      </w:pPr>
      <w:r>
        <w:drawing>
          <wp:inline>
            <wp:extent cx="5943600" cy="4754880"/>
            <wp:effectExtent b="0" l="0" r="0" t="0"/>
            <wp:docPr descr="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4457700"/>
            <wp:effectExtent b="0" l="0" r="0" t="0"/>
            <wp:docPr descr="Figure 4 Statewide application of the landscape model showing the median predicted CSCI scores for each stream segment (left) and corresponding stream segment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55"/>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median predicted CSCI scores for each stream segment (left) and corresponding stream segment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56"/>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w:t>
      </w:r>
    </w:p>
    <w:p>
      <w:pPr>
        <w:pStyle w:val="CaptionedFigure"/>
      </w:pPr>
      <w:r>
        <w:drawing>
          <wp:inline>
            <wp:extent cx="5943600" cy="5572125"/>
            <wp:effectExtent b="0" l="0" r="0" t="0"/>
            <wp:docPr descr="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are ranked by priority for actions to investigate, protect, and restore a site. No recommended actions assume baseline maintenance and monitoring is sufficient for a site. Recommended actions were defined by a local stakeholder group (see Figure S3)." title="" id="1" name="Picture"/>
            <a:graphic>
              <a:graphicData uri="http://schemas.openxmlformats.org/drawingml/2006/picture">
                <pic:pic>
                  <pic:nvPicPr>
                    <pic:cNvPr descr="figs/sgrresmap.png" id="0" name="Picture"/>
                    <pic:cNvPicPr>
                      <a:picLocks noChangeArrowheads="1" noChangeAspect="1"/>
                    </pic:cNvPicPr>
                  </pic:nvPicPr>
                  <pic:blipFill>
                    <a:blip r:embed="rId57"/>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are ranked by priority for actions to investigate, protect, and restore a site. No recommended actions assume baseline maintenance and monitoring is sufficient for a site. Recommended actions were defined by a local stakeholder group (see Figure S3).</w:t>
      </w:r>
    </w:p>
    <w:p>
      <w:pPr>
        <w:pStyle w:val="CaptionedFigure"/>
      </w:pPr>
      <w:r>
        <w:drawing>
          <wp:inline>
            <wp:extent cx="5046020" cy="4587290"/>
            <wp:effectExtent b="0" l="0" r="0" t="0"/>
            <wp:docPr descr="Figure 7 Changes in stream segment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8"/>
                    <a:stretch>
                      <a:fillRect/>
                    </a:stretch>
                  </pic:blipFill>
                  <pic:spPr bwMode="auto">
                    <a:xfrm>
                      <a:off x="0" y="0"/>
                      <a:ext cx="5046020" cy="4587290"/>
                    </a:xfrm>
                    <a:prstGeom prst="rect">
                      <a:avLst/>
                    </a:prstGeom>
                    <a:noFill/>
                    <a:ln w="9525">
                      <a:noFill/>
                      <a:headEnd/>
                      <a:tailEnd/>
                    </a:ln>
                  </pic:spPr>
                </pic:pic>
              </a:graphicData>
            </a:graphic>
          </wp:inline>
        </w:drawing>
      </w:r>
    </w:p>
    <w:p>
      <w:pPr>
        <w:pStyle w:val="ImageCaption"/>
      </w:pPr>
      <w:r>
        <w:t xml:space="preserve">Figure 7 Changes in stream segment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w:t>
      </w:r>
    </w:p>
    <w:p>
      <w:pPr>
        <w:pStyle w:val="Heading1"/>
      </w:pPr>
      <w:bookmarkStart w:id="59" w:name="tables"/>
      <w:r>
        <w:t xml:space="preserve">Tables</w:t>
      </w:r>
      <w:bookmarkEnd w:id="59"/>
    </w:p>
    <w:p>
      <w:pPr>
        <w:pStyle w:val="TableCaption"/>
      </w:pPr>
      <w:r>
        <w:t xml:space="preserve">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2 Possible site types based on stream segment classification, relative site score, and observed CSCI score. The observed score column describes where a CSCI score is observed relative to the lower and upper percentiles (e.g., 10th and 90th) of expected scores for a segment and the chosen CSCI threshold (e.g., 10th percentile of scores at reference sites or 0.79) for defining low or high values.</w:t>
      </w:r>
    </w:p>
    <w:tbl>
      <w:tblPr>
        <w:tblStyle w:val="Table"/>
        <w:tblW w:type="pct" w:w="0.0"/>
        <w:tblLook w:firstRow="1"/>
        <w:tblCaption w:val="Table 2 Possible site types based on stream segment classification, relative site score, and observed CSCI score. The observed score column describes where a CSCI score is observed relative to the lower and upper percentiles (e.g., 10th and 90th) of expected scores for a segment and the chosen CSCI threshold (e.g., 10th percentile of scores at reference sites or 0.79) for defining low or high values."/>
      </w:tblPr>
      <w:tblGrid/>
      <w:tr>
        <w:trPr>
          <w:cnfStyle w:firstRow="1"/>
        </w:trPr>
        <w:tc>
          <w:tcPr>
            <w:tcBorders>
              <w:bottom w:val="single"/>
            </w:tcBorders>
            <w:vAlign w:val="bottom"/>
          </w:tcPr>
          <w:p>
            <w:pPr>
              <w:pStyle w:val="Compact"/>
              <w:jc w:val="left"/>
            </w:pPr>
            <w:r>
              <w:t xml:space="preserve">Segment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BodyText"/>
      </w:pPr>
      <w:r>
        <w:rPr>
          <w:i/>
        </w:rPr>
        <w:t xml:space="preserve">Table</w:t>
      </w:r>
      <w:r>
        <w:rPr>
          <w:i/>
        </w:rPr>
        <w:t xml:space="preserve"> </w:t>
      </w:r>
      <w:r>
        <w:rPr>
          <w:i/>
        </w:rPr>
        <w:t xml:space="preserve">3</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(standard deviation) scores and counts (percent) of the number of monitoring stations in each relative expectation and region are shown. Sites are over scoring if the observed scores are above the range of expectations at a segment, expected if within the range, or under 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Heading1"/>
      </w:pPr>
      <w:bookmarkStart w:id="60" w:name="references"/>
      <w:r>
        <w:t xml:space="preserve">References</w:t>
      </w:r>
      <w:bookmarkEnd w:id="60"/>
    </w:p>
    <w:bookmarkStart w:id="161" w:name="refs"/>
    <w:bookmarkStart w:id="62"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1">
        <w:r>
          <w:rPr>
            <w:rStyle w:val="Hyperlink"/>
          </w:rPr>
          <w:t xml:space="preserve">https://doi.org/10.1046/j.1365-2427.1997.d01-546.x</w:t>
        </w:r>
      </w:hyperlink>
      <w:r>
        <w:t xml:space="preserve">.</w:t>
      </w:r>
    </w:p>
    <w:bookmarkEnd w:id="62"/>
    <w:bookmarkStart w:id="64"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63">
        <w:r>
          <w:rPr>
            <w:rStyle w:val="Hyperlink"/>
          </w:rPr>
          <w:t xml:space="preserve">https://doi.org/10.1146/annurev.ecolsys.35.120202.110122</w:t>
        </w:r>
      </w:hyperlink>
      <w:r>
        <w:t xml:space="preserve">.</w:t>
      </w:r>
    </w:p>
    <w:bookmarkEnd w:id="64"/>
    <w:bookmarkStart w:id="66" w:name="ref-Beck18c"/>
    <w:p>
      <w:pPr>
        <w:pStyle w:val="Bibliography"/>
      </w:pPr>
      <w:r>
        <w:t xml:space="preserve">Beck, M. W. 2018. “SCCWRP/SCAPE: v1.0 (Version 1.0). Zenodo,</w:t>
      </w:r>
      <w:r>
        <w:t xml:space="preserve"> </w:t>
      </w:r>
      <w:hyperlink r:id="rId65">
        <w:r>
          <w:rPr>
            <w:rStyle w:val="Hyperlink"/>
          </w:rPr>
          <w:t xml:space="preserve">http://doi.org/10.5281/zenodo.1218121</w:t>
        </w:r>
      </w:hyperlink>
      <w:r>
        <w:t xml:space="preserve">.”</w:t>
      </w:r>
    </w:p>
    <w:bookmarkEnd w:id="66"/>
    <w:bookmarkStart w:id="68" w:name="ref-SDWB16"/>
    <w:p>
      <w:pPr>
        <w:pStyle w:val="Bibliography"/>
      </w:pPr>
      <w:r>
        <w:t xml:space="preserve">Board, San Diego Regional Water Quality Control. 2016. “Clean Water Act Sections 305(B) and 303(D) Integrated Report for the San Diego Region.” Sacramento, California: California Environmental Protection Agency.</w:t>
      </w:r>
      <w:r>
        <w:t xml:space="preserve"> </w:t>
      </w:r>
      <w:hyperlink r:id="rId67">
        <w:r>
          <w:rPr>
            <w:rStyle w:val="Hyperlink"/>
          </w:rPr>
          <w:t xml:space="preserve">https://www.waterboards.ca.gov/sandiego/water_issues/programs/303d_list/docs/Staff_Report_101216.pdf</w:t>
        </w:r>
      </w:hyperlink>
      <w:r>
        <w:t xml:space="preserve">.</w:t>
      </w:r>
    </w:p>
    <w:bookmarkEnd w:id="68"/>
    <w:bookmarkStart w:id="69"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9"/>
    <w:bookmarkStart w:id="71"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70">
        <w:r>
          <w:rPr>
            <w:rStyle w:val="Hyperlink"/>
          </w:rPr>
          <w:t xml:space="preserve">https://doi.org/10.1016/j.landurbplan.2012.07.009</w:t>
        </w:r>
      </w:hyperlink>
      <w:r>
        <w:t xml:space="preserve">.</w:t>
      </w:r>
    </w:p>
    <w:bookmarkEnd w:id="71"/>
    <w:bookmarkStart w:id="73"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187:4132.</w:t>
      </w:r>
      <w:r>
        <w:t xml:space="preserve"> </w:t>
      </w:r>
      <w:hyperlink r:id="rId72">
        <w:r>
          <w:rPr>
            <w:rStyle w:val="Hyperlink"/>
          </w:rPr>
          <w:t xml:space="preserve">https://doi.org/10.1007/s10661-014-4132-8</w:t>
        </w:r>
      </w:hyperlink>
      <w:r>
        <w:t xml:space="preserve">.</w:t>
      </w:r>
    </w:p>
    <w:bookmarkEnd w:id="73"/>
    <w:bookmarkStart w:id="74"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4"/>
    <w:bookmarkStart w:id="75" w:name="ref-CRWQCB14"/>
    <w:p>
      <w:pPr>
        <w:pStyle w:val="Bibliography"/>
      </w:pPr>
      <w:r>
        <w:t xml:space="preserve">California Regional Water Quality Control Board, Los Angeles Region. 2014. “Basin Plan for the Coastal Watersheds of Los Angeles and Ventura Counties.”</w:t>
      </w:r>
    </w:p>
    <w:bookmarkEnd w:id="75"/>
    <w:bookmarkStart w:id="77" w:name="ref-Cao07"/>
    <w:p>
      <w:pPr>
        <w:pStyle w:val="Bibliography"/>
      </w:pPr>
      <w:r>
        <w:t xml:space="preserve">Cao, Y., C. P. Hawkins, J. Olson, and M. A. Kosterman. 2007. “Modeling Natural Environmental Gradients Improves the Accuracy and Precision of Diatom-Based Indicators.”</w:t>
      </w:r>
      <w:r>
        <w:t xml:space="preserve"> </w:t>
      </w:r>
      <w:r>
        <w:rPr>
          <w:i/>
        </w:rPr>
        <w:t xml:space="preserve">Journal of the North American Benthological Society</w:t>
      </w:r>
      <w:r>
        <w:t xml:space="preserve"> </w:t>
      </w:r>
      <w:r>
        <w:t xml:space="preserve">26 (3):566–85.</w:t>
      </w:r>
      <w:r>
        <w:t xml:space="preserve"> </w:t>
      </w:r>
      <w:hyperlink r:id="rId76">
        <w:r>
          <w:rPr>
            <w:rStyle w:val="Hyperlink"/>
          </w:rPr>
          <w:t xml:space="preserve">https://doi.org/10.1899/06-078.1</w:t>
        </w:r>
      </w:hyperlink>
      <w:r>
        <w:t xml:space="preserve">.</w:t>
      </w:r>
    </w:p>
    <w:bookmarkEnd w:id="77"/>
    <w:bookmarkStart w:id="79"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8">
        <w:r>
          <w:rPr>
            <w:rStyle w:val="Hyperlink"/>
          </w:rPr>
          <w:t xml:space="preserve">https://doi.org/10.1111/j.1526-100X.2007.00285.x</w:t>
        </w:r>
      </w:hyperlink>
      <w:r>
        <w:t xml:space="preserve">.</w:t>
      </w:r>
    </w:p>
    <w:bookmarkEnd w:id="79"/>
    <w:bookmarkStart w:id="81"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80">
        <w:r>
          <w:rPr>
            <w:rStyle w:val="Hyperlink"/>
          </w:rPr>
          <w:t xml:space="preserve">https://doi.org/10.1007/s10661-008-0256-z</w:t>
        </w:r>
      </w:hyperlink>
      <w:r>
        <w:t xml:space="preserve">.</w:t>
      </w:r>
    </w:p>
    <w:bookmarkEnd w:id="81"/>
    <w:bookmarkStart w:id="83"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82">
        <w:r>
          <w:rPr>
            <w:rStyle w:val="Hyperlink"/>
          </w:rPr>
          <w:t xml:space="preserve">https://doi.org/10.1016/j.ecolind.2013.07.006</w:t>
        </w:r>
      </w:hyperlink>
      <w:r>
        <w:t xml:space="preserve">.</w:t>
      </w:r>
    </w:p>
    <w:bookmarkEnd w:id="83"/>
    <w:bookmarkStart w:id="85"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4">
        <w:r>
          <w:rPr>
            <w:rStyle w:val="Hyperlink"/>
          </w:rPr>
          <w:t xml:space="preserve">https://doi.org/10.1086/678701</w:t>
        </w:r>
      </w:hyperlink>
      <w:r>
        <w:t xml:space="preserve">.</w:t>
      </w:r>
    </w:p>
    <w:bookmarkEnd w:id="85"/>
    <w:bookmarkStart w:id="87"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6">
        <w:r>
          <w:rPr>
            <w:rStyle w:val="Hyperlink"/>
          </w:rPr>
          <w:t xml:space="preserve">https://doi.org/10.1002/rra.1053</w:t>
        </w:r>
      </w:hyperlink>
      <w:r>
        <w:t xml:space="preserve">.</w:t>
      </w:r>
    </w:p>
    <w:bookmarkEnd w:id="87"/>
    <w:bookmarkStart w:id="89"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8">
        <w:r>
          <w:rPr>
            <w:rStyle w:val="Hyperlink"/>
          </w:rPr>
          <w:t xml:space="preserve">https://doi.org/10.1899/0887-3593(2004)023%3C0599:BWRSUO%3E2.0.CO;2</w:t>
        </w:r>
      </w:hyperlink>
      <w:r>
        <w:t xml:space="preserve">.</w:t>
      </w:r>
    </w:p>
    <w:bookmarkEnd w:id="89"/>
    <w:bookmarkStart w:id="91"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90">
        <w:r>
          <w:rPr>
            <w:rStyle w:val="Hyperlink"/>
          </w:rPr>
          <w:t xml:space="preserve">https://doi.org/10.1111/j.1365-2427.2011.02696.x</w:t>
        </w:r>
      </w:hyperlink>
      <w:r>
        <w:t xml:space="preserve">.</w:t>
      </w:r>
    </w:p>
    <w:bookmarkEnd w:id="91"/>
    <w:bookmarkStart w:id="93"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92">
        <w:r>
          <w:rPr>
            <w:rStyle w:val="Hyperlink"/>
          </w:rPr>
          <w:t xml:space="preserve">https://doi.org/10.1002/etc.2059</w:t>
        </w:r>
      </w:hyperlink>
      <w:r>
        <w:t xml:space="preserve">.</w:t>
      </w:r>
    </w:p>
    <w:bookmarkEnd w:id="93"/>
    <w:bookmarkStart w:id="94"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(4):1251–66.</w:t>
      </w:r>
    </w:p>
    <w:bookmarkEnd w:id="94"/>
    <w:bookmarkStart w:id="96"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5">
        <w:r>
          <w:rPr>
            <w:rStyle w:val="Hyperlink"/>
          </w:rPr>
          <w:t xml:space="preserve">https://doi.org/10.1111/j.1752-1688.2000.tb05717.x</w:t>
        </w:r>
      </w:hyperlink>
      <w:r>
        <w:t xml:space="preserve">.</w:t>
      </w:r>
    </w:p>
    <w:bookmarkEnd w:id="96"/>
    <w:bookmarkStart w:id="97"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97"/>
    <w:bookmarkStart w:id="99"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8">
        <w:r>
          <w:rPr>
            <w:rStyle w:val="Hyperlink"/>
          </w:rPr>
          <w:t xml:space="preserve">https://doi.org/10.1007/s10661-017-6025-0</w:t>
        </w:r>
      </w:hyperlink>
      <w:r>
        <w:t xml:space="preserve">.</w:t>
      </w:r>
    </w:p>
    <w:bookmarkEnd w:id="99"/>
    <w:bookmarkStart w:id="100"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(9):858–64.</w:t>
      </w:r>
    </w:p>
    <w:bookmarkEnd w:id="100"/>
    <w:bookmarkStart w:id="101"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101"/>
    <w:bookmarkStart w:id="103"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102">
        <w:r>
          <w:rPr>
            <w:rStyle w:val="Hyperlink"/>
          </w:rPr>
          <w:t xml:space="preserve">https://doi.org/10.1002/eap.1617</w:t>
        </w:r>
      </w:hyperlink>
      <w:r>
        <w:t xml:space="preserve">.</w:t>
      </w:r>
    </w:p>
    <w:bookmarkEnd w:id="103"/>
    <w:bookmarkStart w:id="105"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104">
        <w:r>
          <w:rPr>
            <w:rStyle w:val="Hyperlink"/>
          </w:rPr>
          <w:t xml:space="preserve">https://doi.org/10.1111/1752-1688.12372</w:t>
        </w:r>
      </w:hyperlink>
      <w:r>
        <w:t xml:space="preserve">.</w:t>
      </w:r>
    </w:p>
    <w:bookmarkEnd w:id="105"/>
    <w:bookmarkStart w:id="107"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6">
        <w:r>
          <w:rPr>
            <w:rStyle w:val="Hyperlink"/>
          </w:rPr>
          <w:t xml:space="preserve">https://doi.org/10.1086/697996</w:t>
        </w:r>
      </w:hyperlink>
      <w:r>
        <w:t xml:space="preserve">.</w:t>
      </w:r>
    </w:p>
    <w:bookmarkEnd w:id="107"/>
    <w:bookmarkStart w:id="109"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8">
        <w:r>
          <w:rPr>
            <w:rStyle w:val="Hyperlink"/>
          </w:rPr>
          <w:t xml:space="preserve">https://doi.org/10.1371/journal.pone.0130710</w:t>
        </w:r>
      </w:hyperlink>
      <w:r>
        <w:t xml:space="preserve">.</w:t>
      </w:r>
    </w:p>
    <w:bookmarkEnd w:id="109"/>
    <w:bookmarkStart w:id="110"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10"/>
    <w:bookmarkStart w:id="112"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11">
        <w:r>
          <w:rPr>
            <w:rStyle w:val="Hyperlink"/>
          </w:rPr>
          <w:t xml:space="preserve">https://doi.org/10.1111/j.1752-1688.2011.00635.x</w:t>
        </w:r>
      </w:hyperlink>
      <w:r>
        <w:t xml:space="preserve">.</w:t>
      </w:r>
    </w:p>
    <w:bookmarkEnd w:id="112"/>
    <w:bookmarkStart w:id="114"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13">
        <w:r>
          <w:rPr>
            <w:rStyle w:val="Hyperlink"/>
          </w:rPr>
          <w:t xml:space="preserve">https://doi.org/10.1016/j.scitotenv.2015.07.083</w:t>
        </w:r>
      </w:hyperlink>
      <w:r>
        <w:t xml:space="preserve">.</w:t>
      </w:r>
    </w:p>
    <w:bookmarkEnd w:id="114"/>
    <w:bookmarkStart w:id="116"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5">
        <w:r>
          <w:rPr>
            <w:rStyle w:val="Hyperlink"/>
          </w:rPr>
          <w:t xml:space="preserve">https://doi.org/10.1007%2Fs00267-008-9151-1</w:t>
        </w:r>
      </w:hyperlink>
      <w:r>
        <w:t xml:space="preserve">.</w:t>
      </w:r>
    </w:p>
    <w:bookmarkEnd w:id="116"/>
    <w:bookmarkStart w:id="118" w:name="ref-Loflen16"/>
    <w:p>
      <w:pPr>
        <w:pStyle w:val="Bibliography"/>
      </w:pPr>
      <w:r>
        <w:t xml:space="preserve">Loflen, C., H. Hettesheimer, L. B. Busse, K. Watanabe, R. M. Gersberg, and V. Lüderitz. 2016. “Inadequate Monitoring and Inappropriate Project Goals: A Case Study on the Determination of Success for the Forester Creek Improvement Project.”</w:t>
      </w:r>
      <w:r>
        <w:t xml:space="preserve"> </w:t>
      </w:r>
      <w:r>
        <w:rPr>
          <w:i/>
        </w:rPr>
        <w:t xml:space="preserve">Ecological Restoration</w:t>
      </w:r>
      <w:r>
        <w:t xml:space="preserve"> </w:t>
      </w:r>
      <w:r>
        <w:t xml:space="preserve">34 (2):124–34.</w:t>
      </w:r>
      <w:r>
        <w:t xml:space="preserve"> </w:t>
      </w:r>
      <w:hyperlink r:id="rId117">
        <w:r>
          <w:rPr>
            <w:rStyle w:val="Hyperlink"/>
          </w:rPr>
          <w:t xml:space="preserve">https://doi.org/10.3368/er.34.2.124</w:t>
        </w:r>
      </w:hyperlink>
      <w:r>
        <w:t xml:space="preserve">.</w:t>
      </w:r>
    </w:p>
    <w:bookmarkEnd w:id="118"/>
    <w:bookmarkStart w:id="120"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9">
        <w:r>
          <w:rPr>
            <w:rStyle w:val="Hyperlink"/>
          </w:rPr>
          <w:t xml:space="preserve">https://doi.org/10.1007/s10661-014-4086-x</w:t>
        </w:r>
      </w:hyperlink>
      <w:r>
        <w:t xml:space="preserve">.</w:t>
      </w:r>
    </w:p>
    <w:bookmarkEnd w:id="120"/>
    <w:bookmarkStart w:id="121"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21"/>
    <w:bookmarkStart w:id="122" w:name="ref-McKay12"/>
    <w:p>
      <w:pPr>
        <w:pStyle w:val="Bibliography"/>
      </w:pPr>
      <w:r>
        <w:t xml:space="preserve">McKay, L., T. Bondelid, T. Dewald, J. Johnston, R. Moore, and A. Reah. 2012. “NHDPlus Version 2: User Guide.”</w:t>
      </w:r>
    </w:p>
    <w:bookmarkEnd w:id="122"/>
    <w:bookmarkStart w:id="123"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23"/>
    <w:bookmarkStart w:id="125"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24">
        <w:r>
          <w:rPr>
            <w:rStyle w:val="Hyperlink"/>
          </w:rPr>
          <w:t xml:space="preserve">https://CRAN.R-project.org/package=quantregForest</w:t>
        </w:r>
      </w:hyperlink>
      <w:r>
        <w:t xml:space="preserve">.</w:t>
      </w:r>
    </w:p>
    <w:bookmarkEnd w:id="125"/>
    <w:bookmarkStart w:id="126" w:name="ref-MBI16"/>
    <w:p>
      <w:pPr>
        <w:pStyle w:val="Bibliography"/>
      </w:pPr>
      <w:r>
        <w:t xml:space="preserve">Midwest Biodiversity Insitute.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26"/>
    <w:bookmarkStart w:id="127"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27"/>
    <w:bookmarkStart w:id="129"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(1):41–52.</w:t>
      </w:r>
      <w:r>
        <w:t xml:space="preserve"> </w:t>
      </w:r>
      <w:hyperlink r:id="rId128">
        <w:r>
          <w:rPr>
            <w:rStyle w:val="Hyperlink"/>
          </w:rPr>
          <w:t xml:space="preserve">https://doi.org/10.1111/j.1365-2427.1987.tb01027.x</w:t>
        </w:r>
      </w:hyperlink>
      <w:r>
        <w:t xml:space="preserve">.</w:t>
      </w:r>
    </w:p>
    <w:bookmarkEnd w:id="129"/>
    <w:bookmarkStart w:id="131"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30">
        <w:r>
          <w:rPr>
            <w:rStyle w:val="Hyperlink"/>
          </w:rPr>
          <w:t xml:space="preserve">https://doi.org/10.1016/j.watres.2004.09.002</w:t>
        </w:r>
      </w:hyperlink>
      <w:r>
        <w:t xml:space="preserve">.</w:t>
      </w:r>
    </w:p>
    <w:bookmarkEnd w:id="131"/>
    <w:bookmarkStart w:id="132"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32"/>
    <w:bookmarkStart w:id="133"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33"/>
    <w:bookmarkStart w:id="135"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34">
        <w:r>
          <w:rPr>
            <w:rStyle w:val="Hyperlink"/>
          </w:rPr>
          <w:t xml:space="preserve">https://doi.org/10.1890/11-0077.1</w:t>
        </w:r>
      </w:hyperlink>
      <w:r>
        <w:t xml:space="preserve">.</w:t>
      </w:r>
    </w:p>
    <w:bookmarkEnd w:id="135"/>
    <w:bookmarkStart w:id="136"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36"/>
    <w:bookmarkStart w:id="138"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37">
        <w:r>
          <w:rPr>
            <w:rStyle w:val="Hyperlink"/>
          </w:rPr>
          <w:t xml:space="preserve">https://doi.org/10.1111/gec3.12039</w:t>
        </w:r>
      </w:hyperlink>
      <w:r>
        <w:t xml:space="preserve">.</w:t>
      </w:r>
    </w:p>
    <w:bookmarkEnd w:id="138"/>
    <w:bookmarkStart w:id="140"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9">
        <w:r>
          <w:rPr>
            <w:rStyle w:val="Hyperlink"/>
          </w:rPr>
          <w:t xml:space="preserve">https://doi.org/10.1007/s10661-010-1385-8</w:t>
        </w:r>
      </w:hyperlink>
      <w:r>
        <w:t xml:space="preserve">.</w:t>
      </w:r>
    </w:p>
    <w:bookmarkEnd w:id="140"/>
    <w:bookmarkStart w:id="142"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41">
        <w:r>
          <w:rPr>
            <w:rStyle w:val="Hyperlink"/>
          </w:rPr>
          <w:t xml:space="preserve">https://doi.org/10.1046/j.1365-2427.2001.00758.x</w:t>
        </w:r>
      </w:hyperlink>
      <w:r>
        <w:t xml:space="preserve">.</w:t>
      </w:r>
    </w:p>
    <w:bookmarkEnd w:id="142"/>
    <w:bookmarkStart w:id="144"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43">
        <w:r>
          <w:rPr>
            <w:rStyle w:val="Hyperlink"/>
          </w:rPr>
          <w:t xml:space="preserve">https://doi.org/10.1111/jawr.12035</w:t>
        </w:r>
      </w:hyperlink>
      <w:r>
        <w:t xml:space="preserve">.</w:t>
      </w:r>
    </w:p>
    <w:bookmarkEnd w:id="144"/>
    <w:bookmarkStart w:id="145"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45"/>
    <w:bookmarkStart w:id="147"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46">
        <w:r>
          <w:rPr>
            <w:rStyle w:val="Hyperlink"/>
          </w:rPr>
          <w:t xml:space="preserve">https://www.waterboards.ca.gov/water_issues/programs/swamp/qapp/swamp_QAPrP_2017_Final.pdf</w:t>
        </w:r>
      </w:hyperlink>
      <w:r>
        <w:t xml:space="preserve">.</w:t>
      </w:r>
    </w:p>
    <w:bookmarkEnd w:id="147"/>
    <w:bookmarkStart w:id="149"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8">
        <w:r>
          <w:rPr>
            <w:rStyle w:val="Hyperlink"/>
          </w:rPr>
          <w:t xml:space="preserve">https://doi.org/10.1111/j.1365-2664.2008.01548.x</w:t>
        </w:r>
      </w:hyperlink>
      <w:r>
        <w:t xml:space="preserve">.</w:t>
      </w:r>
    </w:p>
    <w:bookmarkEnd w:id="149"/>
    <w:bookmarkStart w:id="150"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50"/>
    <w:bookmarkStart w:id="151" w:name="ref-USEPA16"/>
    <w:p>
      <w:pPr>
        <w:pStyle w:val="Bibliography"/>
      </w:pPr>
      <w:r>
        <w:t xml:space="preserve">USEPA (US Environmental Protection Agency). 2016. “National Rivers and Streams Assessment 2008-2009: A Collaborative Survey.” EPA-841-R-16-007. Washington, DC.</w:t>
      </w:r>
    </w:p>
    <w:bookmarkEnd w:id="151"/>
    <w:bookmarkStart w:id="152" w:name="ref-USGS99"/>
    <w:p>
      <w:pPr>
        <w:pStyle w:val="Bibliography"/>
      </w:pPr>
      <w:r>
        <w:t xml:space="preserve">USGS (US Geological Survey). 1999. “The quality of our nation’s waters: nutrients and pesticides.” Reston, Virginia.</w:t>
      </w:r>
    </w:p>
    <w:bookmarkEnd w:id="152"/>
    <w:bookmarkStart w:id="154"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53">
        <w:r>
          <w:rPr>
            <w:rStyle w:val="Hyperlink"/>
          </w:rPr>
          <w:t xml:space="preserve">https://doi.org/10.1023/A:1023374524254</w:t>
        </w:r>
      </w:hyperlink>
      <w:r>
        <w:t xml:space="preserve">.</w:t>
      </w:r>
    </w:p>
    <w:bookmarkEnd w:id="154"/>
    <w:bookmarkStart w:id="156"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55">
        <w:r>
          <w:rPr>
            <w:rStyle w:val="Hyperlink"/>
          </w:rPr>
          <w:t xml:space="preserve">https://doi.org/10.1111/jawr.12032</w:t>
        </w:r>
      </w:hyperlink>
      <w:r>
        <w:t xml:space="preserve">.</w:t>
      </w:r>
    </w:p>
    <w:bookmarkEnd w:id="156"/>
    <w:bookmarkStart w:id="158"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57">
        <w:r>
          <w:rPr>
            <w:rStyle w:val="Hyperlink"/>
          </w:rPr>
          <w:t xml:space="preserve">https://doi.org/10.1371/journal.pone.0090944</w:t>
        </w:r>
      </w:hyperlink>
      <w:r>
        <w:t xml:space="preserve">.</w:t>
      </w:r>
    </w:p>
    <w:bookmarkEnd w:id="158"/>
    <w:bookmarkStart w:id="160"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9">
        <w:r>
          <w:rPr>
            <w:rStyle w:val="Hyperlink"/>
          </w:rPr>
          <w:t xml:space="preserve">https://doi.org/10.1577/1548-8446(1997)022%3C0006:IOWLUO%3E2.0.CO;2</w:t>
        </w:r>
      </w:hyperlink>
      <w:r>
        <w:t xml:space="preserve">.</w:t>
      </w:r>
    </w:p>
    <w:bookmarkEnd w:id="160"/>
    <w:bookmarkEnd w:id="16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hyperlink" Id="rId65" Target="http://doi.org/10.5281/zenodo.1218121" TargetMode="External" /><Relationship Type="http://schemas.openxmlformats.org/officeDocument/2006/relationships/hyperlink" Id="rId39" Target="http://shiny.sccwrp.org/scape/" TargetMode="External" /><Relationship Type="http://schemas.openxmlformats.org/officeDocument/2006/relationships/hyperlink" Id="rId124" Target="https://CRAN.R-project.org/package=quantregForest" TargetMode="External" /><Relationship Type="http://schemas.openxmlformats.org/officeDocument/2006/relationships/hyperlink" Id="rId102" Target="https://doi.org/10.1002/eap.1617" TargetMode="External" /><Relationship Type="http://schemas.openxmlformats.org/officeDocument/2006/relationships/hyperlink" Id="rId92" Target="https://doi.org/10.1002/etc.2059" TargetMode="External" /><Relationship Type="http://schemas.openxmlformats.org/officeDocument/2006/relationships/hyperlink" Id="rId86" Target="https://doi.org/10.1002/rra.1053" TargetMode="External" /><Relationship Type="http://schemas.openxmlformats.org/officeDocument/2006/relationships/hyperlink" Id="rId115" Target="https://doi.org/10.1007%2Fs00267-008-9151-1" TargetMode="External" /><Relationship Type="http://schemas.openxmlformats.org/officeDocument/2006/relationships/hyperlink" Id="rId80" Target="https://doi.org/10.1007/s10661-008-0256-z" TargetMode="External" /><Relationship Type="http://schemas.openxmlformats.org/officeDocument/2006/relationships/hyperlink" Id="rId139" Target="https://doi.org/10.1007/s10661-010-1385-8" TargetMode="External" /><Relationship Type="http://schemas.openxmlformats.org/officeDocument/2006/relationships/hyperlink" Id="rId119" Target="https://doi.org/10.1007/s10661-014-4086-x" TargetMode="External" /><Relationship Type="http://schemas.openxmlformats.org/officeDocument/2006/relationships/hyperlink" Id="rId72" Target="https://doi.org/10.1007/s10661-014-4132-8" TargetMode="External" /><Relationship Type="http://schemas.openxmlformats.org/officeDocument/2006/relationships/hyperlink" Id="rId98" Target="https://doi.org/10.1007/s10661-017-6025-0" TargetMode="External" /><Relationship Type="http://schemas.openxmlformats.org/officeDocument/2006/relationships/hyperlink" Id="rId82" Target="https://doi.org/10.1016/j.ecolind.2013.07.006" TargetMode="External" /><Relationship Type="http://schemas.openxmlformats.org/officeDocument/2006/relationships/hyperlink" Id="rId70" Target="https://doi.org/10.1016/j.landurbplan.2012.07.009" TargetMode="External" /><Relationship Type="http://schemas.openxmlformats.org/officeDocument/2006/relationships/hyperlink" Id="rId113" Target="https://doi.org/10.1016/j.scitotenv.2015.07.083" TargetMode="External" /><Relationship Type="http://schemas.openxmlformats.org/officeDocument/2006/relationships/hyperlink" Id="rId130" Target="https://doi.org/10.1016/j.watres.2004.09.002" TargetMode="External" /><Relationship Type="http://schemas.openxmlformats.org/officeDocument/2006/relationships/hyperlink" Id="rId153"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41" Target="https://doi.org/10.1046/j.1365-2427.2001.00758.x" TargetMode="External" /><Relationship Type="http://schemas.openxmlformats.org/officeDocument/2006/relationships/hyperlink" Id="rId84" Target="https://doi.org/10.1086/678701" TargetMode="External" /><Relationship Type="http://schemas.openxmlformats.org/officeDocument/2006/relationships/hyperlink" Id="rId106" Target="https://doi.org/10.1086/697996" TargetMode="External" /><Relationship Type="http://schemas.openxmlformats.org/officeDocument/2006/relationships/hyperlink" Id="rId104" Target="https://doi.org/10.1111/1752-1688.12372" TargetMode="External" /><Relationship Type="http://schemas.openxmlformats.org/officeDocument/2006/relationships/hyperlink" Id="rId137" Target="https://doi.org/10.1111/gec3.12039" TargetMode="External" /><Relationship Type="http://schemas.openxmlformats.org/officeDocument/2006/relationships/hyperlink" Id="rId128" Target="https://doi.org/10.1111/j.1365-2427.1987.tb01027.x" TargetMode="External" /><Relationship Type="http://schemas.openxmlformats.org/officeDocument/2006/relationships/hyperlink" Id="rId90" Target="https://doi.org/10.1111/j.1365-2427.2011.02696.x" TargetMode="External" /><Relationship Type="http://schemas.openxmlformats.org/officeDocument/2006/relationships/hyperlink" Id="rId148" Target="https://doi.org/10.1111/j.1365-2664.2008.01548.x" TargetMode="External" /><Relationship Type="http://schemas.openxmlformats.org/officeDocument/2006/relationships/hyperlink" Id="rId78" Target="https://doi.org/10.1111/j.1526-100X.2007.00285.x" TargetMode="External" /><Relationship Type="http://schemas.openxmlformats.org/officeDocument/2006/relationships/hyperlink" Id="rId95" Target="https://doi.org/10.1111/j.1752-1688.2000.tb05717.x" TargetMode="External" /><Relationship Type="http://schemas.openxmlformats.org/officeDocument/2006/relationships/hyperlink" Id="rId111" Target="https://doi.org/10.1111/j.1752-1688.2011.00635.x" TargetMode="External" /><Relationship Type="http://schemas.openxmlformats.org/officeDocument/2006/relationships/hyperlink" Id="rId155" Target="https://doi.org/10.1111/jawr.12032" TargetMode="External" /><Relationship Type="http://schemas.openxmlformats.org/officeDocument/2006/relationships/hyperlink" Id="rId143"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57" Target="https://doi.org/10.1371/journal.pone.0090944" TargetMode="External" /><Relationship Type="http://schemas.openxmlformats.org/officeDocument/2006/relationships/hyperlink" Id="rId108" Target="https://doi.org/10.1371/journal.pone.0130710" TargetMode="External" /><Relationship Type="http://schemas.openxmlformats.org/officeDocument/2006/relationships/hyperlink" Id="rId159" Target="https://doi.org/10.1577/1548-8446(1997)022%3C0006:IOWLUO%3E2.0.CO;2" TargetMode="External" /><Relationship Type="http://schemas.openxmlformats.org/officeDocument/2006/relationships/hyperlink" Id="rId134" Target="https://doi.org/10.1890/11-0077.1" TargetMode="External" /><Relationship Type="http://schemas.openxmlformats.org/officeDocument/2006/relationships/hyperlink" Id="rId76" Target="https://doi.org/10.1899/06-078.1" TargetMode="External" /><Relationship Type="http://schemas.openxmlformats.org/officeDocument/2006/relationships/hyperlink" Id="rId88" Target="https://doi.org/10.1899/0887-3593(2004)023%3C0599:BWRSUO%3E2.0.CO;2" TargetMode="External" /><Relationship Type="http://schemas.openxmlformats.org/officeDocument/2006/relationships/hyperlink" Id="rId117"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6"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5" Target="http://doi.org/10.5281/zenodo.1218121" TargetMode="External" /><Relationship Type="http://schemas.openxmlformats.org/officeDocument/2006/relationships/hyperlink" Id="rId39" Target="http://shiny.sccwrp.org/scape/" TargetMode="External" /><Relationship Type="http://schemas.openxmlformats.org/officeDocument/2006/relationships/hyperlink" Id="rId124" Target="https://CRAN.R-project.org/package=quantregForest" TargetMode="External" /><Relationship Type="http://schemas.openxmlformats.org/officeDocument/2006/relationships/hyperlink" Id="rId102" Target="https://doi.org/10.1002/eap.1617" TargetMode="External" /><Relationship Type="http://schemas.openxmlformats.org/officeDocument/2006/relationships/hyperlink" Id="rId92" Target="https://doi.org/10.1002/etc.2059" TargetMode="External" /><Relationship Type="http://schemas.openxmlformats.org/officeDocument/2006/relationships/hyperlink" Id="rId86" Target="https://doi.org/10.1002/rra.1053" TargetMode="External" /><Relationship Type="http://schemas.openxmlformats.org/officeDocument/2006/relationships/hyperlink" Id="rId115" Target="https://doi.org/10.1007%2Fs00267-008-9151-1" TargetMode="External" /><Relationship Type="http://schemas.openxmlformats.org/officeDocument/2006/relationships/hyperlink" Id="rId80" Target="https://doi.org/10.1007/s10661-008-0256-z" TargetMode="External" /><Relationship Type="http://schemas.openxmlformats.org/officeDocument/2006/relationships/hyperlink" Id="rId139" Target="https://doi.org/10.1007/s10661-010-1385-8" TargetMode="External" /><Relationship Type="http://schemas.openxmlformats.org/officeDocument/2006/relationships/hyperlink" Id="rId119" Target="https://doi.org/10.1007/s10661-014-4086-x" TargetMode="External" /><Relationship Type="http://schemas.openxmlformats.org/officeDocument/2006/relationships/hyperlink" Id="rId72" Target="https://doi.org/10.1007/s10661-014-4132-8" TargetMode="External" /><Relationship Type="http://schemas.openxmlformats.org/officeDocument/2006/relationships/hyperlink" Id="rId98" Target="https://doi.org/10.1007/s10661-017-6025-0" TargetMode="External" /><Relationship Type="http://schemas.openxmlformats.org/officeDocument/2006/relationships/hyperlink" Id="rId82" Target="https://doi.org/10.1016/j.ecolind.2013.07.006" TargetMode="External" /><Relationship Type="http://schemas.openxmlformats.org/officeDocument/2006/relationships/hyperlink" Id="rId70" Target="https://doi.org/10.1016/j.landurbplan.2012.07.009" TargetMode="External" /><Relationship Type="http://schemas.openxmlformats.org/officeDocument/2006/relationships/hyperlink" Id="rId113" Target="https://doi.org/10.1016/j.scitotenv.2015.07.083" TargetMode="External" /><Relationship Type="http://schemas.openxmlformats.org/officeDocument/2006/relationships/hyperlink" Id="rId130" Target="https://doi.org/10.1016/j.watres.2004.09.002" TargetMode="External" /><Relationship Type="http://schemas.openxmlformats.org/officeDocument/2006/relationships/hyperlink" Id="rId153"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41" Target="https://doi.org/10.1046/j.1365-2427.2001.00758.x" TargetMode="External" /><Relationship Type="http://schemas.openxmlformats.org/officeDocument/2006/relationships/hyperlink" Id="rId84" Target="https://doi.org/10.1086/678701" TargetMode="External" /><Relationship Type="http://schemas.openxmlformats.org/officeDocument/2006/relationships/hyperlink" Id="rId106" Target="https://doi.org/10.1086/697996" TargetMode="External" /><Relationship Type="http://schemas.openxmlformats.org/officeDocument/2006/relationships/hyperlink" Id="rId104" Target="https://doi.org/10.1111/1752-1688.12372" TargetMode="External" /><Relationship Type="http://schemas.openxmlformats.org/officeDocument/2006/relationships/hyperlink" Id="rId137" Target="https://doi.org/10.1111/gec3.12039" TargetMode="External" /><Relationship Type="http://schemas.openxmlformats.org/officeDocument/2006/relationships/hyperlink" Id="rId128" Target="https://doi.org/10.1111/j.1365-2427.1987.tb01027.x" TargetMode="External" /><Relationship Type="http://schemas.openxmlformats.org/officeDocument/2006/relationships/hyperlink" Id="rId90" Target="https://doi.org/10.1111/j.1365-2427.2011.02696.x" TargetMode="External" /><Relationship Type="http://schemas.openxmlformats.org/officeDocument/2006/relationships/hyperlink" Id="rId148" Target="https://doi.org/10.1111/j.1365-2664.2008.01548.x" TargetMode="External" /><Relationship Type="http://schemas.openxmlformats.org/officeDocument/2006/relationships/hyperlink" Id="rId78" Target="https://doi.org/10.1111/j.1526-100X.2007.00285.x" TargetMode="External" /><Relationship Type="http://schemas.openxmlformats.org/officeDocument/2006/relationships/hyperlink" Id="rId95" Target="https://doi.org/10.1111/j.1752-1688.2000.tb05717.x" TargetMode="External" /><Relationship Type="http://schemas.openxmlformats.org/officeDocument/2006/relationships/hyperlink" Id="rId111" Target="https://doi.org/10.1111/j.1752-1688.2011.00635.x" TargetMode="External" /><Relationship Type="http://schemas.openxmlformats.org/officeDocument/2006/relationships/hyperlink" Id="rId155" Target="https://doi.org/10.1111/jawr.12032" TargetMode="External" /><Relationship Type="http://schemas.openxmlformats.org/officeDocument/2006/relationships/hyperlink" Id="rId143"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57" Target="https://doi.org/10.1371/journal.pone.0090944" TargetMode="External" /><Relationship Type="http://schemas.openxmlformats.org/officeDocument/2006/relationships/hyperlink" Id="rId108" Target="https://doi.org/10.1371/journal.pone.0130710" TargetMode="External" /><Relationship Type="http://schemas.openxmlformats.org/officeDocument/2006/relationships/hyperlink" Id="rId159" Target="https://doi.org/10.1577/1548-8446(1997)022%3C0006:IOWLUO%3E2.0.CO;2" TargetMode="External" /><Relationship Type="http://schemas.openxmlformats.org/officeDocument/2006/relationships/hyperlink" Id="rId134" Target="https://doi.org/10.1890/11-0077.1" TargetMode="External" /><Relationship Type="http://schemas.openxmlformats.org/officeDocument/2006/relationships/hyperlink" Id="rId76" Target="https://doi.org/10.1899/06-078.1" TargetMode="External" /><Relationship Type="http://schemas.openxmlformats.org/officeDocument/2006/relationships/hyperlink" Id="rId88" Target="https://doi.org/10.1899/0887-3593(2004)023%3C0599:BWRSUO%3E2.0.CO;2" TargetMode="External" /><Relationship Type="http://schemas.openxmlformats.org/officeDocument/2006/relationships/hyperlink" Id="rId117"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6"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2018-07-11T17:27:19Z</dcterms:created>
  <dcterms:modified xsi:type="dcterms:W3CDTF">2018-07-11T17:27:19Z</dcterms:modified>
</cp:coreProperties>
</file>