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jpg" ContentType="image/jpeg"/>
  <Override PartName="/word/media/rId52.jpg" ContentType="image/jpeg"/>
  <Override PartName="/word/media/rId50.png" ContentType="image/png"/>
  <Override PartName="/word/media/rId51.jpg" ContentType="image/jpeg"/>
  <Override PartName="/word/media/rId5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Wed May 15 17:21:40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with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consistent with the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be used to identify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condition(e.g.,</w:t>
      </w:r>
      <w:r>
        <w:t xml:space="preserve"> </w:t>
      </w:r>
      <w:r>
        <w:t xml:space="preserve">Bernhardt et al. (</w:t>
      </w:r>
      <w:hyperlink w:anchor="ref-Bernhardt07">
        <w:r>
          <w:rPr>
            <w:rStyle w:val="Hyperlink"/>
          </w:rPr>
          <w:t xml:space="preserve">2007</w:t>
        </w:r>
      </w:hyperlink>
      <w:r>
        <w:t xml:space="preserve">)</w:t>
      </w:r>
      <w:r>
        <w:t xml:space="preserve">),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less constrained sites where alternative or more easily managed factors are influencing condition. For example, a monitoring site with an observed biological index score that is above an expected range of attainability could be assigned a higher management priority (i.e., for protection) relative to a site that is scoring within the expected range based on landscape development. A predictive model of bioassessment scores that is based on landscape metrics (e.g., imperviousness) could describe constraints on biological integrity, particularly for factors that are difficult to manage and are often associated with instream stressors. Analysis methods that characterize biotic and abiotic factors that limit assemblage composition have been explored by others (i.e., limiting factor theory,</w:t>
      </w:r>
      <w:r>
        <w:t xml:space="preserve"> </w:t>
      </w:r>
      <w:r>
        <w:t xml:space="preserve">Chessman, Muschal, and Royal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given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at a stream reach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Managers currently have no prioritization tools for evaluating the context of biological integrity scores in their watershed.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national stream hydrography layers,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2</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values near 1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while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Fetscher, and Busse (</w:t>
      </w:r>
      <w:hyperlink w:anchor="ref-Ode16b">
        <w:r>
          <w:rPr>
            <w:rStyle w:val="Hyperlink"/>
          </w:rPr>
          <w:t xml:space="preserve">2016</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were most relevant to this site. One sample date was chosen randomly for sites with multiple dates so that one CSCI score was matched to a site.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predictors.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can quantify complex, non-linear relationships and interactions between variables and can be more effective with large datasets relative to more commonly-used approaches, such as multiple regression</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can estimate a lower and an upper limit for the conditional distribution of likely scores that might be expected at a site given land use,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conditional quantile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1</w:t>
      </w:r>
      <w:r>
        <w:t xml:space="preserve">). Calibration data for the landscape model were obtained from a random selection of 75% of segments with observed CSCI scores, where the selection was based on a random draw from strata of quartiles defined by increasing watershed imperviousness relative to each region (n = 1965 segments). This ensured that the model was calibrated with data that covered the variation of landscape development among regions (i.e., regions with low development were not under-represented and those with high development were not over-represented). The remaining 25% of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metrics were chosen to evaluate both predictive ability of the landscape model and potential for bias which may vary depending on different land use gradients across the state.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predictive ability. Regression analysis between observed and predicted scores was used to assess potential bias based on intercept and slope values differing from 0 and 1, respectively.</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Ranges in predictor variables between the statewide and calibration datasets were similar, such that over-extrapolation of the model domain to the statewide data was unlikely. The classification process is described in Figure</w:t>
      </w:r>
      <w:r>
        <w:t xml:space="preserve"> </w:t>
      </w:r>
      <w:r>
        <w:t xml:space="preserve">3</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 </w:t>
      </w:r>
      <w:r>
        <w:t xml:space="preserve">and a lower and upper bound from the 10th to the 90th percentiles of expected CSCI scores. Stream segments where the predicted 90th quantile score was below the threshold were considered likely constrained, whereas those where the predicted 10th percentile was above the threshold were considered likely unconstrained (Figure</w:t>
      </w:r>
      <w:r>
        <w:t xml:space="preserve"> </w:t>
      </w:r>
      <w:r>
        <w:t xml:space="preserve">3</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percentile range of score expectations (or certainty) from the landscape model (Figure</w:t>
      </w:r>
      <w:r>
        <w:t xml:space="preserve"> </w:t>
      </w:r>
      <w:r>
        <w:t xml:space="preserve">3</w:t>
      </w:r>
      <w:r>
        <w:t xml:space="preserve">b) and the CSCI threshold for evaluating the overlap extent (Figure</w:t>
      </w:r>
      <w:r>
        <w:t xml:space="preserve"> </w:t>
      </w:r>
      <w:r>
        <w:t xml:space="preserve">3</w:t>
      </w:r>
      <w:r>
        <w:t xml:space="preserve">c). For the certainty range, these bounds do not describe statistical certainty in the traditional sense (e.g., confidence interval), but rather a desired range that is defined as a potentially acceptable lower and upper limit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Although some of the results can be assumed (e.g., increasing CSCI thresholds causes more sites to be classified as constrained), we expected differences among regions based on differences in land use.</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3</w:t>
      </w:r>
      <w:r>
        <w:t xml:space="preserve">d). This post-hoc classification was necessary to determine if observed CSCI scores were under- or over-scoring relative to landscape expectations, which can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median prediction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worse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4</w:t>
      </w:r>
      <w:r>
        <w:t xml:space="preserve">)</w:t>
      </w:r>
    </w:p>
    <w:p>
      <w:pPr>
        <w:pStyle w:val="BodyText"/>
      </w:pPr>
      <w:r>
        <w:t xml:space="preserve">Observed CSCI scores were within the predicted decile range as often as expected (i.e., 80% statewide, based on the 10th and 90th conditional quantiles),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evidence of a slight bias of over-predicting in this region. Over-scoring sites were slightly more common in the South Coast and Sierra Nevada regions, whereas under-scoring sites were more common in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5</w:t>
      </w:r>
      <w:r>
        <w:t xml:space="preserve">). Unsurprisingly, decreasing the certainty of predictions from the landscape model by narrowing the quantile range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Falcone, and Meador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a higher priority for managers than a site scoring as expected in a constrained segment; the latter may require more resources for comparable changes in biotic condition. As such, the lower San Gabriel watershed is heavily urbanized with many modified channels (Figure S4b) and managers require prioritization tools to identify where efforts should be focused among many sites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first identified independent from the landscape model and then assigned to each site by the stakeholder group based on a comparison of observed CSCI scores and the expected range of scores from the landscape model. In general, stakeholders assigned higher priority for all three actions to sites in likely unconstrained segments where CSCI scores were over- or under-scoring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tested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explored and discussed potential management actions relative to the landscape characteristics of the watershed. The final decision by the group to prioritize management actions for the different sites in broad categories of protect, restore, and investigate was based on group discussions to reach agreement on how outcomes from the model could be applied. Facilitated discussions that directly engage stakeholders have been suggested by others as effective mechanisms that allow recommendations provided by these tools to be adopted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However,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The SCAPE application can be used to select and visualize management priorities for all monitoring sites in the San Gabriel watershed (Figure S8) and was also critical for demonstrating how results from the statewide model could be used at a regional scale. Because of this application, the stakeholder group was able to explore the potential impacts of biointegrity policies currently under review in California, such as the effect of changing a potential threshold for defining biological use attainment and how the assigned priorities shift accordingly. Additionally, the SCAPE application correctly identified sites where discrepancies between CSCI scores and other measures of stream condition had been previously observed. Without the landscape context provided by the model (i.e., Figure S5, right side), stakeholders had limited information to prioritize among sites (i.e., no context for scores, Figure S5, left side).</w:t>
      </w:r>
    </w:p>
    <w:p>
      <w:pPr>
        <w:pStyle w:val="BodyText"/>
      </w:pPr>
      <w:r>
        <w:t xml:space="preserve">The SCAPE application also demonstrated core concepts of the model and allowed stakeholders to explore the key decision points that affected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5</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captured well by the model (e.g., Sierra Nevada, North Coast). Conversely, the chosen range for the lower and upper expectation of biological integrity is a tradeoff between which constraint classes are most appropriate for a region. Wider ranges force more stream segments into the</w:t>
      </w:r>
      <w:r>
        <w:t xml:space="preserve"> </w:t>
      </w:r>
      <w:r>
        <w:t xml:space="preserve">“</w:t>
      </w:r>
      <w:r>
        <w:t xml:space="preserve">possible</w:t>
      </w:r>
      <w:r>
        <w:t xml:space="preserve">”</w:t>
      </w:r>
      <w:r>
        <w:t xml:space="preserve"> </w:t>
      </w:r>
      <w:r>
        <w:t xml:space="preserve">constraint classes, whereas smaller ranges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or exceeding biological objectives or the restoration of sites that have the potential to meet or exceed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expected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in a developed landscape will typically be constrained.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Amatulli, and Jetz</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Our case study provided an example of how our model helped establish priorities at the local-scale and a similar process could be used for applying different landscape models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explicitly available in StreamCat, but surrogates could be explored in future models (e.g., coverage of introduced vegetation classes as a proxy for silviculture). Regardless,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Beck, and Brown</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We demonstrated the use of quantile regression forests to successfully predict a lower and upper range of expected biological index scores that could be observed at a stream segment as a result of landscape development. Although random forest models have been increasingly used in bioassessment applications, our approach is the first to use quantile models to develop biological expectations. As such, additional work could build on this initial approach to apply these models in different locations, to alternative biological response endpoints, or to explore different predictors that capture regionally-specific stressor gradients. The predictive performance of quantile regression forests in bioassessment applications have also not been fully explored, such as understanding the accuracy of predictions or the relative importance of predictors at different quantiles. Our approach suggests these models are promising and future work could focus on any of the above suggestions to better understand the utility of these tools in applied contexts.</w:t>
      </w:r>
    </w:p>
    <w:p>
      <w:pPr>
        <w:pStyle w:val="BodyText"/>
      </w:pPr>
      <w:r>
        <w:t xml:space="preserve">The landscape model can be used to characterize the extent of biologically constrained channels in developed landscapes and provides a tool to determine how managers can best prioritize resources for stream management by understanding landscape factors that might constrain each segment. Our application to the San Gabriel watershed demonstrated how the statewide results can be used at a spatial scale where many management decisions are implemented through close interaction with a regional stakeholder group with direct interests in the local resources.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a</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b</w:t>
        </w:r>
      </w:hyperlink>
      <w:r>
        <w:t xml:space="preserve">)</w:t>
      </w:r>
      <w:r>
        <w:t xml:space="preserve">. Additional content for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CaptionedFigure"/>
      </w:pPr>
      <w:r>
        <w:drawing>
          <wp:inline>
            <wp:extent cx="5943600" cy="4245428"/>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jpeg" id="0"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943600" cy="5022822"/>
            <wp:effectExtent b="0" l="0" r="0" t="0"/>
            <wp:docPr descr="Figure 2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png" id="0" name="Picture"/>
                    <pic:cNvPicPr>
                      <a:picLocks noChangeArrowheads="1" noChangeAspect="1"/>
                    </pic:cNvPicPr>
                  </pic:nvPicPr>
                  <pic:blipFill>
                    <a:blip r:embed="rId50"/>
                    <a:stretch>
                      <a:fillRect/>
                    </a:stretch>
                  </pic:blipFill>
                  <pic:spPr bwMode="auto">
                    <a:xfrm>
                      <a:off x="0" y="0"/>
                      <a:ext cx="5943600" cy="5022822"/>
                    </a:xfrm>
                    <a:prstGeom prst="rect">
                      <a:avLst/>
                    </a:prstGeom>
                    <a:noFill/>
                    <a:ln w="9525">
                      <a:noFill/>
                      <a:headEnd/>
                      <a:tailEnd/>
                    </a:ln>
                  </pic:spPr>
                </pic:pic>
              </a:graphicData>
            </a:graphic>
          </wp:inline>
        </w:drawing>
      </w:r>
    </w:p>
    <w:p>
      <w:pPr>
        <w:pStyle w:val="ImageCaption"/>
      </w:pPr>
      <w:r>
        <w:t xml:space="preserve">Figure 2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5943600" cy="371475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jpeg" id="0" name="Picture"/>
                    <pic:cNvPicPr>
                      <a:picLocks noChangeArrowheads="1" noChangeAspect="1"/>
                    </pic:cNvPicPr>
                  </pic:nvPicPr>
                  <pic:blipFill>
                    <a:blip r:embed="rId51"/>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3657600" cy="5029200"/>
            <wp:effectExtent b="0" l="0" r="0" t="0"/>
            <wp:docPr descr="Figure 4 Statewide application of the landscape model showing the stream segment classifications. Major regional boundaries are also shown (see Figure 1)." title="" id="1" name="Picture"/>
            <a:graphic>
              <a:graphicData uri="http://schemas.openxmlformats.org/drawingml/2006/picture">
                <pic:pic>
                  <pic:nvPicPr>
                    <pic:cNvPr descr="figs/calires.jpeg" id="0" name="Picture"/>
                    <pic:cNvPicPr>
                      <a:picLocks noChangeArrowheads="1" noChangeAspect="1"/>
                    </pic:cNvPicPr>
                  </pic:nvPicPr>
                  <pic:blipFill>
                    <a:blip r:embed="rId52"/>
                    <a:stretch>
                      <a:fillRect/>
                    </a:stretch>
                  </pic:blipFill>
                  <pic:spPr bwMode="auto">
                    <a:xfrm>
                      <a:off x="0" y="0"/>
                      <a:ext cx="3657600" cy="50292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stream segment classifications. Major regional boundaries are also shown (see Figure</w:t>
      </w:r>
      <w:r>
        <w:t xml:space="preserve"> </w:t>
      </w:r>
      <w:r>
        <w:t xml:space="preserve">1</w:t>
      </w:r>
      <w:r>
        <w:t xml:space="preserve">).</w:t>
      </w:r>
    </w:p>
    <w:p>
      <w:pPr>
        <w:pStyle w:val="CaptionedFigure"/>
      </w:pPr>
      <w:r>
        <w:drawing>
          <wp:inline>
            <wp:extent cx="5029200" cy="4572000"/>
            <wp:effectExtent b="0" l="0" r="0" t="0"/>
            <wp:docPr descr="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jpeg" id="0" name="Picture"/>
                    <pic:cNvPicPr>
                      <a:picLocks noChangeArrowheads="1" noChangeAspect="1"/>
                    </pic:cNvPicPr>
                  </pic:nvPicPr>
                  <pic:blipFill>
                    <a:blip r:embed="rId53"/>
                    <a:stretch>
                      <a:fillRect/>
                    </a:stretch>
                  </pic:blipFill>
                  <pic:spPr bwMode="auto">
                    <a:xfrm>
                      <a:off x="0" y="0"/>
                      <a:ext cx="5029200" cy="4572000"/>
                    </a:xfrm>
                    <a:prstGeom prst="rect">
                      <a:avLst/>
                    </a:prstGeom>
                    <a:noFill/>
                    <a:ln w="9525">
                      <a:noFill/>
                      <a:headEnd/>
                      <a:tailEnd/>
                    </a:ln>
                  </pic:spPr>
                </pic:pic>
              </a:graphicData>
            </a:graphic>
          </wp:inline>
        </w:drawing>
      </w:r>
    </w:p>
    <w:p>
      <w:pPr>
        <w:pStyle w:val="ImageCaption"/>
      </w:pPr>
      <w:r>
        <w:t xml:space="preserve">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4" w:name="tables"/>
      <w:r>
        <w:t xml:space="preserve">Tables</w:t>
      </w:r>
      <w:bookmarkEnd w:id="54"/>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range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range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range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range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5" w:name="references"/>
      <w:r>
        <w:t xml:space="preserve">References</w:t>
      </w:r>
      <w:bookmarkEnd w:id="55"/>
    </w:p>
    <w:bookmarkStart w:id="185" w:name="refs"/>
    <w:bookmarkStart w:id="57"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 149–61.</w:t>
      </w:r>
      <w:r>
        <w:t xml:space="preserve"> </w:t>
      </w:r>
      <w:hyperlink r:id="rId56">
        <w:r>
          <w:rPr>
            <w:rStyle w:val="Hyperlink"/>
          </w:rPr>
          <w:t xml:space="preserve">https://doi.org/10.1046/j.1365-2427.1997.d01-546.x</w:t>
        </w:r>
      </w:hyperlink>
      <w:r>
        <w:t xml:space="preserve">.</w:t>
      </w:r>
    </w:p>
    <w:bookmarkEnd w:id="57"/>
    <w:bookmarkStart w:id="59" w:name="ref-Bailey07"/>
    <w:p>
      <w:pPr>
        <w:pStyle w:val="Bibliography"/>
      </w:pPr>
      <w:r>
        <w:t xml:space="preserve">Bailey, R. C., T. B. Reynoldson, A. G. Yates, J. Bailey, and S. Linke. 2007. “Integrating Stream Bioassessment and Landscape Ecology as a Tool for Land Use Planning.”</w:t>
      </w:r>
      <w:r>
        <w:t xml:space="preserve"> </w:t>
      </w:r>
      <w:r>
        <w:rPr>
          <w:i/>
        </w:rPr>
        <w:t xml:space="preserve">Freshwater Biology</w:t>
      </w:r>
      <w:r>
        <w:t xml:space="preserve"> </w:t>
      </w:r>
      <w:r>
        <w:t xml:space="preserve">52 (5): 908–17.</w:t>
      </w:r>
      <w:r>
        <w:t xml:space="preserve"> </w:t>
      </w:r>
      <w:hyperlink r:id="rId58">
        <w:r>
          <w:rPr>
            <w:rStyle w:val="Hyperlink"/>
          </w:rPr>
          <w:t xml:space="preserve">https://doi.org/10.1111/j.1365-2427.2006.01685.x</w:t>
        </w:r>
      </w:hyperlink>
      <w:r>
        <w:t xml:space="preserve">.</w:t>
      </w:r>
    </w:p>
    <w:bookmarkEnd w:id="59"/>
    <w:bookmarkStart w:id="60" w:name="ref-Beck18d"/>
    <w:p>
      <w:pPr>
        <w:pStyle w:val="Bibliography"/>
      </w:pPr>
      <w:r>
        <w:t xml:space="preserve">Beck, M. W. 2018a. “Constrained streams for biological integrity in California. Knowledge Network for Biocomplexity. urn:uuid:75411f50-32ed-42a5-bbfd-26833c7a441f.”</w:t>
      </w:r>
    </w:p>
    <w:bookmarkEnd w:id="60"/>
    <w:bookmarkStart w:id="62" w:name="ref-Beck18c"/>
    <w:p>
      <w:pPr>
        <w:pStyle w:val="Bibliography"/>
      </w:pPr>
      <w:r>
        <w:t xml:space="preserve">———. 2018b. “SCCWRP/SCAPE: v1.0 (Version 1.0). Zenodo,</w:t>
      </w:r>
      <w:r>
        <w:t xml:space="preserve"> </w:t>
      </w:r>
      <w:hyperlink r:id="rId61">
        <w:r>
          <w:rPr>
            <w:rStyle w:val="Hyperlink"/>
          </w:rPr>
          <w:t xml:space="preserve">http://doi.org/10.5281/zenodo.1218121</w:t>
        </w:r>
      </w:hyperlink>
      <w:r>
        <w:t xml:space="preserve">.”</w:t>
      </w:r>
    </w:p>
    <w:bookmarkEnd w:id="62"/>
    <w:bookmarkStart w:id="64" w:name="ref-Beechi07"/>
    <w:p>
      <w:pPr>
        <w:pStyle w:val="Bibliography"/>
      </w:pPr>
      <w:r>
        <w:t xml:space="preserve">Beechie, T., G. Pess, P. Roni, and G. Giannico. 2007. “Setting River Restoration Priorities: A Review of Approaches and General Protocol for Identifying and Prioritizing Actions.”</w:t>
      </w:r>
      <w:r>
        <w:t xml:space="preserve"> </w:t>
      </w:r>
      <w:r>
        <w:rPr>
          <w:i/>
        </w:rPr>
        <w:t xml:space="preserve">North American Journal of Fisheries Management</w:t>
      </w:r>
      <w:r>
        <w:t xml:space="preserve"> </w:t>
      </w:r>
      <w:r>
        <w:t xml:space="preserve">28 (3): 891–905.</w:t>
      </w:r>
      <w:r>
        <w:t xml:space="preserve"> </w:t>
      </w:r>
      <w:hyperlink r:id="rId63">
        <w:r>
          <w:rPr>
            <w:rStyle w:val="Hyperlink"/>
          </w:rPr>
          <w:t xml:space="preserve">https://doi.org/10.1577/M06-174.1</w:t>
        </w:r>
      </w:hyperlink>
      <w:r>
        <w:t xml:space="preserve">.</w:t>
      </w:r>
    </w:p>
    <w:bookmarkEnd w:id="64"/>
    <w:bookmarkStart w:id="66" w:name="ref-Bernhardt07"/>
    <w:p>
      <w:pPr>
        <w:pStyle w:val="Bibliography"/>
      </w:pPr>
      <w:r>
        <w:t xml:space="preserve">Bernhardt, E. S., E. B. Sudduth, M. A. Palmer, J. D. Allan, J. L. Meyer, G. Alexander, J. Follastad-Shah, et al. 2007. “Restoring Rivers One Reach at a Time: Results from a Survey of U.S. River Restoration Practitioners.”</w:t>
      </w:r>
      <w:r>
        <w:t xml:space="preserve"> </w:t>
      </w:r>
      <w:r>
        <w:rPr>
          <w:i/>
        </w:rPr>
        <w:t xml:space="preserve">Restoration Ecology</w:t>
      </w:r>
      <w:r>
        <w:t xml:space="preserve"> </w:t>
      </w:r>
      <w:r>
        <w:t xml:space="preserve">15 (3): 482–93.</w:t>
      </w:r>
      <w:r>
        <w:t xml:space="preserve"> </w:t>
      </w:r>
      <w:hyperlink r:id="rId65">
        <w:r>
          <w:rPr>
            <w:rStyle w:val="Hyperlink"/>
          </w:rPr>
          <w:t xml:space="preserve">https://doi.org/10.1111/j.1526-100X.2007.00244.x</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 5–32.</w:t>
      </w:r>
    </w:p>
    <w:bookmarkEnd w:id="69"/>
    <w:bookmarkStart w:id="71" w:name="ref-Brody03"/>
    <w:p>
      <w:pPr>
        <w:pStyle w:val="Bibliography"/>
      </w:pPr>
      <w:r>
        <w:t xml:space="preserve">Brody, S. D. 2003. “Measuring the Effects of Stakeholder Participation on the Quality of Local Plans Based on the Principles of Collaborative Ecosystem Management.”</w:t>
      </w:r>
      <w:r>
        <w:t xml:space="preserve"> </w:t>
      </w:r>
      <w:r>
        <w:rPr>
          <w:i/>
        </w:rPr>
        <w:t xml:space="preserve">Journal of Planning Education and Research</w:t>
      </w:r>
      <w:r>
        <w:t xml:space="preserve"> </w:t>
      </w:r>
      <w:r>
        <w:t xml:space="preserve">22 (4): 407–19.</w:t>
      </w:r>
      <w:r>
        <w:t xml:space="preserve"> </w:t>
      </w:r>
      <w:hyperlink r:id="rId70">
        <w:r>
          <w:rPr>
            <w:rStyle w:val="Hyperlink"/>
          </w:rPr>
          <w:t xml:space="preserve">https://doi.org/10.1177/0739456X03022004007</w:t>
        </w:r>
      </w:hyperlink>
      <w:r>
        <w:t xml:space="preserve">.</w:t>
      </w:r>
    </w:p>
    <w:bookmarkEnd w:id="71"/>
    <w:bookmarkStart w:id="73" w:name="ref-Brown09"/>
    <w:p>
      <w:pPr>
        <w:pStyle w:val="Bibliography"/>
      </w:pPr>
      <w:r>
        <w:t xml:space="preserve">Brown, L. R., T. F. Cuffney, J. F. Coles, F. Fitzpatrick, G. McMahon, J. Steuer, A. H. Bell, and J. T. May. 2009. “Urban Streams Across the USA: Lessons Learned from Studies in Nine Metropolitan Areas.”</w:t>
      </w:r>
      <w:r>
        <w:t xml:space="preserve"> </w:t>
      </w:r>
      <w:r>
        <w:rPr>
          <w:i/>
        </w:rPr>
        <w:t xml:space="preserve">Journal of the North American Benthological Society</w:t>
      </w:r>
      <w:r>
        <w:t xml:space="preserve"> </w:t>
      </w:r>
      <w:r>
        <w:t xml:space="preserve">28 (4): 1051–69.</w:t>
      </w:r>
      <w:r>
        <w:t xml:space="preserve"> </w:t>
      </w:r>
      <w:hyperlink r:id="rId72">
        <w:r>
          <w:rPr>
            <w:rStyle w:val="Hyperlink"/>
          </w:rPr>
          <w:t xml:space="preserve">https://doi.org/10.1899/08-153.1</w:t>
        </w:r>
      </w:hyperlink>
      <w:r>
        <w:t xml:space="preserve">.</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 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 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bookmarkEnd w:id="78"/>
    <w:bookmarkStart w:id="80"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 566–85.</w:t>
      </w:r>
      <w:r>
        <w:t xml:space="preserve"> </w:t>
      </w:r>
      <w:hyperlink r:id="rId79">
        <w:r>
          <w:rPr>
            <w:rStyle w:val="Hyperlink"/>
          </w:rPr>
          <w:t xml:space="preserve">https://doi.org/10.1899/06-078.1</w:t>
        </w:r>
      </w:hyperlink>
      <w:r>
        <w:t xml:space="preserve">.</w:t>
      </w:r>
    </w:p>
    <w:bookmarkEnd w:id="80"/>
    <w:bookmarkStart w:id="82"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 731–42.</w:t>
      </w:r>
      <w:r>
        <w:t xml:space="preserve"> </w:t>
      </w:r>
      <w:hyperlink r:id="rId81">
        <w:r>
          <w:rPr>
            <w:rStyle w:val="Hyperlink"/>
          </w:rPr>
          <w:t xml:space="preserve">https://doi.org/10.1111/j.1526-100X.2007.00285.x</w:t>
        </w:r>
      </w:hyperlink>
      <w:r>
        <w:t xml:space="preserve">.</w:t>
      </w:r>
    </w:p>
    <w:bookmarkEnd w:id="82"/>
    <w:bookmarkStart w:id="84"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w:t>
      </w:r>
      <w:r>
        <w:t xml:space="preserve"> </w:t>
      </w:r>
      <w:hyperlink r:id="rId83">
        <w:r>
          <w:rPr>
            <w:rStyle w:val="Hyperlink"/>
          </w:rPr>
          <w:t xml:space="preserve">https://doi.org/10.1007/s10661-008-0256-z</w:t>
        </w:r>
      </w:hyperlink>
      <w:r>
        <w:t xml:space="preserve">.</w:t>
      </w:r>
    </w:p>
    <w:bookmarkEnd w:id="84"/>
    <w:bookmarkStart w:id="86"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w:t>
      </w:r>
      <w:r>
        <w:t xml:space="preserve"> </w:t>
      </w:r>
      <w:hyperlink r:id="rId85">
        <w:r>
          <w:rPr>
            <w:rStyle w:val="Hyperlink"/>
          </w:rPr>
          <w:t xml:space="preserve">https://doi.org/10.1016/j.ecolind.2013.07.006</w:t>
        </w:r>
      </w:hyperlink>
      <w:r>
        <w:t xml:space="preserve">.</w:t>
      </w:r>
    </w:p>
    <w:bookmarkEnd w:id="86"/>
    <w:bookmarkStart w:id="88"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 1261–71.</w:t>
      </w:r>
      <w:r>
        <w:t xml:space="preserve"> </w:t>
      </w:r>
      <w:hyperlink r:id="rId87">
        <w:r>
          <w:rPr>
            <w:rStyle w:val="Hyperlink"/>
          </w:rPr>
          <w:t xml:space="preserve">https://doi.org/10.1086/678701</w:t>
        </w:r>
      </w:hyperlink>
      <w:r>
        <w:t xml:space="preserve">.</w:t>
      </w:r>
    </w:p>
    <w:bookmarkEnd w:id="88"/>
    <w:bookmarkStart w:id="90"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 103–17.</w:t>
      </w:r>
      <w:r>
        <w:t xml:space="preserve"> </w:t>
      </w:r>
      <w:hyperlink r:id="rId89">
        <w:r>
          <w:rPr>
            <w:rStyle w:val="Hyperlink"/>
          </w:rPr>
          <w:t xml:space="preserve">https://doi.org/10.1002/rra.1053</w:t>
        </w:r>
      </w:hyperlink>
      <w:r>
        <w:t xml:space="preserve">.</w:t>
      </w:r>
    </w:p>
    <w:bookmarkEnd w:id="90"/>
    <w:bookmarkStart w:id="92"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 599–615.</w:t>
      </w:r>
      <w:r>
        <w:t xml:space="preserve"> </w:t>
      </w:r>
      <w:hyperlink r:id="rId91">
        <w:r>
          <w:rPr>
            <w:rStyle w:val="Hyperlink"/>
          </w:rPr>
          <w:t xml:space="preserve">https://doi.org/10.1899/0887-3593(2004)023%3C0599:BWRSUO%3E2.0.CO;2</w:t>
        </w:r>
      </w:hyperlink>
      <w:r>
        <w:t xml:space="preserve">.</w:t>
      </w:r>
    </w:p>
    <w:bookmarkEnd w:id="92"/>
    <w:bookmarkStart w:id="94"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 74–90.</w:t>
      </w:r>
      <w:r>
        <w:t xml:space="preserve"> </w:t>
      </w:r>
      <w:hyperlink r:id="rId93">
        <w:r>
          <w:rPr>
            <w:rStyle w:val="Hyperlink"/>
          </w:rPr>
          <w:t xml:space="preserve">https://doi.org/10.1111/j.1365-2427.2011.02696.x</w:t>
        </w:r>
      </w:hyperlink>
      <w:r>
        <w:t xml:space="preserve">.</w:t>
      </w:r>
    </w:p>
    <w:bookmarkEnd w:id="94"/>
    <w:bookmarkStart w:id="96" w:name="ref-Cuffney11"/>
    <w:p>
      <w:pPr>
        <w:pStyle w:val="Bibliography"/>
      </w:pPr>
      <w:r>
        <w:t xml:space="preserve">Cuffney, T. F., S. S. Qian, R. A. Brightbill, J. T. May, and I. R. Waite. 2011. “Response to King and Baker: Limitations on Threshold Detection and Characterization of Community Thresholds.”</w:t>
      </w:r>
      <w:r>
        <w:t xml:space="preserve"> </w:t>
      </w:r>
      <w:r>
        <w:rPr>
          <w:i/>
        </w:rPr>
        <w:t xml:space="preserve">Ecological Applications</w:t>
      </w:r>
      <w:r>
        <w:t xml:space="preserve"> </w:t>
      </w:r>
      <w:r>
        <w:t xml:space="preserve">21 (7): 2840–5.</w:t>
      </w:r>
      <w:r>
        <w:t xml:space="preserve"> </w:t>
      </w:r>
      <w:hyperlink r:id="rId95">
        <w:r>
          <w:rPr>
            <w:rStyle w:val="Hyperlink"/>
          </w:rPr>
          <w:t xml:space="preserve">https://doi.org/10.2307/41416699</w:t>
        </w:r>
      </w:hyperlink>
      <w:r>
        <w:t xml:space="preserve">.</w:t>
      </w:r>
    </w:p>
    <w:bookmarkEnd w:id="96"/>
    <w:bookmarkStart w:id="97"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 1251–66.</w:t>
      </w:r>
    </w:p>
    <w:bookmarkEnd w:id="97"/>
    <w:bookmarkStart w:id="99" w:name="ref-Domi15"/>
    <w:p>
      <w:pPr>
        <w:pStyle w:val="Bibliography"/>
      </w:pPr>
      <w:r>
        <w:t xml:space="preserve">Domisch, S., G. Amatulli, and W. Jetz. 2015. “Near-Global Freshwater-Specific Environmental Variables for Biodiversity Analyses in 1 Km Resolution.”</w:t>
      </w:r>
      <w:r>
        <w:t xml:space="preserve"> </w:t>
      </w:r>
      <w:r>
        <w:rPr>
          <w:i/>
        </w:rPr>
        <w:t xml:space="preserve">Scientific Data</w:t>
      </w:r>
      <w:r>
        <w:t xml:space="preserve"> </w:t>
      </w:r>
      <w:r>
        <w:t xml:space="preserve">2: 150073.</w:t>
      </w:r>
      <w:r>
        <w:t xml:space="preserve"> </w:t>
      </w:r>
      <w:hyperlink r:id="rId98">
        <w:r>
          <w:rPr>
            <w:rStyle w:val="Hyperlink"/>
          </w:rPr>
          <w:t xml:space="preserve">https://doi.org/10.1038/sdata.2015.73</w:t>
        </w:r>
      </w:hyperlink>
      <w:r>
        <w:t xml:space="preserve">.</w:t>
      </w:r>
    </w:p>
    <w:bookmarkEnd w:id="99"/>
    <w:bookmarkStart w:id="100" w:name="ref-ESRI16"/>
    <w:p>
      <w:pPr>
        <w:pStyle w:val="Bibliography"/>
      </w:pPr>
      <w:r>
        <w:t xml:space="preserve">ESRI (Environmental Systems Research Institute). 2016. “ArcGIS v10.5.”</w:t>
      </w:r>
    </w:p>
    <w:bookmarkEnd w:id="100"/>
    <w:bookmarkStart w:id="102"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 1149–60.</w:t>
      </w:r>
      <w:r>
        <w:t xml:space="preserve"> </w:t>
      </w:r>
      <w:hyperlink r:id="rId101">
        <w:r>
          <w:rPr>
            <w:rStyle w:val="Hyperlink"/>
          </w:rPr>
          <w:t xml:space="preserve">https://doi.org/10.1111/j.1752-1688.2000.tb05717.x</w:t>
        </w:r>
      </w:hyperlink>
      <w:r>
        <w:t xml:space="preserve">.</w:t>
      </w:r>
    </w:p>
    <w:bookmarkEnd w:id="102"/>
    <w:bookmarkStart w:id="103"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103"/>
    <w:bookmarkStart w:id="10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 316.</w:t>
      </w:r>
      <w:r>
        <w:t xml:space="preserve"> </w:t>
      </w:r>
      <w:hyperlink r:id="rId104">
        <w:r>
          <w:rPr>
            <w:rStyle w:val="Hyperlink"/>
          </w:rPr>
          <w:t xml:space="preserve">https://doi.org/10.1007/s10661-017-6025-0</w:t>
        </w:r>
      </w:hyperlink>
      <w:r>
        <w:t xml:space="preserve">.</w:t>
      </w:r>
    </w:p>
    <w:bookmarkEnd w:id="105"/>
    <w:bookmarkStart w:id="106"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 858–64.</w:t>
      </w:r>
    </w:p>
    <w:bookmarkEnd w:id="106"/>
    <w:bookmarkStart w:id="10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7"/>
    <w:bookmarkStart w:id="10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 2397–2415.</w:t>
      </w:r>
      <w:r>
        <w:t xml:space="preserve"> </w:t>
      </w:r>
      <w:hyperlink r:id="rId108">
        <w:r>
          <w:rPr>
            <w:rStyle w:val="Hyperlink"/>
          </w:rPr>
          <w:t xml:space="preserve">https://doi.org/10.1002/eap.1617</w:t>
        </w:r>
      </w:hyperlink>
      <w:r>
        <w:t xml:space="preserve">.</w:t>
      </w:r>
    </w:p>
    <w:bookmarkEnd w:id="109"/>
    <w:bookmarkStart w:id="11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Association</w:t>
      </w:r>
      <w:r>
        <w:t xml:space="preserve"> </w:t>
      </w:r>
      <w:r>
        <w:t xml:space="preserve">52: 120–28.</w:t>
      </w:r>
      <w:r>
        <w:t xml:space="preserve"> </w:t>
      </w:r>
      <w:hyperlink r:id="rId110">
        <w:r>
          <w:rPr>
            <w:rStyle w:val="Hyperlink"/>
          </w:rPr>
          <w:t xml:space="preserve">https://doi.org/10.1111/1752-1688.12372</w:t>
        </w:r>
      </w:hyperlink>
      <w:r>
        <w:t xml:space="preserve">.</w:t>
      </w:r>
    </w:p>
    <w:bookmarkEnd w:id="111"/>
    <w:bookmarkStart w:id="11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w:t>
      </w:r>
      <w:r>
        <w:t xml:space="preserve"> </w:t>
      </w:r>
      <w:hyperlink r:id="rId112">
        <w:r>
          <w:rPr>
            <w:rStyle w:val="Hyperlink"/>
          </w:rPr>
          <w:t xml:space="preserve">https://doi.org/10.1086/697996</w:t>
        </w:r>
      </w:hyperlink>
      <w:r>
        <w:t xml:space="preserve">.</w:t>
      </w:r>
    </w:p>
    <w:bookmarkEnd w:id="113"/>
    <w:bookmarkStart w:id="115" w:name="ref-Hynes75"/>
    <w:p>
      <w:pPr>
        <w:pStyle w:val="Bibliography"/>
      </w:pPr>
      <w:r>
        <w:t xml:space="preserve">Hynes, H. B. N. 1975. “The Stream and Its Valley.”</w:t>
      </w:r>
      <w:r>
        <w:t xml:space="preserve"> </w:t>
      </w:r>
      <w:r>
        <w:rPr>
          <w:i/>
        </w:rPr>
        <w:t xml:space="preserve">SIL Proceedings, 1922-2010</w:t>
      </w:r>
      <w:r>
        <w:t xml:space="preserve"> </w:t>
      </w:r>
      <w:r>
        <w:t xml:space="preserve">19 (1): 1–15.</w:t>
      </w:r>
      <w:r>
        <w:t xml:space="preserve"> </w:t>
      </w:r>
      <w:hyperlink r:id="rId114">
        <w:r>
          <w:rPr>
            <w:rStyle w:val="Hyperlink"/>
          </w:rPr>
          <w:t xml:space="preserve">https://doi.org/10.1080/03680770.1974.11896033</w:t>
        </w:r>
      </w:hyperlink>
      <w:r>
        <w:t xml:space="preserve">.</w:t>
      </w:r>
    </w:p>
    <w:bookmarkEnd w:id="115"/>
    <w:bookmarkStart w:id="117" w:name="ref-Johnson97"/>
    <w:p>
      <w:pPr>
        <w:pStyle w:val="Bibliography"/>
      </w:pPr>
      <w:r>
        <w:t xml:space="preserve">Johnson, L., C. Richards, G. Host, and J. Arthur. 1997. “Landscape Influences on Water Chemistry in Midwestern Stream Ecosystems.”</w:t>
      </w:r>
      <w:r>
        <w:t xml:space="preserve"> </w:t>
      </w:r>
      <w:r>
        <w:rPr>
          <w:i/>
        </w:rPr>
        <w:t xml:space="preserve">Freshwater Biology</w:t>
      </w:r>
      <w:r>
        <w:t xml:space="preserve"> </w:t>
      </w:r>
      <w:r>
        <w:t xml:space="preserve">37 (1): 193–208.</w:t>
      </w:r>
      <w:r>
        <w:t xml:space="preserve"> </w:t>
      </w:r>
      <w:hyperlink r:id="rId116">
        <w:r>
          <w:rPr>
            <w:rStyle w:val="Hyperlink"/>
          </w:rPr>
          <w:t xml:space="preserve">https://doi.org/10.1046/j.1365-2427.1997.d01-539.x</w:t>
        </w:r>
      </w:hyperlink>
      <w:r>
        <w:t xml:space="preserve">.</w:t>
      </w:r>
    </w:p>
    <w:bookmarkEnd w:id="117"/>
    <w:bookmarkStart w:id="118"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8"/>
    <w:bookmarkStart w:id="12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w:t>
      </w:r>
      <w:r>
        <w:t xml:space="preserve"> </w:t>
      </w:r>
      <w:hyperlink r:id="rId119">
        <w:r>
          <w:rPr>
            <w:rStyle w:val="Hyperlink"/>
          </w:rPr>
          <w:t xml:space="preserve">https://doi.org/10.1111/j.1752-1688.2011.00635.x</w:t>
        </w:r>
      </w:hyperlink>
      <w:r>
        <w:t xml:space="preserve">.</w:t>
      </w:r>
    </w:p>
    <w:bookmarkEnd w:id="120"/>
    <w:bookmarkStart w:id="121" w:name="ref-Koenker99"/>
    <w:p>
      <w:pPr>
        <w:pStyle w:val="Bibliography"/>
      </w:pPr>
      <w:r>
        <w:t xml:space="preserve">Koenker, R., and J. A. F. Machado. 1999. “Goodness of Fit and Related Inference Processes for Quantile Regression.”</w:t>
      </w:r>
      <w:r>
        <w:t xml:space="preserve"> </w:t>
      </w:r>
      <w:r>
        <w:rPr>
          <w:i/>
        </w:rPr>
        <w:t xml:space="preserve">Journal of the American Statistical Association</w:t>
      </w:r>
      <w:r>
        <w:t xml:space="preserve"> </w:t>
      </w:r>
      <w:r>
        <w:t xml:space="preserve">94 (448): 1296–1310.</w:t>
      </w:r>
    </w:p>
    <w:bookmarkEnd w:id="121"/>
    <w:bookmarkStart w:id="123"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 310–26.</w:t>
      </w:r>
      <w:r>
        <w:t xml:space="preserve"> </w:t>
      </w:r>
      <w:hyperlink r:id="rId122">
        <w:r>
          <w:rPr>
            <w:rStyle w:val="Hyperlink"/>
          </w:rPr>
          <w:t xml:space="preserve">https://doi.org/10.1007%2Fs00267-008-9151-1</w:t>
        </w:r>
      </w:hyperlink>
      <w:r>
        <w:t xml:space="preserve">.</w:t>
      </w:r>
    </w:p>
    <w:bookmarkEnd w:id="123"/>
    <w:bookmarkStart w:id="125"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 124–34.</w:t>
      </w:r>
      <w:r>
        <w:t xml:space="preserve"> </w:t>
      </w:r>
      <w:hyperlink r:id="rId124">
        <w:r>
          <w:rPr>
            <w:rStyle w:val="Hyperlink"/>
          </w:rPr>
          <w:t xml:space="preserve">https://doi.org/10.3368/er.34.2.124</w:t>
        </w:r>
      </w:hyperlink>
      <w:r>
        <w:t xml:space="preserve">.</w:t>
      </w:r>
    </w:p>
    <w:bookmarkEnd w:id="125"/>
    <w:bookmarkStart w:id="126" w:name="ref-Mazor15"/>
    <w:p>
      <w:pPr>
        <w:pStyle w:val="Bibliography"/>
      </w:pPr>
      <w:r>
        <w:t xml:space="preserve">Mazor, R. D. 2015. “Bioassessment of Perennial Streams in Southern California: A Report on the First Five Years of the Stormwater Monitoring Coalition’s Regional Stream Survey.” 844. Costa Mesa, California: Southern California Coastal Water Research Project.</w:t>
      </w:r>
    </w:p>
    <w:bookmarkEnd w:id="126"/>
    <w:bookmarkStart w:id="127" w:name="ref-Mazor18"/>
    <w:p>
      <w:pPr>
        <w:pStyle w:val="Bibliography"/>
      </w:pPr>
      <w:r>
        <w:t xml:space="preserve">Mazor, R. D., M. W. Beck, and J. Brown. 2018. “2017 Report on the SMC Regional Stream Survey.” 1029. Costa Mesa, California: Southern California Coastal Water Research Project.</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bookmarkEnd w:id="128"/>
    <w:bookmarkStart w:id="130"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 459–74.</w:t>
      </w:r>
      <w:r>
        <w:t xml:space="preserve"> </w:t>
      </w:r>
      <w:hyperlink r:id="rId129">
        <w:r>
          <w:rPr>
            <w:rStyle w:val="Hyperlink"/>
          </w:rPr>
          <w:t xml:space="preserve">https://doi.org/10.1086/675683</w:t>
        </w:r>
      </w:hyperlink>
      <w:r>
        <w:t xml:space="preserve">.</w:t>
      </w:r>
    </w:p>
    <w:bookmarkEnd w:id="130"/>
    <w:bookmarkStart w:id="131" w:name="ref-McKay12"/>
    <w:p>
      <w:pPr>
        <w:pStyle w:val="Bibliography"/>
      </w:pPr>
      <w:r>
        <w:t xml:space="preserve">McKay, L., T. Bondelid, T. Dewald, J. Johnston, R. Moore, and A. Reah. 2012. “NHDPlus Version 2: User Guide.”</w:t>
      </w:r>
    </w:p>
    <w:bookmarkEnd w:id="131"/>
    <w:bookmarkStart w:id="13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bookmarkEnd w:id="132"/>
    <w:bookmarkStart w:id="13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33">
        <w:r>
          <w:rPr>
            <w:rStyle w:val="Hyperlink"/>
          </w:rPr>
          <w:t xml:space="preserve">https://CRAN.R-project.org/package=quantregForest</w:t>
        </w:r>
      </w:hyperlink>
      <w:r>
        <w:t xml:space="preserve">.</w:t>
      </w:r>
    </w:p>
    <w:bookmarkEnd w:id="134"/>
    <w:bookmarkStart w:id="135" w:name="ref-MBI16"/>
    <w:p>
      <w:pPr>
        <w:pStyle w:val="Bibliography"/>
      </w:pPr>
      <w:r>
        <w:t xml:space="preserve">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35"/>
    <w:bookmarkStart w:id="136"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 643–55.</w:t>
      </w:r>
    </w:p>
    <w:bookmarkEnd w:id="136"/>
    <w:bookmarkStart w:id="138"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 41–52.</w:t>
      </w:r>
      <w:r>
        <w:t xml:space="preserve"> </w:t>
      </w:r>
      <w:hyperlink r:id="rId137">
        <w:r>
          <w:rPr>
            <w:rStyle w:val="Hyperlink"/>
          </w:rPr>
          <w:t xml:space="preserve">https://doi.org/10.1111/j.1365-2427.1987.tb01027.x</w:t>
        </w:r>
      </w:hyperlink>
      <w:r>
        <w:t xml:space="preserve">.</w:t>
      </w:r>
    </w:p>
    <w:bookmarkEnd w:id="138"/>
    <w:bookmarkStart w:id="140" w:name="ref-Nel09"/>
    <w:p>
      <w:pPr>
        <w:pStyle w:val="Bibliography"/>
      </w:pPr>
      <w:r>
        <w:t xml:space="preserve">Nel, J. L., D. J. Roux, R. Abell, P. J. Ashton, R. M. Cowling, J. V. Higgins, M. Thieme, and J. H. Viers. 2009. “Progress and Challenges in Freshwater Conversation Planning.”</w:t>
      </w:r>
      <w:r>
        <w:t xml:space="preserve"> </w:t>
      </w:r>
      <w:r>
        <w:rPr>
          <w:i/>
        </w:rPr>
        <w:t xml:space="preserve">Aquatic Conservation: Marine and Freshwater Ecosystems</w:t>
      </w:r>
      <w:r>
        <w:t xml:space="preserve"> </w:t>
      </w:r>
      <w:r>
        <w:t xml:space="preserve">19 (4): 474–85.</w:t>
      </w:r>
      <w:r>
        <w:t xml:space="preserve"> </w:t>
      </w:r>
      <w:hyperlink r:id="rId139">
        <w:r>
          <w:rPr>
            <w:rStyle w:val="Hyperlink"/>
          </w:rPr>
          <w:t xml:space="preserve">https://doi.org/10.1002/aqc.1010</w:t>
        </w:r>
      </w:hyperlink>
      <w:r>
        <w:t xml:space="preserve">.</w:t>
      </w:r>
    </w:p>
    <w:bookmarkEnd w:id="140"/>
    <w:bookmarkStart w:id="142"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141">
        <w:r>
          <w:rPr>
            <w:rStyle w:val="Hyperlink"/>
          </w:rPr>
          <w:t xml:space="preserve">https://www.waterboards.ca.gov/water_issues/programs/swamp/bioassessment/docs/combined_sop_2016.pdf</w:t>
        </w:r>
      </w:hyperlink>
      <w:r>
        <w:t xml:space="preserve">.</w:t>
      </w:r>
    </w:p>
    <w:bookmarkEnd w:id="142"/>
    <w:bookmarkStart w:id="144"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Sacramento, California: A collaboration between the State Water Resources Control Board’s Non-Point Source Pollution Control Program (NPS Program), Surface Water Ambient Monitoring Program (SWAMP), California Department of Fish; Game Aquatic Bioassessment Laboratory,; the U.S. Environmental Protection Agency.</w:t>
      </w:r>
      <w:r>
        <w:t xml:space="preserve"> </w:t>
      </w:r>
      <w:hyperlink r:id="rId143">
        <w:r>
          <w:rPr>
            <w:rStyle w:val="Hyperlink"/>
          </w:rPr>
          <w:t xml:space="preserve">https://www.waterboards.ca.gov/water_issues/programs/swamp/docs/reports/psa_smmry_rpt.pdf</w:t>
        </w:r>
      </w:hyperlink>
      <w:r>
        <w:t xml:space="preserve">.</w:t>
      </w:r>
    </w:p>
    <w:bookmarkEnd w:id="144"/>
    <w:bookmarkStart w:id="14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bookmarkEnd w:id="145"/>
    <w:bookmarkStart w:id="147"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 320–30.</w:t>
      </w:r>
      <w:r>
        <w:t xml:space="preserve"> </w:t>
      </w:r>
      <w:hyperlink r:id="rId146">
        <w:r>
          <w:rPr>
            <w:rStyle w:val="Hyperlink"/>
          </w:rPr>
          <w:t xml:space="preserve">https://doi.org/10.1111/j.1752-1688.2008.00280.x</w:t>
        </w:r>
      </w:hyperlink>
      <w:r>
        <w:t xml:space="preserve">.</w:t>
      </w:r>
    </w:p>
    <w:bookmarkEnd w:id="147"/>
    <w:bookmarkStart w:id="149" w:name="ref-Quinn08"/>
    <w:p>
      <w:pPr>
        <w:pStyle w:val="Bibliography"/>
      </w:pPr>
      <w:r>
        <w:t xml:space="preserve">Quinn, J. M., and A. E. Wright-Stow. 2008. “Stream Size Influences Stream Temperature Impacts and Recovery Rates After Clearfell Logging.”</w:t>
      </w:r>
      <w:r>
        <w:t xml:space="preserve"> </w:t>
      </w:r>
      <w:r>
        <w:rPr>
          <w:i/>
        </w:rPr>
        <w:t xml:space="preserve">Forest Ecology and Management</w:t>
      </w:r>
      <w:r>
        <w:t xml:space="preserve"> </w:t>
      </w:r>
      <w:r>
        <w:t xml:space="preserve">256 (12): 2101–9.</w:t>
      </w:r>
      <w:r>
        <w:t xml:space="preserve"> </w:t>
      </w:r>
      <w:hyperlink r:id="rId148">
        <w:r>
          <w:rPr>
            <w:rStyle w:val="Hyperlink"/>
          </w:rPr>
          <w:t xml:space="preserve">https://doi.org/10.1016/j.foreco.2008.07.041</w:t>
        </w:r>
      </w:hyperlink>
      <w:r>
        <w:t xml:space="preserve">.</w:t>
      </w:r>
    </w:p>
    <w:bookmarkEnd w:id="149"/>
    <w:bookmarkStart w:id="150" w:name="ref-RDCT18"/>
    <w:p>
      <w:pPr>
        <w:pStyle w:val="Bibliography"/>
      </w:pPr>
      <w:r>
        <w:t xml:space="preserve">RDCT (R Development Core Team). 2018. “R: A language and environment for statistical computing, v3.5.1. R Foundation for Statistical Computing, Vienna, Austria.”</w:t>
      </w:r>
    </w:p>
    <w:bookmarkEnd w:id="150"/>
    <w:bookmarkStart w:id="152" w:name="ref-Reed08"/>
    <w:p>
      <w:pPr>
        <w:pStyle w:val="Bibliography"/>
      </w:pPr>
      <w:r>
        <w:t xml:space="preserve">Reed, M. S. 2008. “Stakeholder Participation for Environmental Management: A Literature Review.”</w:t>
      </w:r>
      <w:r>
        <w:t xml:space="preserve"> </w:t>
      </w:r>
      <w:r>
        <w:rPr>
          <w:i/>
        </w:rPr>
        <w:t xml:space="preserve">Biological Conservation</w:t>
      </w:r>
      <w:r>
        <w:t xml:space="preserve"> </w:t>
      </w:r>
      <w:r>
        <w:t xml:space="preserve">141 (10): 2417–31.</w:t>
      </w:r>
      <w:r>
        <w:t xml:space="preserve"> </w:t>
      </w:r>
      <w:hyperlink r:id="rId151">
        <w:r>
          <w:rPr>
            <w:rStyle w:val="Hyperlink"/>
          </w:rPr>
          <w:t xml:space="preserve">https://doi.org/10.1016/j.biocon.2008.07.014</w:t>
        </w:r>
      </w:hyperlink>
      <w:r>
        <w:t xml:space="preserve">.</w:t>
      </w:r>
    </w:p>
    <w:bookmarkEnd w:id="152"/>
    <w:bookmarkStart w:id="154" w:name="ref-Rehn15"/>
    <w:p>
      <w:pPr>
        <w:pStyle w:val="Bibliography"/>
      </w:pPr>
      <w:r>
        <w:t xml:space="preserve">Rehn, A. C. 2015. “The Perennial Streams Assessment (PSA): An Assessment of Biological Condition Using the New California Stream Condition Index (CSCI).” SWAMP Management Memorandum, SWAMP-MM-2015-0001. Sacramento, California: California State Water Resources Control Board Surface Water Ambient Monitoring Program.</w:t>
      </w:r>
      <w:r>
        <w:t xml:space="preserve"> </w:t>
      </w:r>
      <w:hyperlink r:id="rId153">
        <w:r>
          <w:rPr>
            <w:rStyle w:val="Hyperlink"/>
          </w:rPr>
          <w:t xml:space="preserve">https://www.waterboards.ca.gov/water_issues/programs/swamp/bioassessment/docs/psa_memo_121015.pdf</w:t>
        </w:r>
      </w:hyperlink>
      <w:r>
        <w:t xml:space="preserve">.</w:t>
      </w:r>
    </w:p>
    <w:bookmarkEnd w:id="154"/>
    <w:bookmarkStart w:id="156"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r>
        <w:t xml:space="preserve"> </w:t>
      </w:r>
      <w:hyperlink r:id="rId155">
        <w:r>
          <w:rPr>
            <w:rStyle w:val="Hyperlink"/>
          </w:rPr>
          <w:t xml:space="preserve">https://doi.org/10.2307/1468175</w:t>
        </w:r>
      </w:hyperlink>
      <w:r>
        <w:t xml:space="preserve">.</w:t>
      </w:r>
    </w:p>
    <w:bookmarkEnd w:id="156"/>
    <w:bookmarkStart w:id="158" w:name="ref-Richards97"/>
    <w:p>
      <w:pPr>
        <w:pStyle w:val="Bibliography"/>
      </w:pPr>
      <w:r>
        <w:t xml:space="preserve">Richards, C., R. Haro, L. Johnson, and G. Host. 1997. “Catchment and Reach-Scale Properties as Indicators of Macroinvertebrate Species Traits.”</w:t>
      </w:r>
      <w:r>
        <w:t xml:space="preserve"> </w:t>
      </w:r>
      <w:r>
        <w:rPr>
          <w:i/>
        </w:rPr>
        <w:t xml:space="preserve">Freshwater Biology</w:t>
      </w:r>
      <w:r>
        <w:t xml:space="preserve"> </w:t>
      </w:r>
      <w:r>
        <w:t xml:space="preserve">37 (1): 219–30.</w:t>
      </w:r>
      <w:r>
        <w:t xml:space="preserve"> </w:t>
      </w:r>
      <w:hyperlink r:id="rId157">
        <w:r>
          <w:rPr>
            <w:rStyle w:val="Hyperlink"/>
          </w:rPr>
          <w:t xml:space="preserve">https://doi.org/10.1046/j.1365-2427.1997.d01-540.x</w:t>
        </w:r>
      </w:hyperlink>
      <w:r>
        <w:t xml:space="preserve">.</w:t>
      </w:r>
    </w:p>
    <w:bookmarkEnd w:id="158"/>
    <w:bookmarkStart w:id="159"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59"/>
    <w:bookmarkStart w:id="161"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w:t>
      </w:r>
      <w:r>
        <w:t xml:space="preserve"> </w:t>
      </w:r>
      <w:hyperlink r:id="rId160">
        <w:r>
          <w:rPr>
            <w:rStyle w:val="Hyperlink"/>
          </w:rPr>
          <w:t xml:space="preserve">https://doi.org/10.1111/gec3.12039</w:t>
        </w:r>
      </w:hyperlink>
      <w:r>
        <w:t xml:space="preserve">.</w:t>
      </w:r>
    </w:p>
    <w:bookmarkEnd w:id="161"/>
    <w:bookmarkStart w:id="163"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w:t>
      </w:r>
      <w:r>
        <w:t xml:space="preserve"> </w:t>
      </w:r>
      <w:hyperlink r:id="rId162">
        <w:r>
          <w:rPr>
            <w:rStyle w:val="Hyperlink"/>
          </w:rPr>
          <w:t xml:space="preserve">https://doi.org/10.1007/s10661-010-1385-8</w:t>
        </w:r>
      </w:hyperlink>
      <w:r>
        <w:t xml:space="preserve">.</w:t>
      </w:r>
    </w:p>
    <w:bookmarkEnd w:id="163"/>
    <w:bookmarkStart w:id="164" w:name="ref-Smeets99"/>
    <w:p>
      <w:pPr>
        <w:pStyle w:val="Bibliography"/>
      </w:pPr>
      <w:r>
        <w:t xml:space="preserve">Smeets, E., and R. Weterings. 1999. “Environmental Indicators: Typology and Overview.” No. 25. Copenhagen, Denmark: European Environmental Agency.</w:t>
      </w:r>
    </w:p>
    <w:bookmarkEnd w:id="164"/>
    <w:bookmarkStart w:id="16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 780–92.</w:t>
      </w:r>
      <w:r>
        <w:t xml:space="preserve"> </w:t>
      </w:r>
      <w:hyperlink r:id="rId165">
        <w:r>
          <w:rPr>
            <w:rStyle w:val="Hyperlink"/>
          </w:rPr>
          <w:t xml:space="preserve">https://doi.org/10.1111/jawr.12035</w:t>
        </w:r>
      </w:hyperlink>
      <w:r>
        <w:t xml:space="preserve">.</w:t>
      </w:r>
    </w:p>
    <w:bookmarkEnd w:id="166"/>
    <w:bookmarkStart w:id="168"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w:t>
      </w:r>
      <w:r>
        <w:t xml:space="preserve"> </w:t>
      </w:r>
      <w:r>
        <w:rPr>
          <w:i/>
        </w:rPr>
        <w:t xml:space="preserve">Ecohydrology</w:t>
      </w:r>
      <w:r>
        <w:t xml:space="preserve"> </w:t>
      </w:r>
      <w:r>
        <w:t xml:space="preserve">10 (7): e1869.</w:t>
      </w:r>
      <w:r>
        <w:t xml:space="preserve"> </w:t>
      </w:r>
      <w:hyperlink r:id="rId167">
        <w:r>
          <w:rPr>
            <w:rStyle w:val="Hyperlink"/>
          </w:rPr>
          <w:t xml:space="preserve">https://doi.org/10.1002/eco.1869</w:t>
        </w:r>
      </w:hyperlink>
      <w:r>
        <w:t xml:space="preserve">.</w:t>
      </w:r>
    </w:p>
    <w:bookmarkEnd w:id="168"/>
    <w:bookmarkStart w:id="17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 1267–76.</w:t>
      </w:r>
      <w:r>
        <w:t xml:space="preserve"> </w:t>
      </w:r>
      <w:hyperlink r:id="rId169">
        <w:r>
          <w:rPr>
            <w:rStyle w:val="Hyperlink"/>
          </w:rPr>
          <w:t xml:space="preserve">https://doi.org/10.1890/1051-0761(2006)016[1267:SEFTEC]2.0.CO;2</w:t>
        </w:r>
      </w:hyperlink>
      <w:r>
        <w:t xml:space="preserve">.</w:t>
      </w:r>
    </w:p>
    <w:bookmarkEnd w:id="170"/>
    <w:bookmarkStart w:id="172" w:name="ref-Stone98"/>
    <w:p>
      <w:pPr>
        <w:pStyle w:val="Bibliography"/>
      </w:pPr>
      <w:r>
        <w:t xml:space="preserve">Stone, M. K., and J. B. Wallace. 1998. “Long-Term Recovery of a Mountain Stream from Clear-Cut Logging: The Effects of Forest Succession on Benthic Invertebrate Community Structure.”</w:t>
      </w:r>
      <w:r>
        <w:t xml:space="preserve"> </w:t>
      </w:r>
      <w:r>
        <w:rPr>
          <w:i/>
        </w:rPr>
        <w:t xml:space="preserve">Freshwater Biology</w:t>
      </w:r>
      <w:r>
        <w:t xml:space="preserve"> </w:t>
      </w:r>
      <w:r>
        <w:t xml:space="preserve">39 (1): 151–69.</w:t>
      </w:r>
      <w:r>
        <w:t xml:space="preserve"> </w:t>
      </w:r>
      <w:hyperlink r:id="rId171">
        <w:r>
          <w:rPr>
            <w:rStyle w:val="Hyperlink"/>
          </w:rPr>
          <w:t xml:space="preserve">https://doi.org/10.1046/j.1365-2427.1998.00272.x</w:t>
        </w:r>
      </w:hyperlink>
      <w:r>
        <w:t xml:space="preserve">.</w:t>
      </w:r>
    </w:p>
    <w:bookmarkEnd w:id="172"/>
    <w:bookmarkStart w:id="173"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73"/>
    <w:bookmarkStart w:id="174" w:name="ref-USGS99"/>
    <w:p>
      <w:pPr>
        <w:pStyle w:val="Bibliography"/>
      </w:pPr>
      <w:r>
        <w:t xml:space="preserve">USGS (US Geological Survey). 1999. “The quality of our nation’s waters: nutrients and pesticides.” Reston, Virginia.</w:t>
      </w:r>
    </w:p>
    <w:bookmarkEnd w:id="174"/>
    <w:bookmarkStart w:id="17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 219–42.</w:t>
      </w:r>
      <w:r>
        <w:t xml:space="preserve"> </w:t>
      </w:r>
      <w:hyperlink r:id="rId175">
        <w:r>
          <w:rPr>
            <w:rStyle w:val="Hyperlink"/>
          </w:rPr>
          <w:t xml:space="preserve">https://doi.org/10.1023/A:1023374524254</w:t>
        </w:r>
      </w:hyperlink>
      <w:r>
        <w:t xml:space="preserve">.</w:t>
      </w:r>
    </w:p>
    <w:bookmarkEnd w:id="176"/>
    <w:bookmarkStart w:id="178" w:name="ref-Waite13"/>
    <w:p>
      <w:pPr>
        <w:pStyle w:val="Bibliography"/>
      </w:pPr>
      <w:r>
        <w:t xml:space="preserve">Waite, I. R. 2013. “Development and Application of an Agricultural Intensity Index to Invertebrate and Algal Metrics from Streams at Two Scales.”</w:t>
      </w:r>
      <w:r>
        <w:t xml:space="preserve"> </w:t>
      </w:r>
      <w:r>
        <w:rPr>
          <w:i/>
        </w:rPr>
        <w:t xml:space="preserve">Journal of the American Water Resources Association</w:t>
      </w:r>
      <w:r>
        <w:t xml:space="preserve"> </w:t>
      </w:r>
      <w:r>
        <w:t xml:space="preserve">49 (2): 431–48.</w:t>
      </w:r>
      <w:r>
        <w:t xml:space="preserve"> </w:t>
      </w:r>
      <w:hyperlink r:id="rId177">
        <w:r>
          <w:rPr>
            <w:rStyle w:val="Hyperlink"/>
          </w:rPr>
          <w:t xml:space="preserve">https://doi.org/10.1111/jawr.12032</w:t>
        </w:r>
      </w:hyperlink>
      <w:r>
        <w:t xml:space="preserve">.</w:t>
      </w:r>
    </w:p>
    <w:bookmarkEnd w:id="178"/>
    <w:bookmarkStart w:id="18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 e90944.</w:t>
      </w:r>
      <w:r>
        <w:t xml:space="preserve"> </w:t>
      </w:r>
      <w:hyperlink r:id="rId179">
        <w:r>
          <w:rPr>
            <w:rStyle w:val="Hyperlink"/>
          </w:rPr>
          <w:t xml:space="preserve">https://doi.org/10.1371/journal.pone.0090944</w:t>
        </w:r>
      </w:hyperlink>
      <w:r>
        <w:t xml:space="preserve">.</w:t>
      </w:r>
    </w:p>
    <w:bookmarkEnd w:id="180"/>
    <w:bookmarkStart w:id="182" w:name="ref-Walsh05"/>
    <w:p>
      <w:pPr>
        <w:pStyle w:val="Bibliography"/>
      </w:pPr>
      <w:r>
        <w:t xml:space="preserve">Walsh, C. J., A. H. Roy, J. w. Feminella, P. D. Cottingham, P. M. Groffman, and R. P. Morgan. 2005. “The Urban Stream Syndrome: Current Knowledge and the Search for a Cure.”</w:t>
      </w:r>
      <w:r>
        <w:t xml:space="preserve"> </w:t>
      </w:r>
      <w:r>
        <w:rPr>
          <w:i/>
        </w:rPr>
        <w:t xml:space="preserve">Journal of the North American Benthological Society</w:t>
      </w:r>
      <w:r>
        <w:t xml:space="preserve"> </w:t>
      </w:r>
      <w:r>
        <w:t xml:space="preserve">24 (3): 706–23.</w:t>
      </w:r>
      <w:r>
        <w:t xml:space="preserve"> </w:t>
      </w:r>
      <w:hyperlink r:id="rId181">
        <w:r>
          <w:rPr>
            <w:rStyle w:val="Hyperlink"/>
          </w:rPr>
          <w:t xml:space="preserve">https://doi.org/10.1899/04-028.1</w:t>
        </w:r>
      </w:hyperlink>
      <w:r>
        <w:t xml:space="preserve">.</w:t>
      </w:r>
    </w:p>
    <w:bookmarkEnd w:id="182"/>
    <w:bookmarkStart w:id="184"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 6–12.</w:t>
      </w:r>
      <w:r>
        <w:t xml:space="preserve"> </w:t>
      </w:r>
      <w:hyperlink r:id="rId183">
        <w:r>
          <w:rPr>
            <w:rStyle w:val="Hyperlink"/>
          </w:rPr>
          <w:t xml:space="preserve">https://doi.org/10.1577/1548-8446(1997)022%3C0006:IOWLUO%3E2.0.CO;2</w:t>
        </w:r>
      </w:hyperlink>
      <w:r>
        <w:t xml:space="preserve">.</w:t>
      </w:r>
    </w:p>
    <w:bookmarkEnd w:id="184"/>
    <w:bookmarkEnd w:id="1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0" Target="media/rId50.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2019-05-16T01:32:19Z</dcterms:created>
  <dcterms:modified xsi:type="dcterms:W3CDTF">2019-05-16T01:32:19Z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link-citations">
    <vt:lpwstr>True</vt:lpwstr>
  </property>
  <property fmtid="{D5CDD505-2E9C-101B-9397-08002B2CF9AE}" pid="4" name="output">
    <vt:lpwstr/>
  </property>
  <property fmtid="{D5CDD505-2E9C-101B-9397-08002B2CF9AE}" pid="5" name="urlcolor">
    <vt:lpwstr>blue</vt:lpwstr>
  </property>
</Properties>
</file>