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Wed Jul 11 10:27:57 2018 -0700</w:t>
      </w:r>
    </w:p>
    <w:p>
      <w:pPr>
        <w:pStyle w:val="Heading1"/>
      </w:pPr>
      <w:bookmarkStart w:id="30" w:name="abstract"/>
      <w:r>
        <w:t xml:space="preserve">Abstract</w:t>
      </w:r>
      <w:bookmarkEnd w:id="30"/>
    </w:p>
    <w:p>
      <w:pPr>
        <w:pStyle w:val="FirstParagraph"/>
      </w:pPr>
      <w:r>
        <w:t xml:space="preserve">Stream management goals may be difficult or impossible to achieve where large-scale, historic alteration of the landscape (e.g., urbanization) presents challenges to attaining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unmitigated landscape alteration. We applied the model at a local scale to classify sites and prioritize different management actions using guidance from a local stakeholder group from the San Gabriel River Regional Monitoring Program (Los Angeles County, California). Stakeholder decisions were facilitated with the Stream Classification and Priority Explorer (SCAPE) tool that compares observed bioassessment scores with expectations from the landscape model to rapidly identify stream segments that are scoring better or worse than expected. Of the 71 sites in the watershed where bioassessment occurred, over half (58%) had biological conditions that were constrained by landscape alteration,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limits to achieving biological integrity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or account for additional factors that influence biological integrity at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if thresholds for biological objectives are impractical within site-specific conditions. Use of bioassessment information to guide decisions that affect aquatic resources may also be challenging if the data are not explicable relative to the needs of local stakeholder groups. Explicit information is required to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immediate and proximate causes of poor biological condition are often linked to landscape-level alterations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developed urban and agricultural landscapes, the majority of stream miles are in poor biotic condition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protect and restore biological integrity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whereas upstream preventative measures have been incentivized or enforced through regulation. Although these approaches can lead to improvements in ecological condition, there is no universal remedy for achieving biological integrity in streams. Restoring streams in urban or agricultural settings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streams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modified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condition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condition as a function of historic and unmitigated alteration of the landscape could help prioritize where management actions are most likely to achieve intended outcomes, or conversely, where landscape alteration could limit management success in achieving biological integrity.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The development of modelling tools for understanding biological condition across landscape gradients could provide a powerful approach to informing the use of limited resources to manage stream integrity. 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locations. Macroinvertebrate communities can respond predictably to landscape alteration</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 of biological condition with landscape metrics that describe these changes could be used to predict a range of expectations for biotic integrity as related to observed watershed development. This approach could build on previous applications of landscape models by predicting a lower and upper estimate of what bioassessment index scores are likely relative to the landscape, in addition to estimating biological condition at unsampled locations. Once the predicted response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is to present the development of a landscape model to classify and prioritize stream monitoring sites and demonstrate its application to estimate the potential of achieving biological integrity in California streams relative to unmitigated landscape alteration. This model is presented as a screening tool for exploring different priorities and is not intended for developing regulatory designations nor determining if a site can attain designated uses. The specific objectives were to 1) demonstrate development of a landscape model to predict expected ranges of biotic condition, 2) classify stream segments into biological constraint categories using modelling expectations, 3) assess the extent of stream classes and explore the sensitivity of the classifications to decision points in the model output, and 4) prioritize potential management decisions by comparing expectations to observed bioassessment scores. The model was developed and applied to all streams and rivers in California, specifically focusing on the potential of urban and agricultural land use to impact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Landscape alteration has been relatively recent, with one estimate showing that developed lands have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Development prior to the late-1990s occurred before requirements in stormwater controls were implemented in California.</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in the context of NHD-Plus flowlines and is not necessarily a strictly defined hydro-geomorphological feature.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condition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is used to categorize low or high scoring sites and has been used to identify stream degradation by regulatory agencies</w:t>
      </w:r>
      <w:r>
        <w:t xml:space="preserve"> </w:t>
      </w:r>
      <w:r>
        <w:t xml:space="preserve">(Board</w:t>
      </w:r>
      <w:r>
        <w:t xml:space="preserve"> </w:t>
      </w:r>
      <w:hyperlink w:anchor="ref-SDWB16">
        <w:r>
          <w:rPr>
            <w:rStyle w:val="Hyperlink"/>
          </w:rPr>
          <w:t xml:space="preserve">2016</w:t>
        </w:r>
      </w:hyperlink>
      <w:r>
        <w:t xml:space="preserve">)</w:t>
      </w:r>
      <w:r>
        <w:t xml:space="preserve">. Benthic macroinvertebrate data were used to calculate 6270 individual CSCI scores at nearly 3400 unique sites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segment in California using the StreamCat dataset</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segment (Table S1). These variables were chosen specifically to model scores only in relation to potential impacts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we considered deviation of observed scores from model predictions to be diagnostic of human activity not related to human-related stressors that can be measured on the landscape,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unmitigated landscape alteration. Quantile regression forests were used to predict CSCI scores in each stream segment at five percent intervals (i.e., 5th, 10th, etc.) from the 5th to 95th percentile of expectations.</w:t>
      </w:r>
    </w:p>
    <w:p>
      <w:pPr>
        <w:pStyle w:val="BodyText"/>
      </w:pPr>
      <w:r>
        <w:t xml:space="preserve">We stratified sample data to ensure sufficient representation of landscape gradients in each ecoregion and across percentiles of catchment imperviousness (Figure</w:t>
      </w:r>
      <w:r>
        <w:t xml:space="preserve"> </w:t>
      </w:r>
      <w:r>
        <w:t xml:space="preserve">1</w:t>
      </w:r>
      <w:r>
        <w:t xml:space="preserve">). Calibration data for the landscape model were obtained from a random selection of 75% of segments with observed CSCI scores across this stratification and where sufficient data were available in StreamCat (n = 1965 segments).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Here and throughout, constrained is defined as a biological community that is impacted by large-scale, historic, and unmitigated alteration of the landscape. Consequently, achieving biological integrity for constrained communities may present management challenges relative to unconstrained communities. Using the model results, each stream segment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segment with a chosen CSCI threshold, where expectations could be below, above, or overlapping the threshold. Two decision points were considered for their importance in defining segment classifications:</w:t>
      </w:r>
    </w:p>
    <w:p>
      <w:pPr>
        <w:pStyle w:val="Compact"/>
        <w:numPr>
          <w:numId w:val="1002"/>
          <w:ilvl w:val="0"/>
        </w:numPr>
      </w:pPr>
      <w:r>
        <w:t xml:space="preserve">The selected range of CSCI expectations at a segment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segments with the range of CSCI score expectations entirely below the threshold were considered likely constrained, whereas those with expectations entirely above were considered likely unconstrained. Segments with score expectations that overlapped the CSCI threshold were considered possibly constrained or possibly unconstrained, where distinction between the two was based on location of the median expectation of a segment relative to the threshold (Table</w:t>
      </w:r>
      <w:r>
        <w:t xml:space="preserve"> </w:t>
      </w:r>
      <w:r>
        <w:t xml:space="preserve">1</w:t>
      </w:r>
      <w:r>
        <w:t xml:space="preserve">).</w:t>
      </w:r>
    </w:p>
    <w:p>
      <w:pPr>
        <w:pStyle w:val="BodyText"/>
      </w:pPr>
      <w:r>
        <w:t xml:space="preserve">CSCI scores from biomonitoring data were then compared to the stream segment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segment classifications (likely constrained, possibly constrained, possibly unconstrained, and likely unconstrained), relative site scores were defined based on location to the range of expected CSCI scores.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segments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segment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could be useful to refine the priorities described below.</w:t>
      </w:r>
    </w:p>
    <w:p>
      <w:pPr>
        <w:pStyle w:val="Heading2"/>
      </w:pPr>
      <w:bookmarkStart w:id="37" w:name="sensitivity-analysis-of-segment-classifications"/>
      <w:r>
        <w:t xml:space="preserve">Sensitivity analysis of segment classifications</w:t>
      </w:r>
      <w:bookmarkEnd w:id="37"/>
    </w:p>
    <w:p>
      <w:pPr>
        <w:pStyle w:val="FirstParagraph"/>
      </w:pPr>
      <w:r>
        <w:t xml:space="preserve">A sensitivity analysis was conducted to evaluate the influence of key decision points on the extent of segment classifications created by the landscape model. Stream segment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combined effects of changing both the certainty in the model and the CSCI threshold were evaluated to estimate the changes in stream extent in each classification. Eight different ranges of values for the score expectations from wide to narrow were evaluated at five percent intervals from the 5th-95th to the 45th-55th range of predications (i.e., 5th-95th, 20th-90th, …, 45th-55th). Different CSCI thresholds were also evaluated using values of 0.63, 0.79, and 0.92, corresponding to the 1st, 10th, and 30th percentile of scores at reference calibration sites used to develop the CSCI index</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segements in each class statewide and by major regions were estimated for each of twenty-four scenarios (width by threshold combinations) to evaluate sensitivity to changes in the decision points.</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site priorities for management actions using results from the landscape model was developed through engagement with a local stakeholder group. The San Gabriel River (SGR) Regional Monitoring Program (Los Angeles County, California) includes stakeholders from water quality regulatory agencies, municipalities, and non-govermental organizations that cooperatively work to manage aquatic resources in the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condition (Figure</w:t>
      </w:r>
      <w:r>
        <w:t xml:space="preserve"> </w:t>
      </w:r>
      <w:r>
        <w:t xml:space="preserve">2</w:t>
      </w:r>
      <w:r>
        <w:t xml:space="preserve">a). Headwaters begin in the San Gabriel mountains where the land is primarily undeveloped or protected for recreational use, whereas the lower watershed is in a heavily urbanized region of Los Angeles County. The SGR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segments in the lower half of the watershed are channelized with concrete or other reinforcements. The majority of flow in the lower watershed is provided to San Jose Creek, Coyote Creek, and the mainstem of the SGR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segment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segment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r>
        <w:t xml:space="preserve">)</w:t>
      </w:r>
      <w:r>
        <w:t xml:space="preserve">. This application provided maps of the extent and type of classification for segments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segments in California. The bioassessment dataset used to develop the model included 2620 unique field observations assigned to stream segments in the NHD-plus dataset. Model performance statewide indicated generally good agreement between observed CSCI scores and the median prediction for the associated stream segment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segments classified as likely unconstrained were in the Sierra Nevada (50%), North Coast (46%), and Desert Modoc (46%) regions, whereas the most segments as likely constrained were observed in the Central Valley (22%) and South Coast (15%) regions. Overall, stream segments were more often constrained for biotic integrity in regions with more development, either as urban or agricultural land. For example, likely constrained segments were apparent from the statewide map in coastal areas of the South Coast where heavy urbanization occurs and in the Central Valley where agriculture is the dominant land use. Stream segments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segment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segments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segments.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segments in the Central Valley were classified as likely constrained using a conservative CSCI threshold with low certainty of predictions, whereas less than 1% of segments were in this category using a relaxed CSCI threshold with the highest level of certainty. Opposite trends were observed in regions with reduced land use pressures. For example, almost all stream segments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stakeholders from the SGR Regional Monitoring Program demonstrated how management actions can be prioritized through application of the landscape model. About 750 segments in the SGR watershed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segments in the upper watershed were a mix of likely and possibly unconstrained (40% and 28%), whereas stream segments in the lower watershed were classified as likely and possibly constrained (25% and 7%). Several segments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segments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segment classifications, where constrained segments were in the lower watershed and unconstrained segments were in the upper watershed. Several sites that were scoring as expected for likely and possibly unconstrained segments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more likely to be achieved.</w:t>
      </w:r>
    </w:p>
    <w:p>
      <w:pPr>
        <w:pStyle w:val="BodyText"/>
      </w:pPr>
      <w:r>
        <w:t xml:space="preserve">Results from our analysis may also be used for managing the biological integrity of streams under state or federal water quality mandates (e.g.</w:t>
      </w:r>
      <w:r>
        <w:t xml:space="preserve"> </w:t>
      </w:r>
      <w:r>
        <w:t xml:space="preserve">“</w:t>
      </w:r>
      <w:r>
        <w:t xml:space="preserve">biological objectives</w:t>
      </w:r>
      <w:r>
        <w:t xml:space="preserve">”</w:t>
      </w:r>
      <w:r>
        <w:t xml:space="preserve"> </w:t>
      </w:r>
      <w:r>
        <w:t xml:space="preserve">under the Clean Water Act). Regulatory management involves the protection of those sites meeting biological objectives and the restoration of those sites that do not meet biological objectives. The selection of appropriate regulatory management actions for streams requires the consideration of the physical and chemical condition of streams concurrent with biological monitoring results. The landscape model could be used to evaluate sites that are or are not meeting biological objectives relative to their modeled condition. This could be used to guide and provide flexibility in the selection of regulatory actions at specific sites or watershed scales (e.g., hydrologic subareas), and to further prioritize where and when actions should take place based on the time and spatial scale needed for protection or restoration actions. For example, for sites that meet biological objectives but where the models predict they can or should not (e.g., Figure S3, segment types 5, 9, 10, or 13), regulatory actions may be associated with protecting that condition and should be implemented in the short-term to prevent degradation. This flexibility is not to exclude sites from consideration that are less likely to achieve biological objectives, but rather to facilitate the decision-making process through a more transparent application of the model in a regulatory context.</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to assess whether a site can attain a particular use.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The ability of the landscape model to predict the range of expected biological condition at a given site reflects an associative link between present land use and stream biology. A relatively low expected range of CSCI scores is an indication that stressors originating from the landscape may have imposed habitat limits that constrain biology. From a regulatory perspective, many states, including California, have explicit biological assessment requirements which are often interpreted in the context of land use. The use of biological endpoints in the landscape model will likely facilitate the implementation of biological standards as noted above. Landscape models could also be used to support conservation planning, particularly at the watershed scale where land use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biologically constrained based on landscape characteristics.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condition.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Moreover, poor model performance is compounded by relatively poor performance of the CSCI to capture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much less readily available, but this is an area where investments in improving spatial data could yield significant improvements in both the CSCI and the landscape model.</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(Figure S4),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condition.</w:t>
      </w:r>
    </w:p>
    <w:p>
      <w:pPr>
        <w:pStyle w:val="BodyText"/>
      </w:pPr>
      <w:r>
        <w:t xml:space="preserve">The landscape model is associative by design and does not identify mechanistic links between biological constraints and proximal causes. The model describes constraints at scales larger than instream characteristics as a necessary approach to accurately predict bioassessment scores. More comprehensive assessments at individual sites are needed to diagnose the immediate causes of degraded condition.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w:t>
      </w:r>
    </w:p>
    <w:p>
      <w:pPr>
        <w:pStyle w:val="BodyText"/>
      </w:pPr>
      <w:r>
        <w:t xml:space="preserve">An additional consideration in using the landscape model is the meaning of biologically constrained in the context of macroinvertebrate communities. Biologically constrained sites were considered those where present landscapes were likely to limit the bioassessment index and a constrained site is relative to the CSCI. In many cases, poor biotic condition of the macroinvertebrate community translates to poor stream condition. However, a constrained macroinvertebrate community does not always mean other biological attributes of stream condition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stakeholders from the SGR Regional Monitoring Program.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 Regional Monitoring Program. Localized applications of the statewide model must engage stakeholders in a similar process to develop recommendations that are specific to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segments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based on current land use development.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r>
        <w:t xml:space="preserve">)</w:t>
      </w:r>
      <w:r>
        <w:t xml:space="preserve">.</w:t>
      </w:r>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segment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segment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segment (left) and corresponding stream segment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segment (left) and corresponding stream segment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segments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segment class as likely constrained, possibly constrained, possibly unconstrained, and likely unconstrained. Segment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segment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segment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w:t>
      </w:r>
    </w:p>
    <w:tbl>
      <w:tblPr>
        <w:tblStyle w:val="Table"/>
        <w:tblW w:type="pct" w:w="0.0"/>
        <w:tblLook w:firstRow="1"/>
        <w:tblCaption w:val="Table 2 Possible site types based on stream segment classification, relative site score, and observed CSCI score. The observed score column describes where a CSCI score is observed relative to the lower and upper percentiles (e.g., 10th and 90th) of expected scores for a segment and the chosen CSCI threshold (e.g., 10th percentile of scores at reference sites or 0.79) for defining low or high values."/>
      </w:tblPr>
      <w:tblGrid/>
      <w:tr>
        <w:trPr>
          <w:cnfStyle w:firstRow="1"/>
        </w:trPr>
        <w:tc>
          <w:tcPr>
            <w:tcBorders>
              <w:bottom w:val="single"/>
            </w:tcBorders>
            <w:vAlign w:val="bottom"/>
          </w:tcPr>
          <w:p>
            <w:pPr>
              <w:pStyle w:val="Compact"/>
              <w:jc w:val="left"/>
            </w:pPr>
            <w:r>
              <w:t xml:space="preserve">Segment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segment,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61"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6" w:name="ref-Beck18c"/>
    <w:p>
      <w:pPr>
        <w:pStyle w:val="Bibliography"/>
      </w:pPr>
      <w:r>
        <w:t xml:space="preserve">Beck, M. W. 2018. “SCCWRP/SCAPE: v1.0 (Version 1.0). Zenodo,</w:t>
      </w:r>
      <w:r>
        <w:t xml:space="preserve"> </w:t>
      </w:r>
      <w:hyperlink r:id="rId65">
        <w:r>
          <w:rPr>
            <w:rStyle w:val="Hyperlink"/>
          </w:rPr>
          <w:t xml:space="preserve">http://doi.org/10.5281/zenodo.1218121</w:t>
        </w:r>
      </w:hyperlink>
      <w:r>
        <w:t xml:space="preserve">.”</w:t>
      </w:r>
    </w:p>
    <w:bookmarkEnd w:id="66"/>
    <w:bookmarkStart w:id="68" w:name="ref-SDWB16"/>
    <w:p>
      <w:pPr>
        <w:pStyle w:val="Bibliography"/>
      </w:pPr>
      <w:r>
        <w:t xml:space="preserve">Board, San Diego Regional Water Quality Control. 2016. “Clean Water Act Sections 305(B) and 303(D) Integrated Report for the San Diego Region.” Sacramento, California: California Environmental Protection Agency.</w:t>
      </w:r>
      <w:r>
        <w:t xml:space="preserve"> </w:t>
      </w:r>
      <w:hyperlink r:id="rId67">
        <w:r>
          <w:rPr>
            <w:rStyle w:val="Hyperlink"/>
          </w:rPr>
          <w:t xml:space="preserve">https://www.waterboards.ca.gov/sandiego/water_issues/programs/303d_list/docs/Staff_Report_101216.pdf</w:t>
        </w:r>
      </w:hyperlink>
      <w:r>
        <w:t xml:space="preserve">.</w:t>
      </w:r>
    </w:p>
    <w:bookmarkEnd w:id="68"/>
    <w:bookmarkStart w:id="69"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9"/>
    <w:bookmarkStart w:id="71"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0">
        <w:r>
          <w:rPr>
            <w:rStyle w:val="Hyperlink"/>
          </w:rPr>
          <w:t xml:space="preserve">https://doi.org/10.1016/j.landurbplan.2012.07.009</w:t>
        </w:r>
      </w:hyperlink>
      <w:r>
        <w:t xml:space="preserve">.</w:t>
      </w:r>
    </w:p>
    <w:bookmarkEnd w:id="71"/>
    <w:bookmarkStart w:id="73"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2">
        <w:r>
          <w:rPr>
            <w:rStyle w:val="Hyperlink"/>
          </w:rPr>
          <w:t xml:space="preserve">https://doi.org/10.1007/s10661-014-4132-8</w:t>
        </w:r>
      </w:hyperlink>
      <w:r>
        <w:t xml:space="preserve">.</w:t>
      </w:r>
    </w:p>
    <w:bookmarkEnd w:id="73"/>
    <w:bookmarkStart w:id="74"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4"/>
    <w:bookmarkStart w:id="75" w:name="ref-CRWQCB14"/>
    <w:p>
      <w:pPr>
        <w:pStyle w:val="Bibliography"/>
      </w:pPr>
      <w:r>
        <w:t xml:space="preserve">California Regional Water Quality Control Board, Los Angeles Region. 2014. “Basin Plan for the Coastal Watersheds of Los Angeles and Ventura Counties.”</w:t>
      </w:r>
    </w:p>
    <w:bookmarkEnd w:id="75"/>
    <w:bookmarkStart w:id="77" w:name="ref-Cao07"/>
    <w:p>
      <w:pPr>
        <w:pStyle w:val="Bibliography"/>
      </w:pPr>
      <w:r>
        <w:t xml:space="preserve">Cao, Y., C. P. Hawkins, J. Olson, and M. A. Kosterman. 2007. “Modeling Natural Environmental Gradients Improves the Accuracy and Precision of Diatom-Based Indicators.”</w:t>
      </w:r>
      <w:r>
        <w:t xml:space="preserve"> </w:t>
      </w:r>
      <w:r>
        <w:rPr>
          <w:i/>
        </w:rPr>
        <w:t xml:space="preserve">Journal of the North American Benthological Society</w:t>
      </w:r>
      <w:r>
        <w:t xml:space="preserve"> </w:t>
      </w:r>
      <w:r>
        <w:t xml:space="preserve">26 (3):566–85.</w:t>
      </w:r>
      <w:r>
        <w:t xml:space="preserve"> </w:t>
      </w:r>
      <w:hyperlink r:id="rId76">
        <w:r>
          <w:rPr>
            <w:rStyle w:val="Hyperlink"/>
          </w:rPr>
          <w:t xml:space="preserve">https://doi.org/10.1899/06-078.1</w:t>
        </w:r>
      </w:hyperlink>
      <w:r>
        <w:t xml:space="preserve">.</w:t>
      </w:r>
    </w:p>
    <w:bookmarkEnd w:id="77"/>
    <w:bookmarkStart w:id="79"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8">
        <w:r>
          <w:rPr>
            <w:rStyle w:val="Hyperlink"/>
          </w:rPr>
          <w:t xml:space="preserve">https://doi.org/10.1111/j.1526-100X.2007.00285.x</w:t>
        </w:r>
      </w:hyperlink>
      <w:r>
        <w:t xml:space="preserve">.</w:t>
      </w:r>
    </w:p>
    <w:bookmarkEnd w:id="79"/>
    <w:bookmarkStart w:id="81"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0">
        <w:r>
          <w:rPr>
            <w:rStyle w:val="Hyperlink"/>
          </w:rPr>
          <w:t xml:space="preserve">https://doi.org/10.1007/s10661-008-0256-z</w:t>
        </w:r>
      </w:hyperlink>
      <w:r>
        <w:t xml:space="preserve">.</w:t>
      </w:r>
    </w:p>
    <w:bookmarkEnd w:id="81"/>
    <w:bookmarkStart w:id="83"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2">
        <w:r>
          <w:rPr>
            <w:rStyle w:val="Hyperlink"/>
          </w:rPr>
          <w:t xml:space="preserve">https://doi.org/10.1016/j.ecolind.2013.07.006</w:t>
        </w:r>
      </w:hyperlink>
      <w:r>
        <w:t xml:space="preserve">.</w:t>
      </w:r>
    </w:p>
    <w:bookmarkEnd w:id="83"/>
    <w:bookmarkStart w:id="85"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4">
        <w:r>
          <w:rPr>
            <w:rStyle w:val="Hyperlink"/>
          </w:rPr>
          <w:t xml:space="preserve">https://doi.org/10.1086/678701</w:t>
        </w:r>
      </w:hyperlink>
      <w:r>
        <w:t xml:space="preserve">.</w:t>
      </w:r>
    </w:p>
    <w:bookmarkEnd w:id="85"/>
    <w:bookmarkStart w:id="87"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6">
        <w:r>
          <w:rPr>
            <w:rStyle w:val="Hyperlink"/>
          </w:rPr>
          <w:t xml:space="preserve">https://doi.org/10.1002/rra.1053</w:t>
        </w:r>
      </w:hyperlink>
      <w:r>
        <w:t xml:space="preserve">.</w:t>
      </w:r>
    </w:p>
    <w:bookmarkEnd w:id="87"/>
    <w:bookmarkStart w:id="89"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8">
        <w:r>
          <w:rPr>
            <w:rStyle w:val="Hyperlink"/>
          </w:rPr>
          <w:t xml:space="preserve">https://doi.org/10.1899/0887-3593(2004)023%3C0599:BWRSUO%3E2.0.CO;2</w:t>
        </w:r>
      </w:hyperlink>
      <w:r>
        <w:t xml:space="preserve">.</w:t>
      </w:r>
    </w:p>
    <w:bookmarkEnd w:id="89"/>
    <w:bookmarkStart w:id="91"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0">
        <w:r>
          <w:rPr>
            <w:rStyle w:val="Hyperlink"/>
          </w:rPr>
          <w:t xml:space="preserve">https://doi.org/10.1111/j.1365-2427.2011.02696.x</w:t>
        </w:r>
      </w:hyperlink>
      <w:r>
        <w:t xml:space="preserve">.</w:t>
      </w:r>
    </w:p>
    <w:bookmarkEnd w:id="91"/>
    <w:bookmarkStart w:id="93"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2">
        <w:r>
          <w:rPr>
            <w:rStyle w:val="Hyperlink"/>
          </w:rPr>
          <w:t xml:space="preserve">https://doi.org/10.1002/etc.2059</w:t>
        </w:r>
      </w:hyperlink>
      <w:r>
        <w:t xml:space="preserve">.</w:t>
      </w:r>
    </w:p>
    <w:bookmarkEnd w:id="93"/>
    <w:bookmarkStart w:id="94"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4"/>
    <w:bookmarkStart w:id="96"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5">
        <w:r>
          <w:rPr>
            <w:rStyle w:val="Hyperlink"/>
          </w:rPr>
          <w:t xml:space="preserve">https://doi.org/10.1111/j.1752-1688.2000.tb05717.x</w:t>
        </w:r>
      </w:hyperlink>
      <w:r>
        <w:t xml:space="preserve">.</w:t>
      </w:r>
    </w:p>
    <w:bookmarkEnd w:id="96"/>
    <w:bookmarkStart w:id="97"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7"/>
    <w:bookmarkStart w:id="99"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8">
        <w:r>
          <w:rPr>
            <w:rStyle w:val="Hyperlink"/>
          </w:rPr>
          <w:t xml:space="preserve">https://doi.org/10.1007/s10661-017-6025-0</w:t>
        </w:r>
      </w:hyperlink>
      <w:r>
        <w:t xml:space="preserve">.</w:t>
      </w:r>
    </w:p>
    <w:bookmarkEnd w:id="99"/>
    <w:bookmarkStart w:id="100"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100"/>
    <w:bookmarkStart w:id="101"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1"/>
    <w:bookmarkStart w:id="103"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2">
        <w:r>
          <w:rPr>
            <w:rStyle w:val="Hyperlink"/>
          </w:rPr>
          <w:t xml:space="preserve">https://doi.org/10.1002/eap.1617</w:t>
        </w:r>
      </w:hyperlink>
      <w:r>
        <w:t xml:space="preserve">.</w:t>
      </w:r>
    </w:p>
    <w:bookmarkEnd w:id="103"/>
    <w:bookmarkStart w:id="105"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4">
        <w:r>
          <w:rPr>
            <w:rStyle w:val="Hyperlink"/>
          </w:rPr>
          <w:t xml:space="preserve">https://doi.org/10.1111/1752-1688.12372</w:t>
        </w:r>
      </w:hyperlink>
      <w:r>
        <w:t xml:space="preserve">.</w:t>
      </w:r>
    </w:p>
    <w:bookmarkEnd w:id="105"/>
    <w:bookmarkStart w:id="107"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6">
        <w:r>
          <w:rPr>
            <w:rStyle w:val="Hyperlink"/>
          </w:rPr>
          <w:t xml:space="preserve">https://doi.org/10.1086/697996</w:t>
        </w:r>
      </w:hyperlink>
      <w:r>
        <w:t xml:space="preserve">.</w:t>
      </w:r>
    </w:p>
    <w:bookmarkEnd w:id="107"/>
    <w:bookmarkStart w:id="109"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8">
        <w:r>
          <w:rPr>
            <w:rStyle w:val="Hyperlink"/>
          </w:rPr>
          <w:t xml:space="preserve">https://doi.org/10.1371/journal.pone.0130710</w:t>
        </w:r>
      </w:hyperlink>
      <w:r>
        <w:t xml:space="preserve">.</w:t>
      </w:r>
    </w:p>
    <w:bookmarkEnd w:id="109"/>
    <w:bookmarkStart w:id="110"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0"/>
    <w:bookmarkStart w:id="112"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1">
        <w:r>
          <w:rPr>
            <w:rStyle w:val="Hyperlink"/>
          </w:rPr>
          <w:t xml:space="preserve">https://doi.org/10.1111/j.1752-1688.2011.00635.x</w:t>
        </w:r>
      </w:hyperlink>
      <w:r>
        <w:t xml:space="preserve">.</w:t>
      </w:r>
    </w:p>
    <w:bookmarkEnd w:id="112"/>
    <w:bookmarkStart w:id="114"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3">
        <w:r>
          <w:rPr>
            <w:rStyle w:val="Hyperlink"/>
          </w:rPr>
          <w:t xml:space="preserve">https://doi.org/10.1016/j.scitotenv.2015.07.083</w:t>
        </w:r>
      </w:hyperlink>
      <w:r>
        <w:t xml:space="preserve">.</w:t>
      </w:r>
    </w:p>
    <w:bookmarkEnd w:id="114"/>
    <w:bookmarkStart w:id="116"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5">
        <w:r>
          <w:rPr>
            <w:rStyle w:val="Hyperlink"/>
          </w:rPr>
          <w:t xml:space="preserve">https://doi.org/10.1007%2Fs00267-008-9151-1</w:t>
        </w:r>
      </w:hyperlink>
      <w:r>
        <w:t xml:space="preserve">.</w:t>
      </w:r>
    </w:p>
    <w:bookmarkEnd w:id="116"/>
    <w:bookmarkStart w:id="118"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w:t>
      </w:r>
      <w:r>
        <w:t xml:space="preserve"> </w:t>
      </w:r>
      <w:r>
        <w:rPr>
          <w:i/>
        </w:rPr>
        <w:t xml:space="preserve">Ecological Restoration</w:t>
      </w:r>
      <w:r>
        <w:t xml:space="preserve"> </w:t>
      </w:r>
      <w:r>
        <w:t xml:space="preserve">34 (2):124–34.</w:t>
      </w:r>
      <w:r>
        <w:t xml:space="preserve"> </w:t>
      </w:r>
      <w:hyperlink r:id="rId117">
        <w:r>
          <w:rPr>
            <w:rStyle w:val="Hyperlink"/>
          </w:rPr>
          <w:t xml:space="preserve">https://doi.org/10.3368/er.34.2.124</w:t>
        </w:r>
      </w:hyperlink>
      <w:r>
        <w:t xml:space="preserve">.</w:t>
      </w:r>
    </w:p>
    <w:bookmarkEnd w:id="118"/>
    <w:bookmarkStart w:id="120"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9">
        <w:r>
          <w:rPr>
            <w:rStyle w:val="Hyperlink"/>
          </w:rPr>
          <w:t xml:space="preserve">https://doi.org/10.1007/s10661-014-4086-x</w:t>
        </w:r>
      </w:hyperlink>
      <w:r>
        <w:t xml:space="preserve">.</w:t>
      </w:r>
    </w:p>
    <w:bookmarkEnd w:id="120"/>
    <w:bookmarkStart w:id="12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1"/>
    <w:bookmarkStart w:id="122" w:name="ref-McKay12"/>
    <w:p>
      <w:pPr>
        <w:pStyle w:val="Bibliography"/>
      </w:pPr>
      <w:r>
        <w:t xml:space="preserve">McKay, L., T. Bondelid, T. Dewald, J. Johnston, R. Moore, and A. Reah. 2012. “NHDPlus Version 2: User Guide.”</w:t>
      </w:r>
    </w:p>
    <w:bookmarkEnd w:id="122"/>
    <w:bookmarkStart w:id="12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3"/>
    <w:bookmarkStart w:id="12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4">
        <w:r>
          <w:rPr>
            <w:rStyle w:val="Hyperlink"/>
          </w:rPr>
          <w:t xml:space="preserve">https://CRAN.R-project.org/package=quantregForest</w:t>
        </w:r>
      </w:hyperlink>
      <w:r>
        <w:t xml:space="preserve">.</w:t>
      </w:r>
    </w:p>
    <w:bookmarkEnd w:id="125"/>
    <w:bookmarkStart w:id="126"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6"/>
    <w:bookmarkStart w:id="127"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7"/>
    <w:bookmarkStart w:id="129"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8">
        <w:r>
          <w:rPr>
            <w:rStyle w:val="Hyperlink"/>
          </w:rPr>
          <w:t xml:space="preserve">https://doi.org/10.1111/j.1365-2427.1987.tb01027.x</w:t>
        </w:r>
      </w:hyperlink>
      <w:r>
        <w:t xml:space="preserve">.</w:t>
      </w:r>
    </w:p>
    <w:bookmarkEnd w:id="129"/>
    <w:bookmarkStart w:id="13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0">
        <w:r>
          <w:rPr>
            <w:rStyle w:val="Hyperlink"/>
          </w:rPr>
          <w:t xml:space="preserve">https://doi.org/10.1016/j.watres.2004.09.002</w:t>
        </w:r>
      </w:hyperlink>
      <w:r>
        <w:t xml:space="preserve">.</w:t>
      </w:r>
    </w:p>
    <w:bookmarkEnd w:id="131"/>
    <w:bookmarkStart w:id="132"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32"/>
    <w:bookmarkStart w:id="13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3"/>
    <w:bookmarkStart w:id="13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4">
        <w:r>
          <w:rPr>
            <w:rStyle w:val="Hyperlink"/>
          </w:rPr>
          <w:t xml:space="preserve">https://doi.org/10.1890/11-0077.1</w:t>
        </w:r>
      </w:hyperlink>
      <w:r>
        <w:t xml:space="preserve">.</w:t>
      </w:r>
    </w:p>
    <w:bookmarkEnd w:id="135"/>
    <w:bookmarkStart w:id="13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6"/>
    <w:bookmarkStart w:id="13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7">
        <w:r>
          <w:rPr>
            <w:rStyle w:val="Hyperlink"/>
          </w:rPr>
          <w:t xml:space="preserve">https://doi.org/10.1111/gec3.12039</w:t>
        </w:r>
      </w:hyperlink>
      <w:r>
        <w:t xml:space="preserve">.</w:t>
      </w:r>
    </w:p>
    <w:bookmarkEnd w:id="138"/>
    <w:bookmarkStart w:id="14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9">
        <w:r>
          <w:rPr>
            <w:rStyle w:val="Hyperlink"/>
          </w:rPr>
          <w:t xml:space="preserve">https://doi.org/10.1007/s10661-010-1385-8</w:t>
        </w:r>
      </w:hyperlink>
      <w:r>
        <w:t xml:space="preserve">.</w:t>
      </w:r>
    </w:p>
    <w:bookmarkEnd w:id="140"/>
    <w:bookmarkStart w:id="14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1">
        <w:r>
          <w:rPr>
            <w:rStyle w:val="Hyperlink"/>
          </w:rPr>
          <w:t xml:space="preserve">https://doi.org/10.1046/j.1365-2427.2001.00758.x</w:t>
        </w:r>
      </w:hyperlink>
      <w:r>
        <w:t xml:space="preserve">.</w:t>
      </w:r>
    </w:p>
    <w:bookmarkEnd w:id="142"/>
    <w:bookmarkStart w:id="14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3">
        <w:r>
          <w:rPr>
            <w:rStyle w:val="Hyperlink"/>
          </w:rPr>
          <w:t xml:space="preserve">https://doi.org/10.1111/jawr.12035</w:t>
        </w:r>
      </w:hyperlink>
      <w:r>
        <w:t xml:space="preserve">.</w:t>
      </w:r>
    </w:p>
    <w:bookmarkEnd w:id="144"/>
    <w:bookmarkStart w:id="14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5"/>
    <w:bookmarkStart w:id="14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6">
        <w:r>
          <w:rPr>
            <w:rStyle w:val="Hyperlink"/>
          </w:rPr>
          <w:t xml:space="preserve">https://www.waterboards.ca.gov/water_issues/programs/swamp/qapp/swamp_QAPrP_2017_Final.pdf</w:t>
        </w:r>
      </w:hyperlink>
      <w:r>
        <w:t xml:space="preserve">.</w:t>
      </w:r>
    </w:p>
    <w:bookmarkEnd w:id="147"/>
    <w:bookmarkStart w:id="14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8">
        <w:r>
          <w:rPr>
            <w:rStyle w:val="Hyperlink"/>
          </w:rPr>
          <w:t xml:space="preserve">https://doi.org/10.1111/j.1365-2664.2008.01548.x</w:t>
        </w:r>
      </w:hyperlink>
      <w:r>
        <w:t xml:space="preserve">.</w:t>
      </w:r>
    </w:p>
    <w:bookmarkEnd w:id="149"/>
    <w:bookmarkStart w:id="150"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0"/>
    <w:bookmarkStart w:id="151" w:name="ref-USEPA16"/>
    <w:p>
      <w:pPr>
        <w:pStyle w:val="Bibliography"/>
      </w:pPr>
      <w:r>
        <w:t xml:space="preserve">USEPA (US Environmental Protection Agency). 2016. “National Rivers and Streams Assessment 2008-2009: A Collaborative Survey.” EPA-841-R-16-007. Washington, DC.</w:t>
      </w:r>
    </w:p>
    <w:bookmarkEnd w:id="151"/>
    <w:bookmarkStart w:id="152" w:name="ref-USGS99"/>
    <w:p>
      <w:pPr>
        <w:pStyle w:val="Bibliography"/>
      </w:pPr>
      <w:r>
        <w:t xml:space="preserve">USGS (US Geological Survey). 1999. “The quality of our nation’s waters: nutrients and pesticides.” Reston, Virginia.</w:t>
      </w:r>
    </w:p>
    <w:bookmarkEnd w:id="152"/>
    <w:bookmarkStart w:id="15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3">
        <w:r>
          <w:rPr>
            <w:rStyle w:val="Hyperlink"/>
          </w:rPr>
          <w:t xml:space="preserve">https://doi.org/10.1023/A:1023374524254</w:t>
        </w:r>
      </w:hyperlink>
      <w:r>
        <w:t xml:space="preserve">.</w:t>
      </w:r>
    </w:p>
    <w:bookmarkEnd w:id="154"/>
    <w:bookmarkStart w:id="15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5">
        <w:r>
          <w:rPr>
            <w:rStyle w:val="Hyperlink"/>
          </w:rPr>
          <w:t xml:space="preserve">https://doi.org/10.1111/jawr.12032</w:t>
        </w:r>
      </w:hyperlink>
      <w:r>
        <w:t xml:space="preserve">.</w:t>
      </w:r>
    </w:p>
    <w:bookmarkEnd w:id="156"/>
    <w:bookmarkStart w:id="15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7">
        <w:r>
          <w:rPr>
            <w:rStyle w:val="Hyperlink"/>
          </w:rPr>
          <w:t xml:space="preserve">https://doi.org/10.1371/journal.pone.0090944</w:t>
        </w:r>
      </w:hyperlink>
      <w:r>
        <w:t xml:space="preserve">.</w:t>
      </w:r>
    </w:p>
    <w:bookmarkEnd w:id="158"/>
    <w:bookmarkStart w:id="16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9">
        <w:r>
          <w:rPr>
            <w:rStyle w:val="Hyperlink"/>
          </w:rPr>
          <w:t xml:space="preserve">https://doi.org/10.1577/1548-8446(1997)022%3C0006:IOWLUO%3E2.0.CO;2</w:t>
        </w:r>
      </w:hyperlink>
      <w:r>
        <w:t xml:space="preserve">.</w:t>
      </w:r>
    </w:p>
    <w:bookmarkEnd w:id="160"/>
    <w:bookmarkEnd w:id="16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5" Target="http://doi.org/10.5281/zenodo.1218121" TargetMode="External" /><Relationship Type="http://schemas.openxmlformats.org/officeDocument/2006/relationships/hyperlink" Id="rId39"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2" Target="https://doi.org/10.1002/eap.1617" TargetMode="External" /><Relationship Type="http://schemas.openxmlformats.org/officeDocument/2006/relationships/hyperlink" Id="rId92" Target="https://doi.org/10.1002/etc.2059" TargetMode="External" /><Relationship Type="http://schemas.openxmlformats.org/officeDocument/2006/relationships/hyperlink" Id="rId86" Target="https://doi.org/10.1002/rra.1053" TargetMode="External" /><Relationship Type="http://schemas.openxmlformats.org/officeDocument/2006/relationships/hyperlink" Id="rId115" Target="https://doi.org/10.1007%2Fs00267-008-9151-1" TargetMode="External" /><Relationship Type="http://schemas.openxmlformats.org/officeDocument/2006/relationships/hyperlink" Id="rId80"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2" Target="https://doi.org/10.1007/s10661-014-4132-8" TargetMode="External" /><Relationship Type="http://schemas.openxmlformats.org/officeDocument/2006/relationships/hyperlink" Id="rId98" Target="https://doi.org/10.1007/s10661-017-6025-0" TargetMode="External" /><Relationship Type="http://schemas.openxmlformats.org/officeDocument/2006/relationships/hyperlink" Id="rId82" Target="https://doi.org/10.1016/j.ecolind.2013.07.006" TargetMode="External" /><Relationship Type="http://schemas.openxmlformats.org/officeDocument/2006/relationships/hyperlink" Id="rId70" Target="https://doi.org/10.1016/j.landurbplan.2012.07.009" TargetMode="External" /><Relationship Type="http://schemas.openxmlformats.org/officeDocument/2006/relationships/hyperlink" Id="rId113"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4" Target="https://doi.org/10.1086/678701" TargetMode="External" /><Relationship Type="http://schemas.openxmlformats.org/officeDocument/2006/relationships/hyperlink" Id="rId106" Target="https://doi.org/10.1086/697996" TargetMode="External" /><Relationship Type="http://schemas.openxmlformats.org/officeDocument/2006/relationships/hyperlink" Id="rId104"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0"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78" Target="https://doi.org/10.1111/j.1526-100X.2007.00285.x" TargetMode="External" /><Relationship Type="http://schemas.openxmlformats.org/officeDocument/2006/relationships/hyperlink" Id="rId95" Target="https://doi.org/10.1111/j.1752-1688.2000.tb05717.x" TargetMode="External" /><Relationship Type="http://schemas.openxmlformats.org/officeDocument/2006/relationships/hyperlink" Id="rId111"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8"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76" Target="https://doi.org/10.1899/06-078.1" TargetMode="External" /><Relationship Type="http://schemas.openxmlformats.org/officeDocument/2006/relationships/hyperlink" Id="rId88" Target="https://doi.org/10.1899/0887-3593(2004)023%3C0599:BWRSUO%3E2.0.CO;2" TargetMode="External" /><Relationship Type="http://schemas.openxmlformats.org/officeDocument/2006/relationships/hyperlink" Id="rId117" Target="https://doi.org/10.3368/er.34.2.124" TargetMode="External" /><Relationship Type="http://schemas.openxmlformats.org/officeDocument/2006/relationships/hyperlink" Id="rId67" Target="https://www.waterboards.ca.gov/sandiego/water_issues/programs/303d_list/docs/Staff_Report_101216.pdf"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2018-07-11T21:14:49Z</dcterms:created>
  <dcterms:modified xsi:type="dcterms:W3CDTF">2018-07-11T21:14:49Z</dcterms:modified>
</cp:coreProperties>
</file>