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6.png" ContentType="image/png"/>
  <Override PartName="/word/media/rId37.png" ContentType="image/png"/>
  <Override PartName="/word/media/rId34.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unclassifiable-segments"/>
      <w:r>
        <w:t xml:space="preserve">Unclassifiable segments</w:t>
      </w:r>
      <w:bookmarkEnd w:id="30"/>
    </w:p>
    <w:p>
      <w:pPr>
        <w:pStyle w:val="FirstParagraph"/>
      </w:pPr>
      <w:r>
        <w:t xml:space="preserve">Some stream segments were not classified following application of the landscape model to the statewide hydrography dataset. Unclassifiable segments occurred if StreamCat data were unavailable to predict bioassessment expectations using the landscape model or if a segment was excluded from the NHD-plus dataset (typically, small headwater streams). The former was more common, particularly in developed areas where canals and ditches were sometimes excluded from the natural stream network. Overall, unclassified segments were not common in the statewide dataset but they may have regional importance depending on needs of local management groups. As described below, approximately 15% of the segments in the San Gabriel River watershed were unclassifiable and a method for assigning a classification to these segments was desired by the stakeholder group.</w:t>
      </w:r>
    </w:p>
    <w:p>
      <w:pPr>
        <w:pStyle w:val="BodyText"/>
      </w:pPr>
      <w:r>
        <w:t xml:space="preserve">We assigned biological expectations to unclassified segments in</w:t>
      </w:r>
      <w:r>
        <w:t xml:space="preserve"> </w:t>
      </w:r>
      <w:r>
        <w:t xml:space="preserve">“</w:t>
      </w:r>
      <w:r>
        <w:t xml:space="preserve">typically</w:t>
      </w:r>
      <w:r>
        <w:t xml:space="preserve">”</w:t>
      </w:r>
      <w:r>
        <w:t xml:space="preserve"> </w:t>
      </w:r>
      <w:r>
        <w:t xml:space="preserve">urban or agricultural segments by estimating the range of expectations for segments with similar land use. This analysis was conducted statewide and stratified by major regions to account for statewide variation in land use. The approximate range of CSCI scores in unclassifiable segments were defined for three different groups: segments dominated by either 1) urban, 2) agricultural, or 3) open (i.e., lack of urban or agricultural land use). The three groups were identified using kmeans clustering of percentage land use estimates that were available across segments</w:t>
      </w:r>
      <w:r>
        <w:t xml:space="preserve"> </w:t>
      </w:r>
      <w:r>
        <w:t xml:space="preserve">(MacQueen</w:t>
      </w:r>
      <w:r>
        <w:t xml:space="preserve"> </w:t>
      </w:r>
      <w:hyperlink w:anchor="ref-MacQueen67">
        <w:r>
          <w:rPr>
            <w:rStyle w:val="Hyperlink"/>
          </w:rPr>
          <w:t xml:space="preserve">1967</w:t>
        </w:r>
      </w:hyperlink>
      <w:r>
        <w:t xml:space="preserve">)</w:t>
      </w:r>
      <w:r>
        <w:t xml:space="preserve">. This created groups of segments with similar land use types, where membership of a segment within a particular group was based on the minimum difference in land use estimates for a segment from the group average for each land use type (within-group centroid). The two groups that were dominated by agricultural or urban land use were identified based on the largest centroid average of the clusters for each land use type. The third</w:t>
      </w:r>
      <w:r>
        <w:t xml:space="preserve"> </w:t>
      </w:r>
      <w:r>
        <w:t xml:space="preserve">“</w:t>
      </w:r>
      <w:r>
        <w:t xml:space="preserve">open</w:t>
      </w:r>
      <w:r>
        <w:t xml:space="preserve">”</w:t>
      </w:r>
      <w:r>
        <w:t xml:space="preserve"> </w:t>
      </w:r>
      <w:r>
        <w:t xml:space="preserve">group that was defined by a lack of urban and agricultural land use was identified by the minimum sum of the centroid values for the two land use types. The expected range of CSCI scores for the three groups were based on averages from the landscape model for segments with available predictions.</w:t>
      </w:r>
    </w:p>
    <w:p>
      <w:pPr>
        <w:pStyle w:val="BodyText"/>
      </w:pPr>
      <w:r>
        <w:t xml:space="preserve">Ranges of expected CSCI scores for typical segments in urban, agricultural, and open (neither urban, nor agriculture) are shown in Table</w:t>
      </w:r>
      <w:r>
        <w:t xml:space="preserve"> </w:t>
      </w:r>
      <w:r>
        <w:t xml:space="preserve">1</w:t>
      </w:r>
      <w:r>
        <w:t xml:space="preserve">. These typical values are shown for more to less certainty (wide to narrow range) in the landscape model predictions. Unclassified segments can be defined by the dominant watershed land use as urban, agricultural, or open, and then matched to the appropriate values in the table. Between regions, the variation in expected scores also provides context for landscape pressures that differ by location. For example, the expected range of scores in regions with heavy urban development (e.g., South Coast) is much smaller than streams that are neither urban nor agricultural. The North Coast region in contrast has an expected range of scores in urban streams that is similar to streams that are open. The range of scores in urban and agricultural streams were similar in the Central Valley where agriculture is the dominant land use.</w:t>
      </w:r>
    </w:p>
    <w:p>
      <w:pPr>
        <w:pStyle w:val="TableCaption"/>
      </w:pPr>
      <w:r>
        <w:t xml:space="preserve">Table 1 Ranges of expected CSCI scores for sites that are typically urban, agricultural, or open (neither urban nor agricultural) land uses by major regions in California and statewide. Ranges can be used to identify approximate expectations for stream segments with insufficient data for application of the landscape model. CV: Central Valley, CH: Chaparral, DM: Deserts and Modoc Plateau, NC: North Coast, SN: Sierra Nevada, SC: South Coast.</w:t>
      </w:r>
    </w:p>
    <w:tbl>
      <w:tblPr>
        <w:tblStyle w:val="Table"/>
        <w:tblW w:type="pct" w:w="0.0"/>
        <w:tblLook w:firstRow="1"/>
        <w:tblCaption w:val="Table 1 Ranges of expected CSCI scores for sites that are typically urban, agricultural, or open (neither urban nor agricultural) land uses by major regions in California and statewide. Ranges can be used to identify approximate expectations for stream segments with insufficient data for application of the landscape model. CV: Central Valley, CH: Chaparral, DM: Deserts and Modoc Plateau, NC: North Coast, SN: Sierra Nevada, SC: South Coast."/>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Land use</w:t>
            </w:r>
          </w:p>
        </w:tc>
        <w:tc>
          <w:tcPr>
            <w:tcBorders>
              <w:bottom w:val="single"/>
            </w:tcBorders>
            <w:vAlign w:val="bottom"/>
          </w:tcPr>
          <w:p>
            <w:pPr>
              <w:pStyle w:val="Compact"/>
              <w:jc w:val="left"/>
            </w:pPr>
            <w:r>
              <w:t xml:space="preserve">High certainty (10th - 90th)</w:t>
            </w:r>
          </w:p>
        </w:tc>
        <w:tc>
          <w:tcPr>
            <w:tcBorders>
              <w:bottom w:val="single"/>
            </w:tcBorders>
            <w:vAlign w:val="bottom"/>
          </w:tcPr>
          <w:p>
            <w:pPr>
              <w:pStyle w:val="Compact"/>
              <w:jc w:val="left"/>
            </w:pPr>
            <w:r>
              <w:t xml:space="preserve">Moderate (25th - 75th)</w:t>
            </w:r>
          </w:p>
        </w:tc>
        <w:tc>
          <w:tcPr>
            <w:tcBorders>
              <w:bottom w:val="single"/>
            </w:tcBorders>
            <w:vAlign w:val="bottom"/>
          </w:tcPr>
          <w:p>
            <w:pPr>
              <w:pStyle w:val="Compact"/>
              <w:jc w:val="left"/>
            </w:pPr>
            <w:r>
              <w:t xml:space="preserve">Low certainty (40th - 60th)</w:t>
            </w:r>
          </w:p>
        </w:tc>
      </w:tr>
      <w:tr>
        <w:tc>
          <w:p>
            <w:pPr>
              <w:pStyle w:val="Compact"/>
              <w:jc w:val="left"/>
            </w:pPr>
            <w:r>
              <w:t xml:space="preserve">Statewide</w:t>
            </w:r>
          </w:p>
        </w:tc>
        <w:tc>
          <w:p>
            <w:pPr>
              <w:pStyle w:val="Compact"/>
              <w:jc w:val="left"/>
            </w:pPr>
            <w:r>
              <w:t xml:space="preserve">Urban</w:t>
            </w:r>
          </w:p>
        </w:tc>
        <w:tc>
          <w:p>
            <w:pPr>
              <w:pStyle w:val="Compact"/>
              <w:jc w:val="left"/>
            </w:pPr>
            <w:r>
              <w:t xml:space="preserve">0.34 - 0.83</w:t>
            </w:r>
          </w:p>
        </w:tc>
        <w:tc>
          <w:p>
            <w:pPr>
              <w:pStyle w:val="Compact"/>
              <w:jc w:val="left"/>
            </w:pPr>
            <w:r>
              <w:t xml:space="preserve">0.45 - 0.72</w:t>
            </w:r>
          </w:p>
        </w:tc>
        <w:tc>
          <w:p>
            <w:pPr>
              <w:pStyle w:val="Compact"/>
              <w:jc w:val="left"/>
            </w:pPr>
            <w:r>
              <w:t xml:space="preserve">0.53 - 0.64</w:t>
            </w:r>
          </w:p>
        </w:tc>
      </w:tr>
      <w:tr>
        <w:tc>
          <w:p>
            <w:pPr>
              <w:pStyle w:val="Compact"/>
            </w:pPr>
          </w:p>
        </w:tc>
        <w:tc>
          <w:p>
            <w:pPr>
              <w:pStyle w:val="Compact"/>
              <w:jc w:val="left"/>
            </w:pPr>
            <w:r>
              <w:t xml:space="preserve">Ag</w:t>
            </w:r>
          </w:p>
        </w:tc>
        <w:tc>
          <w:p>
            <w:pPr>
              <w:pStyle w:val="Compact"/>
              <w:jc w:val="left"/>
            </w:pPr>
            <w:r>
              <w:t xml:space="preserve">0.38 - 0.93</w:t>
            </w:r>
          </w:p>
        </w:tc>
        <w:tc>
          <w:p>
            <w:pPr>
              <w:pStyle w:val="Compact"/>
              <w:jc w:val="left"/>
            </w:pPr>
            <w:r>
              <w:t xml:space="preserve">0.47 - 0.77</w:t>
            </w:r>
          </w:p>
        </w:tc>
        <w:tc>
          <w:p>
            <w:pPr>
              <w:pStyle w:val="Compact"/>
              <w:jc w:val="left"/>
            </w:pPr>
            <w:r>
              <w:t xml:space="preserve">0.54 - 0.66</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DM</w:t>
            </w:r>
          </w:p>
        </w:tc>
        <w:tc>
          <w:p>
            <w:pPr>
              <w:pStyle w:val="Compact"/>
              <w:jc w:val="left"/>
            </w:pPr>
            <w:r>
              <w:t xml:space="preserve">Urban</w:t>
            </w:r>
          </w:p>
        </w:tc>
        <w:tc>
          <w:p>
            <w:pPr>
              <w:pStyle w:val="Compact"/>
              <w:jc w:val="left"/>
            </w:pPr>
            <w:r>
              <w:t xml:space="preserve">0.53 - 1.07</w:t>
            </w:r>
          </w:p>
        </w:tc>
        <w:tc>
          <w:p>
            <w:pPr>
              <w:pStyle w:val="Compact"/>
              <w:jc w:val="left"/>
            </w:pPr>
            <w:r>
              <w:t xml:space="preserve">0.68 - 0.98</w:t>
            </w:r>
          </w:p>
        </w:tc>
        <w:tc>
          <w:p>
            <w:pPr>
              <w:pStyle w:val="Compact"/>
              <w:jc w:val="left"/>
            </w:pPr>
            <w:r>
              <w:t xml:space="preserve">0.78 - 0.89</w:t>
            </w:r>
          </w:p>
        </w:tc>
      </w:tr>
      <w:tr>
        <w:tc>
          <w:p>
            <w:pPr>
              <w:pStyle w:val="Compact"/>
            </w:pPr>
          </w:p>
        </w:tc>
        <w:tc>
          <w:p>
            <w:pPr>
              <w:pStyle w:val="Compact"/>
              <w:jc w:val="left"/>
            </w:pPr>
            <w:r>
              <w:t xml:space="preserve">Ag</w:t>
            </w:r>
          </w:p>
        </w:tc>
        <w:tc>
          <w:p>
            <w:pPr>
              <w:pStyle w:val="Compact"/>
              <w:jc w:val="left"/>
            </w:pPr>
            <w:r>
              <w:t xml:space="preserve">0.39 - 0.96</w:t>
            </w:r>
          </w:p>
        </w:tc>
        <w:tc>
          <w:p>
            <w:pPr>
              <w:pStyle w:val="Compact"/>
              <w:jc w:val="left"/>
            </w:pPr>
            <w:r>
              <w:t xml:space="preserve">0.48 - 0.78</w:t>
            </w:r>
          </w:p>
        </w:tc>
        <w:tc>
          <w:p>
            <w:pPr>
              <w:pStyle w:val="Compact"/>
              <w:jc w:val="left"/>
            </w:pPr>
            <w:r>
              <w:t xml:space="preserve">0.56 - 0.67</w:t>
            </w:r>
          </w:p>
        </w:tc>
      </w:tr>
      <w:tr>
        <w:tc>
          <w:p>
            <w:pPr>
              <w:pStyle w:val="Compact"/>
            </w:pPr>
          </w:p>
        </w:tc>
        <w:tc>
          <w:p>
            <w:pPr>
              <w:pStyle w:val="Compact"/>
              <w:jc w:val="left"/>
            </w:pPr>
            <w:r>
              <w:t xml:space="preserve">Open</w:t>
            </w:r>
          </w:p>
        </w:tc>
        <w:tc>
          <w:p>
            <w:pPr>
              <w:pStyle w:val="Compact"/>
              <w:jc w:val="left"/>
            </w:pPr>
            <w:r>
              <w:t xml:space="preserve">0.79 - 1.15</w:t>
            </w:r>
          </w:p>
        </w:tc>
        <w:tc>
          <w:p>
            <w:pPr>
              <w:pStyle w:val="Compact"/>
              <w:jc w:val="left"/>
            </w:pPr>
            <w:r>
              <w:t xml:space="preserve">0.90 - 1.08</w:t>
            </w:r>
          </w:p>
        </w:tc>
        <w:tc>
          <w:p>
            <w:pPr>
              <w:pStyle w:val="Compact"/>
              <w:jc w:val="left"/>
            </w:pPr>
            <w:r>
              <w:t xml:space="preserve">0.96 - 1.03</w:t>
            </w:r>
          </w:p>
        </w:tc>
      </w:tr>
      <w:tr>
        <w:tc>
          <w:p>
            <w:pPr>
              <w:pStyle w:val="Compact"/>
              <w:jc w:val="left"/>
            </w:pPr>
            <w:r>
              <w:t xml:space="preserve">SN</w:t>
            </w:r>
          </w:p>
        </w:tc>
        <w:tc>
          <w:p>
            <w:pPr>
              <w:pStyle w:val="Compact"/>
              <w:jc w:val="left"/>
            </w:pPr>
            <w:r>
              <w:t xml:space="preserve">Urban</w:t>
            </w:r>
          </w:p>
        </w:tc>
        <w:tc>
          <w:p>
            <w:pPr>
              <w:pStyle w:val="Compact"/>
              <w:jc w:val="left"/>
            </w:pPr>
            <w:r>
              <w:t xml:space="preserve">0.51 - 1.07</w:t>
            </w:r>
          </w:p>
        </w:tc>
        <w:tc>
          <w:p>
            <w:pPr>
              <w:pStyle w:val="Compact"/>
              <w:jc w:val="left"/>
            </w:pPr>
            <w:r>
              <w:t xml:space="preserve">0.65 - 0.97</w:t>
            </w:r>
          </w:p>
        </w:tc>
        <w:tc>
          <w:p>
            <w:pPr>
              <w:pStyle w:val="Compact"/>
              <w:jc w:val="left"/>
            </w:pPr>
            <w:r>
              <w:t xml:space="preserve">0.76 - 0.88</w:t>
            </w:r>
          </w:p>
        </w:tc>
      </w:tr>
      <w:tr>
        <w:tc>
          <w:p>
            <w:pPr>
              <w:pStyle w:val="Compact"/>
            </w:pPr>
          </w:p>
        </w:tc>
        <w:tc>
          <w:p>
            <w:pPr>
              <w:pStyle w:val="Compact"/>
              <w:jc w:val="left"/>
            </w:pPr>
            <w:r>
              <w:t xml:space="preserve">Ag</w:t>
            </w:r>
          </w:p>
        </w:tc>
        <w:tc>
          <w:p>
            <w:pPr>
              <w:pStyle w:val="Compact"/>
              <w:jc w:val="left"/>
            </w:pPr>
            <w:r>
              <w:t xml:space="preserve">0.41 - 1.03</w:t>
            </w:r>
          </w:p>
        </w:tc>
        <w:tc>
          <w:p>
            <w:pPr>
              <w:pStyle w:val="Compact"/>
              <w:jc w:val="left"/>
            </w:pPr>
            <w:r>
              <w:t xml:space="preserve">0.53 - 0.87</w:t>
            </w:r>
          </w:p>
        </w:tc>
        <w:tc>
          <w:p>
            <w:pPr>
              <w:pStyle w:val="Compact"/>
              <w:jc w:val="left"/>
            </w:pPr>
            <w:r>
              <w:t xml:space="preserve">0.62 - 0.75</w:t>
            </w:r>
          </w:p>
        </w:tc>
      </w:tr>
      <w:tr>
        <w:tc>
          <w:p>
            <w:pPr>
              <w:pStyle w:val="Compact"/>
            </w:pPr>
          </w:p>
        </w:tc>
        <w:tc>
          <w:p>
            <w:pPr>
              <w:pStyle w:val="Compact"/>
              <w:jc w:val="left"/>
            </w:pPr>
            <w:r>
              <w:t xml:space="preserve">Open</w:t>
            </w:r>
          </w:p>
        </w:tc>
        <w:tc>
          <w:p>
            <w:pPr>
              <w:pStyle w:val="Compact"/>
              <w:jc w:val="left"/>
            </w:pPr>
            <w:r>
              <w:t xml:space="preserve">0.80 - 1.16</w:t>
            </w:r>
          </w:p>
        </w:tc>
        <w:tc>
          <w:p>
            <w:pPr>
              <w:pStyle w:val="Compact"/>
              <w:jc w:val="left"/>
            </w:pPr>
            <w:r>
              <w:t xml:space="preserve">0.92 - 1.09</w:t>
            </w:r>
          </w:p>
        </w:tc>
        <w:tc>
          <w:p>
            <w:pPr>
              <w:pStyle w:val="Compact"/>
              <w:jc w:val="left"/>
            </w:pPr>
            <w:r>
              <w:t xml:space="preserve">0.98 - 1.04</w:t>
            </w:r>
          </w:p>
        </w:tc>
      </w:tr>
      <w:tr>
        <w:tc>
          <w:p>
            <w:pPr>
              <w:pStyle w:val="Compact"/>
              <w:jc w:val="left"/>
            </w:pPr>
            <w:r>
              <w:t xml:space="preserve">NC</w:t>
            </w:r>
          </w:p>
        </w:tc>
        <w:tc>
          <w:p>
            <w:pPr>
              <w:pStyle w:val="Compact"/>
              <w:jc w:val="left"/>
            </w:pPr>
            <w:r>
              <w:t xml:space="preserve">Urban</w:t>
            </w:r>
          </w:p>
        </w:tc>
        <w:tc>
          <w:p>
            <w:pPr>
              <w:pStyle w:val="Compact"/>
              <w:jc w:val="left"/>
            </w:pPr>
            <w:r>
              <w:t xml:space="preserve">0.72 - 1.17</w:t>
            </w:r>
          </w:p>
        </w:tc>
        <w:tc>
          <w:p>
            <w:pPr>
              <w:pStyle w:val="Compact"/>
              <w:jc w:val="left"/>
            </w:pPr>
            <w:r>
              <w:t xml:space="preserve">0.87 - 1.10</w:t>
            </w:r>
          </w:p>
        </w:tc>
        <w:tc>
          <w:p>
            <w:pPr>
              <w:pStyle w:val="Compact"/>
              <w:jc w:val="left"/>
            </w:pPr>
            <w:r>
              <w:t xml:space="preserve">0.94 - 1.04</w:t>
            </w:r>
          </w:p>
        </w:tc>
      </w:tr>
      <w:tr>
        <w:tc>
          <w:p>
            <w:pPr>
              <w:pStyle w:val="Compact"/>
            </w:pPr>
          </w:p>
        </w:tc>
        <w:tc>
          <w:p>
            <w:pPr>
              <w:pStyle w:val="Compact"/>
              <w:jc w:val="left"/>
            </w:pPr>
            <w:r>
              <w:t xml:space="preserve">Ag</w:t>
            </w:r>
          </w:p>
        </w:tc>
        <w:tc>
          <w:p>
            <w:pPr>
              <w:pStyle w:val="Compact"/>
              <w:jc w:val="left"/>
            </w:pPr>
            <w:r>
              <w:t xml:space="preserve">0.41 - 1.04</w:t>
            </w:r>
          </w:p>
        </w:tc>
        <w:tc>
          <w:p>
            <w:pPr>
              <w:pStyle w:val="Compact"/>
              <w:jc w:val="left"/>
            </w:pPr>
            <w:r>
              <w:t xml:space="preserve">0.51 - 0.86</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0.82 - 1.14</w:t>
            </w:r>
          </w:p>
        </w:tc>
        <w:tc>
          <w:p>
            <w:pPr>
              <w:pStyle w:val="Compact"/>
              <w:jc w:val="left"/>
            </w:pPr>
            <w:r>
              <w:t xml:space="preserve">0.92 - 1.07</w:t>
            </w:r>
          </w:p>
        </w:tc>
        <w:tc>
          <w:p>
            <w:pPr>
              <w:pStyle w:val="Compact"/>
              <w:jc w:val="left"/>
            </w:pPr>
            <w:r>
              <w:t xml:space="preserve">0.97 - 1.03</w:t>
            </w:r>
          </w:p>
        </w:tc>
      </w:tr>
      <w:tr>
        <w:tc>
          <w:p>
            <w:pPr>
              <w:pStyle w:val="Compact"/>
              <w:jc w:val="left"/>
            </w:pPr>
            <w:r>
              <w:t xml:space="preserve">CH</w:t>
            </w:r>
          </w:p>
        </w:tc>
        <w:tc>
          <w:p>
            <w:pPr>
              <w:pStyle w:val="Compact"/>
              <w:jc w:val="left"/>
            </w:pPr>
            <w:r>
              <w:t xml:space="preserve">Urban</w:t>
            </w:r>
          </w:p>
        </w:tc>
        <w:tc>
          <w:p>
            <w:pPr>
              <w:pStyle w:val="Compact"/>
              <w:jc w:val="left"/>
            </w:pPr>
            <w:r>
              <w:t xml:space="preserve">0.32 - 0.80</w:t>
            </w:r>
          </w:p>
        </w:tc>
        <w:tc>
          <w:p>
            <w:pPr>
              <w:pStyle w:val="Compact"/>
              <w:jc w:val="left"/>
            </w:pPr>
            <w:r>
              <w:t xml:space="preserve">0.42 - 0.69</w:t>
            </w:r>
          </w:p>
        </w:tc>
        <w:tc>
          <w:p>
            <w:pPr>
              <w:pStyle w:val="Compact"/>
              <w:jc w:val="left"/>
            </w:pPr>
            <w:r>
              <w:t xml:space="preserve">0.50 - 0.60</w:t>
            </w:r>
          </w:p>
        </w:tc>
      </w:tr>
      <w:tr>
        <w:tc>
          <w:p>
            <w:pPr>
              <w:pStyle w:val="Compact"/>
            </w:pPr>
          </w:p>
        </w:tc>
        <w:tc>
          <w:p>
            <w:pPr>
              <w:pStyle w:val="Compact"/>
              <w:jc w:val="left"/>
            </w:pPr>
            <w:r>
              <w:t xml:space="preserve">Ag</w:t>
            </w:r>
          </w:p>
        </w:tc>
        <w:tc>
          <w:p>
            <w:pPr>
              <w:pStyle w:val="Compact"/>
              <w:jc w:val="left"/>
            </w:pPr>
            <w:r>
              <w:t xml:space="preserve">0.40 - 0.98</w:t>
            </w:r>
          </w:p>
        </w:tc>
        <w:tc>
          <w:p>
            <w:pPr>
              <w:pStyle w:val="Compact"/>
              <w:jc w:val="left"/>
            </w:pPr>
            <w:r>
              <w:t xml:space="preserve">0.51 - 0.84</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CV</w:t>
            </w:r>
          </w:p>
        </w:tc>
        <w:tc>
          <w:p>
            <w:pPr>
              <w:pStyle w:val="Compact"/>
              <w:jc w:val="left"/>
            </w:pPr>
            <w:r>
              <w:t xml:space="preserve">Urban</w:t>
            </w:r>
          </w:p>
        </w:tc>
        <w:tc>
          <w:p>
            <w:pPr>
              <w:pStyle w:val="Compact"/>
              <w:jc w:val="left"/>
            </w:pPr>
            <w:r>
              <w:t xml:space="preserve">0.39 - 0.90</w:t>
            </w:r>
          </w:p>
        </w:tc>
        <w:tc>
          <w:p>
            <w:pPr>
              <w:pStyle w:val="Compact"/>
              <w:jc w:val="left"/>
            </w:pPr>
            <w:r>
              <w:t xml:space="preserve">0.51 - 0.79</w:t>
            </w:r>
          </w:p>
        </w:tc>
        <w:tc>
          <w:p>
            <w:pPr>
              <w:pStyle w:val="Compact"/>
              <w:jc w:val="left"/>
            </w:pPr>
            <w:r>
              <w:t xml:space="preserve">0.60 - 0.71</w:t>
            </w:r>
          </w:p>
        </w:tc>
      </w:tr>
      <w:tr>
        <w:tc>
          <w:p>
            <w:pPr>
              <w:pStyle w:val="Compact"/>
            </w:pPr>
          </w:p>
        </w:tc>
        <w:tc>
          <w:p>
            <w:pPr>
              <w:pStyle w:val="Compact"/>
              <w:jc w:val="left"/>
            </w:pPr>
            <w:r>
              <w:t xml:space="preserve">Ag</w:t>
            </w:r>
          </w:p>
        </w:tc>
        <w:tc>
          <w:p>
            <w:pPr>
              <w:pStyle w:val="Compact"/>
              <w:jc w:val="left"/>
            </w:pPr>
            <w:r>
              <w:t xml:space="preserve">0.36 - 0.89</w:t>
            </w:r>
          </w:p>
        </w:tc>
        <w:tc>
          <w:p>
            <w:pPr>
              <w:pStyle w:val="Compact"/>
              <w:jc w:val="left"/>
            </w:pPr>
            <w:r>
              <w:t xml:space="preserve">0.45 - 0.73</w:t>
            </w:r>
          </w:p>
        </w:tc>
        <w:tc>
          <w:p>
            <w:pPr>
              <w:pStyle w:val="Compact"/>
              <w:jc w:val="left"/>
            </w:pPr>
            <w:r>
              <w:t xml:space="preserve">0.52 - 0.63</w:t>
            </w:r>
          </w:p>
        </w:tc>
      </w:tr>
      <w:tr>
        <w:tc>
          <w:p>
            <w:pPr>
              <w:pStyle w:val="Compact"/>
            </w:pPr>
          </w:p>
        </w:tc>
        <w:tc>
          <w:p>
            <w:pPr>
              <w:pStyle w:val="Compact"/>
              <w:jc w:val="left"/>
            </w:pPr>
            <w:r>
              <w:t xml:space="preserve">Open</w:t>
            </w:r>
          </w:p>
        </w:tc>
        <w:tc>
          <w:p>
            <w:pPr>
              <w:pStyle w:val="Compact"/>
              <w:jc w:val="left"/>
            </w:pPr>
            <w:r>
              <w:t xml:space="preserve">0.67 - 1.11</w:t>
            </w:r>
          </w:p>
        </w:tc>
        <w:tc>
          <w:p>
            <w:pPr>
              <w:pStyle w:val="Compact"/>
              <w:jc w:val="left"/>
            </w:pPr>
            <w:r>
              <w:t xml:space="preserve">0.80 - 1.02</w:t>
            </w:r>
          </w:p>
        </w:tc>
        <w:tc>
          <w:p>
            <w:pPr>
              <w:pStyle w:val="Compact"/>
              <w:jc w:val="left"/>
            </w:pPr>
            <w:r>
              <w:t xml:space="preserve">0.87 - 0.96</w:t>
            </w:r>
          </w:p>
        </w:tc>
      </w:tr>
      <w:tr>
        <w:tc>
          <w:p>
            <w:pPr>
              <w:pStyle w:val="Compact"/>
              <w:jc w:val="left"/>
            </w:pPr>
            <w:r>
              <w:t xml:space="preserve">SC</w:t>
            </w:r>
          </w:p>
        </w:tc>
        <w:tc>
          <w:p>
            <w:pPr>
              <w:pStyle w:val="Compact"/>
              <w:jc w:val="left"/>
            </w:pPr>
            <w:r>
              <w:t xml:space="preserve">Urban</w:t>
            </w:r>
          </w:p>
        </w:tc>
        <w:tc>
          <w:p>
            <w:pPr>
              <w:pStyle w:val="Compact"/>
              <w:jc w:val="left"/>
            </w:pPr>
            <w:r>
              <w:t xml:space="preserve">0.30 - 0.76</w:t>
            </w:r>
          </w:p>
        </w:tc>
        <w:tc>
          <w:p>
            <w:pPr>
              <w:pStyle w:val="Compact"/>
              <w:jc w:val="left"/>
            </w:pPr>
            <w:r>
              <w:t xml:space="preserve">0.40 - 0.66</w:t>
            </w:r>
          </w:p>
        </w:tc>
        <w:tc>
          <w:p>
            <w:pPr>
              <w:pStyle w:val="Compact"/>
              <w:jc w:val="left"/>
            </w:pPr>
            <w:r>
              <w:t xml:space="preserve">0.48 - 0.57</w:t>
            </w:r>
          </w:p>
        </w:tc>
      </w:tr>
      <w:tr>
        <w:tc>
          <w:p>
            <w:pPr>
              <w:pStyle w:val="Compact"/>
            </w:pPr>
          </w:p>
        </w:tc>
        <w:tc>
          <w:p>
            <w:pPr>
              <w:pStyle w:val="Compact"/>
              <w:jc w:val="left"/>
            </w:pPr>
            <w:r>
              <w:t xml:space="preserve">Ag</w:t>
            </w:r>
          </w:p>
        </w:tc>
        <w:tc>
          <w:p>
            <w:pPr>
              <w:pStyle w:val="Compact"/>
              <w:jc w:val="left"/>
            </w:pPr>
            <w:r>
              <w:t xml:space="preserve">0.41 - 1.01</w:t>
            </w:r>
          </w:p>
        </w:tc>
        <w:tc>
          <w:p>
            <w:pPr>
              <w:pStyle w:val="Compact"/>
              <w:jc w:val="left"/>
            </w:pPr>
            <w:r>
              <w:t xml:space="preserve">0.53 - 0.90</w:t>
            </w:r>
          </w:p>
        </w:tc>
        <w:tc>
          <w:p>
            <w:pPr>
              <w:pStyle w:val="Compact"/>
              <w:jc w:val="left"/>
            </w:pPr>
            <w:r>
              <w:t xml:space="preserve">0.63 - 0.78</w:t>
            </w:r>
          </w:p>
        </w:tc>
      </w:tr>
      <w:tr>
        <w:tc>
          <w:p>
            <w:pPr>
              <w:pStyle w:val="Compact"/>
            </w:pPr>
          </w:p>
        </w:tc>
        <w:tc>
          <w:p>
            <w:pPr>
              <w:pStyle w:val="Compact"/>
              <w:jc w:val="left"/>
            </w:pPr>
            <w:r>
              <w:t xml:space="preserve">Open</w:t>
            </w:r>
          </w:p>
        </w:tc>
        <w:tc>
          <w:p>
            <w:pPr>
              <w:pStyle w:val="Compact"/>
              <w:jc w:val="left"/>
            </w:pPr>
            <w:r>
              <w:t xml:space="preserve">0.83 - 1.15</w:t>
            </w:r>
          </w:p>
        </w:tc>
        <w:tc>
          <w:p>
            <w:pPr>
              <w:pStyle w:val="Compact"/>
              <w:jc w:val="left"/>
            </w:pPr>
            <w:r>
              <w:t xml:space="preserve">0.93 - 1.08</w:t>
            </w:r>
          </w:p>
        </w:tc>
        <w:tc>
          <w:p>
            <w:pPr>
              <w:pStyle w:val="Compact"/>
              <w:jc w:val="left"/>
            </w:pPr>
            <w:r>
              <w:t xml:space="preserve">0.98 - 1.04</w:t>
            </w:r>
          </w:p>
        </w:tc>
      </w:tr>
    </w:tbl>
    <w:p>
      <w:pPr>
        <w:pStyle w:val="Heading1"/>
      </w:pPr>
      <w:bookmarkStart w:id="31" w:name="supplemental-figures-and-tables"/>
      <w:r>
        <w:t xml:space="preserve">Supplemental Figures and Tables</w:t>
      </w:r>
      <w:bookmarkEnd w:id="31"/>
    </w:p>
    <w:p>
      <w:pPr>
        <w:pStyle w:val="CaptionedFigure"/>
      </w:pPr>
      <w:r>
        <w:drawing>
          <wp:inline>
            <wp:extent cx="5943600" cy="6523867"/>
            <wp:effectExtent b="0" l="0" r="0" t="0"/>
            <wp:docPr descr="Figure 1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Beck 2018)." title="" id="1" name="Picture"/>
            <a:graphic>
              <a:graphicData uri="http://schemas.openxmlformats.org/drawingml/2006/picture">
                <pic:pic>
                  <pic:nvPicPr>
                    <pic:cNvPr descr="figs/app.png" id="0" name="Picture"/>
                    <pic:cNvPicPr>
                      <a:picLocks noChangeArrowheads="1" noChangeAspect="1"/>
                    </pic:cNvPicPr>
                  </pic:nvPicPr>
                  <pic:blipFill>
                    <a:blip r:embed="rId32"/>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1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3">
        <w:r>
          <w:rPr>
            <w:rStyle w:val="Hyperlink"/>
          </w:rPr>
          <w:t xml:space="preserve">http://shiny.sccwrp.org/scape/</w:t>
        </w:r>
      </w:hyperlink>
      <w:r>
        <w:t xml:space="preserve"> </w:t>
      </w:r>
      <w:r>
        <w:t xml:space="preserve">(Beck</w:t>
      </w:r>
      <w:r>
        <w:t xml:space="preserve"> </w:t>
      </w:r>
      <w:hyperlink w:anchor="ref-Beck18c">
        <w:r>
          <w:rPr>
            <w:rStyle w:val="Hyperlink"/>
          </w:rPr>
          <w:t xml:space="preserve">2018</w:t>
        </w:r>
      </w:hyperlink>
      <w:r>
        <w:t xml:space="preserve">)</w:t>
      </w:r>
      <w:r>
        <w:t xml:space="preserve">.</w:t>
      </w:r>
    </w:p>
    <w:p>
      <w:pPr>
        <w:pStyle w:val="CaptionedFigure"/>
      </w:pPr>
      <w:r>
        <w:drawing>
          <wp:inline>
            <wp:extent cx="5504749" cy="5504749"/>
            <wp:effectExtent b="0" l="0" r="0" t="0"/>
            <wp:docPr descr="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w:t>
      </w:r>
    </w:p>
    <w:p>
      <w:pPr>
        <w:pStyle w:val="CaptionedFigure"/>
      </w:pPr>
      <w:r>
        <w:drawing>
          <wp:inline>
            <wp:extent cx="5943600" cy="4033157"/>
            <wp:effectExtent b="0" l="0" r="0" t="0"/>
            <wp:docPr descr="Figure 3 Template provided to stakeholders for prioritization of recommended actions for each stream type. The segment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5"/>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3 Template provided to stakeholders for prioritization of recommended actions for each stream type. The segment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4245428"/>
            <wp:effectExtent b="0" l="0" r="0" t="0"/>
            <wp:docPr descr="Figure 4 Factors associated with constrained and unconstrained stream segments by major regions in California. Importance measures were obtained from random forest models of 130 watershed and riparian measures of landscape and geological characteristics from the StreamCat dataset (Hill et al. 2016).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 title="" id="1" name="Picture"/>
            <a:graphic>
              <a:graphicData uri="http://schemas.openxmlformats.org/drawingml/2006/picture">
                <pic:pic>
                  <pic:nvPicPr>
                    <pic:cNvPr descr="figs/calicnstr.pn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4 Factors associated with constrained and unconstrained stream segments by major regions in California. Importance measures were obtained from random forest models of 130 watershed and riparian measures of landscape and geological characteristics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w:t>
      </w:r>
    </w:p>
    <w:p>
      <w:pPr>
        <w:pStyle w:val="CaptionedFigure"/>
      </w:pPr>
      <w:r>
        <w:drawing>
          <wp:inline>
            <wp:extent cx="5943600" cy="4245428"/>
            <wp:effectExtent b="0" l="0" r="0" t="0"/>
            <wp:docPr descr="Figure 5 Importance measures for landscape variables used to develop the landscape model of expected stream bioassessment scores in California. Values were obtained from quantile regression models of twenty landscape measures shown in Table 2 obtained from the StreamCat dataset (Hill et al. 2016). The importance measures describe the percent increase in mean square error and the increase in node impurity with exclusion of a variable across all random trees for each model (Meinshausen 2017)." title="" id="1" name="Picture"/>
            <a:graphic>
              <a:graphicData uri="http://schemas.openxmlformats.org/drawingml/2006/picture">
                <pic:pic>
                  <pic:nvPicPr>
                    <pic:cNvPr descr="figs/lndscpimp.png" id="0" name="Picture"/>
                    <pic:cNvPicPr>
                      <a:picLocks noChangeArrowheads="1" noChangeAspect="1"/>
                    </pic:cNvPicPr>
                  </pic:nvPicPr>
                  <pic:blipFill>
                    <a:blip r:embed="rId37"/>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5 Importance measures for landscape variables used to develop the landscape model of expected stream bioassessment scores in California. Values were obtained from quantile regression models of twenty landscape measures shown in Table</w:t>
      </w:r>
      <w:r>
        <w:t xml:space="preserve"> </w:t>
      </w:r>
      <w:r>
        <w:t xml:space="preserve">2</w:t>
      </w:r>
      <w:r>
        <w:t xml:space="preserve"> </w:t>
      </w:r>
      <w:r>
        <w:t xml:space="preserve">obtained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importance measures describe the percent increase in mean square error and the increase in node impurity with exclusion of a variable across all random trees for each model</w:t>
      </w:r>
      <w:r>
        <w:t xml:space="preserve"> </w:t>
      </w:r>
      <w:r>
        <w:t xml:space="preserve">(Meinshausen</w:t>
      </w:r>
      <w:r>
        <w:t xml:space="preserve"> </w:t>
      </w:r>
      <w:hyperlink w:anchor="ref-Meinshausen17">
        <w:r>
          <w:rPr>
            <w:rStyle w:val="Hyperlink"/>
          </w:rPr>
          <w:t xml:space="preserve">2017</w:t>
        </w:r>
      </w:hyperlink>
      <w:r>
        <w:t xml:space="preserve">)</w:t>
      </w:r>
      <w:r>
        <w:t xml:space="preserve">.</w:t>
      </w:r>
    </w:p>
    <w:p>
      <w:pPr>
        <w:pStyle w:val="TableCaption"/>
      </w:pPr>
      <w:r>
        <w:t xml:space="preserve">Table 2 Land use variables used to develop the landscape model of stream bioassessment scores. All variables were obtained from StreamCat</w:t>
      </w:r>
      <w:r>
        <w:t xml:space="preserve"> </w:t>
      </w:r>
      <w:r>
        <w:t xml:space="preserve">(Hill et al.</w:t>
      </w:r>
      <w:r>
        <w:t xml:space="preserve"> </w:t>
      </w:r>
      <w:hyperlink w:anchor="ref-Hill16">
        <w:r>
          <w:rPr>
            <w:rStyle w:val="Hyperlink"/>
          </w:rPr>
          <w:t xml:space="preserve">2016</w:t>
        </w:r>
      </w:hyperlink>
      <w:r>
        <w:t xml:space="preserve">)</w:t>
      </w:r>
      <w:r>
        <w:t xml:space="preserve">. The measurement scale for each variable is at the catchment, watershed, and/or riparian scale (100 m buffer) relative to a stream segment. Total urban and agriculture land use variables were based on sums of indvidual variables in StreamCat as noted in the desciption.</w:t>
      </w:r>
    </w:p>
    <w:tbl>
      <w:tblPr>
        <w:tblStyle w:val="Table"/>
        <w:tblW w:type="pct" w:w="0.0"/>
        <w:tblLook w:firstRow="1"/>
        <w:tblCaption w:val="Table 2 Land use variables used to develop the landscape model of stream bioassessment scores. All variables were obtained from StreamCat (Hill et al. 2016). The measurement scale for each variable is at the catchment, watershed, and/or riparian scale (100 m buffer) relative to a stream segment. Total urban and agriculture land use variables were based on sums of indvidual variables in StreamCat as noted in the desciption."/>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w:t>
            </w:r>
          </w:p>
        </w:tc>
      </w:tr>
      <w:tr>
        <w:tc>
          <w:p>
            <w:pPr>
              <w:pStyle w:val="Compact"/>
              <w:jc w:val="left"/>
            </w:pPr>
            <w:r>
              <w:t xml:space="preserve">CanalDensCat</w:t>
            </w:r>
          </w:p>
        </w:tc>
        <w:tc>
          <w:p>
            <w:pPr>
              <w:pStyle w:val="Compact"/>
              <w:jc w:val="left"/>
            </w:pPr>
            <w:r>
              <w:t xml:space="preserve">catchment</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CanalDensWs</w:t>
            </w:r>
          </w:p>
        </w:tc>
        <w:tc>
          <w:p>
            <w:pPr>
              <w:pStyle w:val="Compact"/>
              <w:jc w:val="left"/>
            </w:pPr>
            <w:r>
              <w:t xml:space="preserve">watershed</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PctImp2006Cat</w:t>
            </w:r>
          </w:p>
        </w:tc>
        <w:tc>
          <w:p>
            <w:pPr>
              <w:pStyle w:val="Compact"/>
              <w:jc w:val="left"/>
            </w:pPr>
            <w:r>
              <w:t xml:space="preserve">catchment</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w:t>
            </w:r>
          </w:p>
        </w:tc>
        <w:tc>
          <w:p>
            <w:pPr>
              <w:pStyle w:val="Compact"/>
              <w:jc w:val="left"/>
            </w:pPr>
            <w:r>
              <w:t xml:space="preserve">watershed</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PctImp2006CatRp100</w:t>
            </w:r>
          </w:p>
        </w:tc>
        <w:tc>
          <w:p>
            <w:pPr>
              <w:pStyle w:val="Compact"/>
              <w:jc w:val="left"/>
            </w:pPr>
            <w:r>
              <w:t xml:space="preserve">catchment,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PctImp2006WsRp100</w:t>
            </w:r>
          </w:p>
        </w:tc>
        <w:tc>
          <w:p>
            <w:pPr>
              <w:pStyle w:val="Compact"/>
              <w:jc w:val="left"/>
            </w:pPr>
            <w:r>
              <w:t xml:space="preserve">watershed,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TotUrb2011Ws</w:t>
            </w:r>
          </w:p>
        </w:tc>
        <w:tc>
          <w:p>
            <w:pPr>
              <w:pStyle w:val="Compact"/>
              <w:jc w:val="left"/>
            </w:pPr>
            <w:r>
              <w:t xml:space="preserve">watershed</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w:t>
            </w:r>
          </w:p>
        </w:tc>
        <w:tc>
          <w:p>
            <w:pPr>
              <w:pStyle w:val="Compact"/>
              <w:jc w:val="left"/>
            </w:pPr>
            <w:r>
              <w:t xml:space="preserve">catchment</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TotUrb2011WsRp100</w:t>
            </w:r>
          </w:p>
        </w:tc>
        <w:tc>
          <w:p>
            <w:pPr>
              <w:pStyle w:val="Compact"/>
              <w:jc w:val="left"/>
            </w:pPr>
            <w:r>
              <w:t xml:space="preserve">watershed,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TotUrb2011CatRp100</w:t>
            </w:r>
          </w:p>
        </w:tc>
        <w:tc>
          <w:p>
            <w:pPr>
              <w:pStyle w:val="Compact"/>
              <w:jc w:val="left"/>
            </w:pPr>
            <w:r>
              <w:t xml:space="preserve">catchment,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TotAg2011Ws</w:t>
            </w:r>
          </w:p>
        </w:tc>
        <w:tc>
          <w:p>
            <w:pPr>
              <w:pStyle w:val="Compact"/>
              <w:jc w:val="left"/>
            </w:pPr>
            <w:r>
              <w:t xml:space="preserve">watershed</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w:t>
            </w:r>
          </w:p>
        </w:tc>
        <w:tc>
          <w:p>
            <w:pPr>
              <w:pStyle w:val="Compact"/>
              <w:jc w:val="left"/>
            </w:pPr>
            <w:r>
              <w:t xml:space="preserve">catchment</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TotAg2011WsRp100</w:t>
            </w:r>
          </w:p>
        </w:tc>
        <w:tc>
          <w:p>
            <w:pPr>
              <w:pStyle w:val="Compact"/>
              <w:jc w:val="left"/>
            </w:pPr>
            <w:r>
              <w:t xml:space="preserve">watershed,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TotAg2011CatRp100</w:t>
            </w:r>
          </w:p>
        </w:tc>
        <w:tc>
          <w:p>
            <w:pPr>
              <w:pStyle w:val="Compact"/>
              <w:jc w:val="left"/>
            </w:pPr>
            <w:r>
              <w:t xml:space="preserve">catchment,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RdDensCat</w:t>
            </w:r>
          </w:p>
        </w:tc>
        <w:tc>
          <w:p>
            <w:pPr>
              <w:pStyle w:val="Compact"/>
              <w:jc w:val="left"/>
            </w:pPr>
            <w:r>
              <w:t xml:space="preserve">catchment</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w:t>
            </w:r>
          </w:p>
        </w:tc>
        <w:tc>
          <w:p>
            <w:pPr>
              <w:pStyle w:val="Compact"/>
              <w:jc w:val="left"/>
            </w:pPr>
            <w:r>
              <w:t xml:space="preserve">watershed</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RdDensCatRp100</w:t>
            </w:r>
          </w:p>
        </w:tc>
        <w:tc>
          <w:p>
            <w:pPr>
              <w:pStyle w:val="Compact"/>
              <w:jc w:val="left"/>
            </w:pPr>
            <w:r>
              <w:t xml:space="preserve">catchment,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RdDensWsRp100</w:t>
            </w:r>
          </w:p>
        </w:tc>
        <w:tc>
          <w:p>
            <w:pPr>
              <w:pStyle w:val="Compact"/>
              <w:jc w:val="left"/>
            </w:pPr>
            <w:r>
              <w:t xml:space="preserve">watershed,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RdCrsCat</w:t>
            </w:r>
          </w:p>
        </w:tc>
        <w:tc>
          <w:p>
            <w:pPr>
              <w:pStyle w:val="Compact"/>
              <w:jc w:val="left"/>
            </w:pPr>
            <w:r>
              <w:t xml:space="preserve">catchment</w:t>
            </w:r>
          </w:p>
        </w:tc>
        <w:tc>
          <w:p>
            <w:pPr>
              <w:pStyle w:val="Compact"/>
              <w:jc w:val="left"/>
            </w:pPr>
            <w:r>
              <w:t xml:space="preserve">Density of roads-stream intersections (2010 Census Tiger Lines-NHD stream lines)</w:t>
            </w:r>
          </w:p>
        </w:tc>
        <w:tc>
          <w:p>
            <w:pPr>
              <w:pStyle w:val="Compact"/>
              <w:jc w:val="left"/>
            </w:pPr>
            <w:r>
              <w:t xml:space="preserve">crossings/sq km</w:t>
            </w:r>
          </w:p>
        </w:tc>
      </w:tr>
      <w:tr>
        <w:tc>
          <w:p>
            <w:pPr>
              <w:pStyle w:val="Compact"/>
              <w:jc w:val="left"/>
            </w:pPr>
            <w:r>
              <w:t xml:space="preserve">RdCrsWs</w:t>
            </w:r>
          </w:p>
        </w:tc>
        <w:tc>
          <w:p>
            <w:pPr>
              <w:pStyle w:val="Compact"/>
              <w:jc w:val="left"/>
            </w:pPr>
            <w:r>
              <w:t xml:space="preserve">watershed</w:t>
            </w:r>
          </w:p>
        </w:tc>
        <w:tc>
          <w:p>
            <w:pPr>
              <w:pStyle w:val="Compact"/>
              <w:jc w:val="left"/>
            </w:pPr>
            <w:r>
              <w:t xml:space="preserve">Density of roads-stream intersections (2010 Census Tiger Lines-NHD stream lines)</w:t>
            </w:r>
          </w:p>
        </w:tc>
        <w:tc>
          <w:p>
            <w:pPr>
              <w:pStyle w:val="Compact"/>
              <w:jc w:val="left"/>
            </w:pPr>
            <w:r>
              <w:t xml:space="preserve">crosssings/sq km</w:t>
            </w:r>
          </w:p>
        </w:tc>
      </w:tr>
    </w:tbl>
    <w:p>
      <w:pPr>
        <w:pStyle w:val="TableCaption"/>
      </w:pPr>
      <w:r>
        <w:t xml:space="preserve">Table 3 Performance of the landscape model by calibration (Cal) and validation (Val)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CV: Central Valley, CH: Chaparral, DM: Deserts and Modoc Plateau, NC: North Coast, SN: Sierra Nevada, SC: South Coast.</w:t>
      </w:r>
    </w:p>
    <w:tbl>
      <w:tblPr>
        <w:tblStyle w:val="Table"/>
        <w:tblW w:type="pct" w:w="0.0"/>
        <w:tblLook w:firstRow="1"/>
        <w:tblCaption w:val="Table 3 Performance of the landscape model by calibration (Cal) and validation (Val)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CV: Central Valley, CH: Chaparral, DM: Deserts and Modoc Plateau, NC: North Coast, SN: Sierra Nevada, SC: South Coast."/>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Observed</w:t>
            </w:r>
          </w:p>
        </w:tc>
        <w:tc>
          <w:tcPr>
            <w:tcBorders>
              <w:bottom w:val="single"/>
            </w:tcBorders>
            <w:vAlign w:val="bottom"/>
          </w:tcPr>
          <w:p>
            <w:pPr>
              <w:pStyle w:val="Compact"/>
              <w:jc w:val="left"/>
            </w:pPr>
            <w:r>
              <w:t xml:space="preserve">Predicted</w:t>
            </w:r>
          </w:p>
        </w:tc>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Slope</w:t>
            </w:r>
          </w:p>
        </w:tc>
      </w:tr>
      <w:tr>
        <w:tc>
          <w:p>
            <w:pPr>
              <w:pStyle w:val="Compact"/>
              <w:jc w:val="left"/>
            </w:pPr>
            <w:r>
              <w:t xml:space="preserve">Cal</w:t>
            </w:r>
          </w:p>
        </w:tc>
        <w:tc>
          <w:p>
            <w:pPr>
              <w:pStyle w:val="Compact"/>
              <w:jc w:val="left"/>
            </w:pPr>
            <w:r>
              <w:t xml:space="preserve">Statewide</w:t>
            </w:r>
          </w:p>
        </w:tc>
        <w:tc>
          <w:p>
            <w:pPr>
              <w:pStyle w:val="Compact"/>
              <w:jc w:val="right"/>
            </w:pPr>
            <w:r>
              <w:t xml:space="preserve">1965</w:t>
            </w:r>
          </w:p>
        </w:tc>
        <w:tc>
          <w:p>
            <w:pPr>
              <w:pStyle w:val="Compact"/>
              <w:jc w:val="left"/>
            </w:pPr>
            <w:r>
              <w:t xml:space="preserve">0.82 (0.26)</w:t>
            </w:r>
          </w:p>
        </w:tc>
        <w:tc>
          <w:p>
            <w:pPr>
              <w:pStyle w:val="Compact"/>
              <w:jc w:val="left"/>
            </w:pPr>
            <w:r>
              <w:t xml:space="preserve">0.83 (0.20)</w:t>
            </w:r>
          </w:p>
        </w:tc>
        <w:tc>
          <w:p>
            <w:pPr>
              <w:pStyle w:val="Compact"/>
              <w:jc w:val="left"/>
            </w:pPr>
            <w:r>
              <w:t xml:space="preserve">0.75</w:t>
            </w:r>
          </w:p>
        </w:tc>
        <w:tc>
          <w:p>
            <w:pPr>
              <w:pStyle w:val="Compact"/>
              <w:jc w:val="left"/>
            </w:pPr>
            <w:r>
              <w:t xml:space="preserve">0.17</w:t>
            </w:r>
          </w:p>
        </w:tc>
        <w:tc>
          <w:p>
            <w:pPr>
              <w:pStyle w:val="Compact"/>
              <w:jc w:val="left"/>
            </w:pPr>
            <w:r>
              <w:t xml:space="preserve">0.34</w:t>
            </w:r>
          </w:p>
        </w:tc>
        <w:tc>
          <w:p>
            <w:pPr>
              <w:pStyle w:val="Compact"/>
              <w:jc w:val="left"/>
            </w:pPr>
            <w:r>
              <w:t xml:space="preserve">0.60</w:t>
            </w:r>
          </w:p>
        </w:tc>
      </w:tr>
      <w:tr>
        <w:tc>
          <w:p>
            <w:pPr>
              <w:pStyle w:val="Compact"/>
            </w:pPr>
          </w:p>
        </w:tc>
        <w:tc>
          <w:p>
            <w:pPr>
              <w:pStyle w:val="Compact"/>
              <w:jc w:val="left"/>
            </w:pPr>
            <w:r>
              <w:t xml:space="preserve">CH</w:t>
            </w:r>
          </w:p>
        </w:tc>
        <w:tc>
          <w:p>
            <w:pPr>
              <w:pStyle w:val="Compact"/>
              <w:jc w:val="right"/>
            </w:pPr>
            <w:r>
              <w:t xml:space="preserve">512</w:t>
            </w:r>
          </w:p>
        </w:tc>
        <w:tc>
          <w:p>
            <w:pPr>
              <w:pStyle w:val="Compact"/>
              <w:jc w:val="left"/>
            </w:pPr>
            <w:r>
              <w:t xml:space="preserve">0.76 (0.27)</w:t>
            </w:r>
          </w:p>
        </w:tc>
        <w:tc>
          <w:p>
            <w:pPr>
              <w:pStyle w:val="Compact"/>
              <w:jc w:val="left"/>
            </w:pPr>
            <w:r>
              <w:t xml:space="preserve">0.79 (0.21)</w:t>
            </w:r>
          </w:p>
        </w:tc>
        <w:tc>
          <w:p>
            <w:pPr>
              <w:pStyle w:val="Compact"/>
              <w:jc w:val="left"/>
            </w:pPr>
            <w:r>
              <w:t xml:space="preserve">0.71</w:t>
            </w:r>
          </w:p>
        </w:tc>
        <w:tc>
          <w:p>
            <w:pPr>
              <w:pStyle w:val="Compact"/>
              <w:jc w:val="left"/>
            </w:pPr>
            <w:r>
              <w:t xml:space="preserve">0.19</w:t>
            </w:r>
          </w:p>
        </w:tc>
        <w:tc>
          <w:p>
            <w:pPr>
              <w:pStyle w:val="Compact"/>
              <w:jc w:val="left"/>
            </w:pPr>
            <w:r>
              <w:t xml:space="preserve">0.38</w:t>
            </w:r>
          </w:p>
        </w:tc>
        <w:tc>
          <w:p>
            <w:pPr>
              <w:pStyle w:val="Compact"/>
              <w:jc w:val="left"/>
            </w:pPr>
            <w:r>
              <w:t xml:space="preserve">0.54</w:t>
            </w:r>
          </w:p>
        </w:tc>
      </w:tr>
      <w:tr>
        <w:tc>
          <w:p>
            <w:pPr>
              <w:pStyle w:val="Compact"/>
            </w:pPr>
          </w:p>
        </w:tc>
        <w:tc>
          <w:p>
            <w:pPr>
              <w:pStyle w:val="Compact"/>
              <w:jc w:val="left"/>
            </w:pPr>
            <w:r>
              <w:t xml:space="preserve">CV</w:t>
            </w:r>
          </w:p>
        </w:tc>
        <w:tc>
          <w:p>
            <w:pPr>
              <w:pStyle w:val="Compact"/>
              <w:jc w:val="right"/>
            </w:pPr>
            <w:r>
              <w:t xml:space="preserve">116</w:t>
            </w:r>
          </w:p>
        </w:tc>
        <w:tc>
          <w:p>
            <w:pPr>
              <w:pStyle w:val="Compact"/>
              <w:jc w:val="left"/>
            </w:pPr>
            <w:r>
              <w:t xml:space="preserve">0.51 (0.18)</w:t>
            </w:r>
          </w:p>
        </w:tc>
        <w:tc>
          <w:p>
            <w:pPr>
              <w:pStyle w:val="Compact"/>
              <w:jc w:val="left"/>
            </w:pPr>
            <w:r>
              <w:t xml:space="preserve">0.57 (0.15)</w:t>
            </w:r>
          </w:p>
        </w:tc>
        <w:tc>
          <w:p>
            <w:pPr>
              <w:pStyle w:val="Compact"/>
              <w:jc w:val="left"/>
            </w:pPr>
            <w:r>
              <w:t xml:space="preserve">0.66</w:t>
            </w:r>
          </w:p>
        </w:tc>
        <w:tc>
          <w:p>
            <w:pPr>
              <w:pStyle w:val="Compact"/>
              <w:jc w:val="left"/>
            </w:pPr>
            <w:r>
              <w:t xml:space="preserve">0.15</w:t>
            </w:r>
          </w:p>
        </w:tc>
        <w:tc>
          <w:p>
            <w:pPr>
              <w:pStyle w:val="Compact"/>
              <w:jc w:val="left"/>
            </w:pPr>
            <w:r>
              <w:t xml:space="preserve">0.29</w:t>
            </w:r>
          </w:p>
        </w:tc>
        <w:tc>
          <w:p>
            <w:pPr>
              <w:pStyle w:val="Compact"/>
              <w:jc w:val="left"/>
            </w:pPr>
            <w:r>
              <w:t xml:space="preserve">0.54</w:t>
            </w:r>
          </w:p>
        </w:tc>
      </w:tr>
      <w:tr>
        <w:tc>
          <w:p>
            <w:pPr>
              <w:pStyle w:val="Compact"/>
            </w:pPr>
          </w:p>
        </w:tc>
        <w:tc>
          <w:p>
            <w:pPr>
              <w:pStyle w:val="Compact"/>
              <w:jc w:val="left"/>
            </w:pPr>
            <w:r>
              <w:t xml:space="preserve">DM</w:t>
            </w:r>
          </w:p>
        </w:tc>
        <w:tc>
          <w:p>
            <w:pPr>
              <w:pStyle w:val="Compact"/>
              <w:jc w:val="right"/>
            </w:pPr>
            <w:r>
              <w:t xml:space="preserve">86</w:t>
            </w:r>
          </w:p>
        </w:tc>
        <w:tc>
          <w:p>
            <w:pPr>
              <w:pStyle w:val="Compact"/>
              <w:jc w:val="left"/>
            </w:pPr>
            <w:r>
              <w:t xml:space="preserve">0.87 (0.22)</w:t>
            </w:r>
          </w:p>
        </w:tc>
        <w:tc>
          <w:p>
            <w:pPr>
              <w:pStyle w:val="Compact"/>
              <w:jc w:val="left"/>
            </w:pPr>
            <w:r>
              <w:t xml:space="preserve">0.91 (0.14)</w:t>
            </w:r>
          </w:p>
        </w:tc>
        <w:tc>
          <w:p>
            <w:pPr>
              <w:pStyle w:val="Compact"/>
              <w:jc w:val="left"/>
            </w:pPr>
            <w:r>
              <w:t xml:space="preserve">0.50</w:t>
            </w:r>
          </w:p>
        </w:tc>
        <w:tc>
          <w:p>
            <w:pPr>
              <w:pStyle w:val="Compact"/>
              <w:jc w:val="left"/>
            </w:pPr>
            <w:r>
              <w:t xml:space="preserve">0.20</w:t>
            </w:r>
          </w:p>
        </w:tc>
        <w:tc>
          <w:p>
            <w:pPr>
              <w:pStyle w:val="Compact"/>
              <w:jc w:val="left"/>
            </w:pPr>
            <w:r>
              <w:t xml:space="preserve">0.63</w:t>
            </w:r>
          </w:p>
        </w:tc>
        <w:tc>
          <w:p>
            <w:pPr>
              <w:pStyle w:val="Compact"/>
              <w:jc w:val="left"/>
            </w:pPr>
            <w:r>
              <w:t xml:space="preserve">0.31</w:t>
            </w:r>
          </w:p>
        </w:tc>
      </w:tr>
      <w:tr>
        <w:tc>
          <w:p>
            <w:pPr>
              <w:pStyle w:val="Compact"/>
            </w:pPr>
          </w:p>
        </w:tc>
        <w:tc>
          <w:p>
            <w:pPr>
              <w:pStyle w:val="Compact"/>
              <w:jc w:val="left"/>
            </w:pPr>
            <w:r>
              <w:t xml:space="preserve">NC</w:t>
            </w:r>
          </w:p>
        </w:tc>
        <w:tc>
          <w:p>
            <w:pPr>
              <w:pStyle w:val="Compact"/>
              <w:jc w:val="right"/>
            </w:pPr>
            <w:r>
              <w:t xml:space="preserve">208</w:t>
            </w:r>
          </w:p>
        </w:tc>
        <w:tc>
          <w:p>
            <w:pPr>
              <w:pStyle w:val="Compact"/>
              <w:jc w:val="left"/>
            </w:pPr>
            <w:r>
              <w:t xml:space="preserve">0.92 (0.20)</w:t>
            </w:r>
          </w:p>
        </w:tc>
        <w:tc>
          <w:p>
            <w:pPr>
              <w:pStyle w:val="Compact"/>
              <w:jc w:val="left"/>
            </w:pPr>
            <w:r>
              <w:t xml:space="preserve">0.94 (0.13)</w:t>
            </w:r>
          </w:p>
        </w:tc>
        <w:tc>
          <w:p>
            <w:pPr>
              <w:pStyle w:val="Compact"/>
              <w:jc w:val="left"/>
            </w:pPr>
            <w:r>
              <w:t xml:space="preserve">0.55</w:t>
            </w:r>
          </w:p>
        </w:tc>
        <w:tc>
          <w:p>
            <w:pPr>
              <w:pStyle w:val="Compact"/>
              <w:jc w:val="left"/>
            </w:pPr>
            <w:r>
              <w:t xml:space="preserve">0.17</w:t>
            </w:r>
          </w:p>
        </w:tc>
        <w:tc>
          <w:p>
            <w:pPr>
              <w:pStyle w:val="Compact"/>
              <w:jc w:val="left"/>
            </w:pPr>
            <w:r>
              <w:t xml:space="preserve">0.61</w:t>
            </w:r>
          </w:p>
        </w:tc>
        <w:tc>
          <w:p>
            <w:pPr>
              <w:pStyle w:val="Compact"/>
              <w:jc w:val="left"/>
            </w:pPr>
            <w:r>
              <w:t xml:space="preserve">0.36</w:t>
            </w:r>
          </w:p>
        </w:tc>
      </w:tr>
      <w:tr>
        <w:tc>
          <w:p>
            <w:pPr>
              <w:pStyle w:val="Compact"/>
            </w:pPr>
          </w:p>
        </w:tc>
        <w:tc>
          <w:p>
            <w:pPr>
              <w:pStyle w:val="Compact"/>
              <w:jc w:val="left"/>
            </w:pPr>
            <w:r>
              <w:t xml:space="preserve">SC</w:t>
            </w:r>
          </w:p>
        </w:tc>
        <w:tc>
          <w:p>
            <w:pPr>
              <w:pStyle w:val="Compact"/>
              <w:jc w:val="right"/>
            </w:pPr>
            <w:r>
              <w:t xml:space="preserve">631</w:t>
            </w:r>
          </w:p>
        </w:tc>
        <w:tc>
          <w:p>
            <w:pPr>
              <w:pStyle w:val="Compact"/>
              <w:jc w:val="left"/>
            </w:pPr>
            <w:r>
              <w:t xml:space="preserve">0.79 (0.24)</w:t>
            </w:r>
          </w:p>
        </w:tc>
        <w:tc>
          <w:p>
            <w:pPr>
              <w:pStyle w:val="Compact"/>
              <w:jc w:val="left"/>
            </w:pPr>
            <w:r>
              <w:t xml:space="preserve">0.78 (0.21)</w:t>
            </w:r>
          </w:p>
        </w:tc>
        <w:tc>
          <w:p>
            <w:pPr>
              <w:pStyle w:val="Compact"/>
              <w:jc w:val="left"/>
            </w:pPr>
            <w:r>
              <w:t xml:space="preserve">0.75</w:t>
            </w:r>
          </w:p>
        </w:tc>
        <w:tc>
          <w:p>
            <w:pPr>
              <w:pStyle w:val="Compact"/>
              <w:jc w:val="left"/>
            </w:pPr>
            <w:r>
              <w:t xml:space="preserve">0.16</w:t>
            </w:r>
          </w:p>
        </w:tc>
        <w:tc>
          <w:p>
            <w:pPr>
              <w:pStyle w:val="Compact"/>
              <w:jc w:val="left"/>
            </w:pPr>
            <w:r>
              <w:t xml:space="preserve">0.27</w:t>
            </w:r>
          </w:p>
        </w:tc>
        <w:tc>
          <w:p>
            <w:pPr>
              <w:pStyle w:val="Compact"/>
              <w:jc w:val="left"/>
            </w:pPr>
            <w:r>
              <w:t xml:space="preserve">0.65</w:t>
            </w:r>
          </w:p>
        </w:tc>
      </w:tr>
      <w:tr>
        <w:tc>
          <w:p>
            <w:pPr>
              <w:pStyle w:val="Compact"/>
            </w:pPr>
          </w:p>
        </w:tc>
        <w:tc>
          <w:p>
            <w:pPr>
              <w:pStyle w:val="Compact"/>
              <w:jc w:val="left"/>
            </w:pPr>
            <w:r>
              <w:t xml:space="preserve">SN</w:t>
            </w:r>
          </w:p>
        </w:tc>
        <w:tc>
          <w:p>
            <w:pPr>
              <w:pStyle w:val="Compact"/>
              <w:jc w:val="right"/>
            </w:pPr>
            <w:r>
              <w:t xml:space="preserve">412</w:t>
            </w:r>
          </w:p>
        </w:tc>
        <w:tc>
          <w:p>
            <w:pPr>
              <w:pStyle w:val="Compact"/>
              <w:jc w:val="left"/>
            </w:pPr>
            <w:r>
              <w:t xml:space="preserve">0.98 (0.18)</w:t>
            </w:r>
          </w:p>
        </w:tc>
        <w:tc>
          <w:p>
            <w:pPr>
              <w:pStyle w:val="Compact"/>
              <w:jc w:val="left"/>
            </w:pPr>
            <w:r>
              <w:t xml:space="preserve">0.98 (0.09)</w:t>
            </w:r>
          </w:p>
        </w:tc>
        <w:tc>
          <w:p>
            <w:pPr>
              <w:pStyle w:val="Compact"/>
              <w:jc w:val="left"/>
            </w:pPr>
            <w:r>
              <w:t xml:space="preserve">0.45</w:t>
            </w:r>
          </w:p>
        </w:tc>
        <w:tc>
          <w:p>
            <w:pPr>
              <w:pStyle w:val="Compact"/>
              <w:jc w:val="left"/>
            </w:pPr>
            <w:r>
              <w:t xml:space="preserve">0.16</w:t>
            </w:r>
          </w:p>
        </w:tc>
        <w:tc>
          <w:p>
            <w:pPr>
              <w:pStyle w:val="Compact"/>
              <w:jc w:val="left"/>
            </w:pPr>
            <w:r>
              <w:t xml:space="preserve">0.75</w:t>
            </w:r>
          </w:p>
        </w:tc>
        <w:tc>
          <w:p>
            <w:pPr>
              <w:pStyle w:val="Compact"/>
              <w:jc w:val="left"/>
            </w:pPr>
            <w:r>
              <w:t xml:space="preserve">0.23</w:t>
            </w:r>
          </w:p>
        </w:tc>
      </w:tr>
      <w:tr>
        <w:tc>
          <w:p>
            <w:pPr>
              <w:pStyle w:val="Compact"/>
              <w:jc w:val="left"/>
            </w:pPr>
            <w:r>
              <w:t xml:space="preserve">Val</w:t>
            </w:r>
          </w:p>
        </w:tc>
        <w:tc>
          <w:p>
            <w:pPr>
              <w:pStyle w:val="Compact"/>
              <w:jc w:val="left"/>
            </w:pPr>
            <w:r>
              <w:t xml:space="preserve">Statewide</w:t>
            </w:r>
          </w:p>
        </w:tc>
        <w:tc>
          <w:p>
            <w:pPr>
              <w:pStyle w:val="Compact"/>
              <w:jc w:val="right"/>
            </w:pPr>
            <w:r>
              <w:t xml:space="preserve">655</w:t>
            </w:r>
          </w:p>
        </w:tc>
        <w:tc>
          <w:p>
            <w:pPr>
              <w:pStyle w:val="Compact"/>
              <w:jc w:val="left"/>
            </w:pPr>
            <w:r>
              <w:t xml:space="preserve">0.82 (0.25)</w:t>
            </w:r>
          </w:p>
        </w:tc>
        <w:tc>
          <w:p>
            <w:pPr>
              <w:pStyle w:val="Compact"/>
              <w:jc w:val="left"/>
            </w:pPr>
            <w:r>
              <w:t xml:space="preserve">0.84 (0.20)</w:t>
            </w:r>
          </w:p>
        </w:tc>
        <w:tc>
          <w:p>
            <w:pPr>
              <w:pStyle w:val="Compact"/>
              <w:jc w:val="left"/>
            </w:pPr>
            <w:r>
              <w:t xml:space="preserve">0.72</w:t>
            </w:r>
          </w:p>
        </w:tc>
        <w:tc>
          <w:p>
            <w:pPr>
              <w:pStyle w:val="Compact"/>
              <w:jc w:val="left"/>
            </w:pPr>
            <w:r>
              <w:t xml:space="preserve">0.18</w:t>
            </w:r>
          </w:p>
        </w:tc>
        <w:tc>
          <w:p>
            <w:pPr>
              <w:pStyle w:val="Compact"/>
              <w:jc w:val="left"/>
            </w:pPr>
            <w:r>
              <w:t xml:space="preserve">0.36</w:t>
            </w:r>
          </w:p>
        </w:tc>
        <w:tc>
          <w:p>
            <w:pPr>
              <w:pStyle w:val="Compact"/>
              <w:jc w:val="left"/>
            </w:pPr>
            <w:r>
              <w:t xml:space="preserve">0.58</w:t>
            </w:r>
          </w:p>
        </w:tc>
      </w:tr>
      <w:tr>
        <w:tc>
          <w:p>
            <w:pPr>
              <w:pStyle w:val="Compact"/>
            </w:pPr>
          </w:p>
        </w:tc>
        <w:tc>
          <w:p>
            <w:pPr>
              <w:pStyle w:val="Compact"/>
              <w:jc w:val="left"/>
            </w:pPr>
            <w:r>
              <w:t xml:space="preserve">CH</w:t>
            </w:r>
          </w:p>
        </w:tc>
        <w:tc>
          <w:p>
            <w:pPr>
              <w:pStyle w:val="Compact"/>
              <w:jc w:val="right"/>
            </w:pPr>
            <w:r>
              <w:t xml:space="preserve">172</w:t>
            </w:r>
          </w:p>
        </w:tc>
        <w:tc>
          <w:p>
            <w:pPr>
              <w:pStyle w:val="Compact"/>
              <w:jc w:val="left"/>
            </w:pPr>
            <w:r>
              <w:t xml:space="preserve">0.76 (0.27)</w:t>
            </w:r>
          </w:p>
        </w:tc>
        <w:tc>
          <w:p>
            <w:pPr>
              <w:pStyle w:val="Compact"/>
              <w:jc w:val="left"/>
            </w:pPr>
            <w:r>
              <w:t xml:space="preserve">0.81 (0.21)</w:t>
            </w:r>
          </w:p>
        </w:tc>
        <w:tc>
          <w:p>
            <w:pPr>
              <w:pStyle w:val="Compact"/>
              <w:jc w:val="left"/>
            </w:pPr>
            <w:r>
              <w:t xml:space="preserve">0.74</w:t>
            </w:r>
          </w:p>
        </w:tc>
        <w:tc>
          <w:p>
            <w:pPr>
              <w:pStyle w:val="Compact"/>
              <w:jc w:val="left"/>
            </w:pPr>
            <w:r>
              <w:t xml:space="preserve">0.19</w:t>
            </w:r>
          </w:p>
        </w:tc>
        <w:tc>
          <w:p>
            <w:pPr>
              <w:pStyle w:val="Compact"/>
              <w:jc w:val="left"/>
            </w:pPr>
            <w:r>
              <w:t xml:space="preserve">0.39</w:t>
            </w:r>
          </w:p>
        </w:tc>
        <w:tc>
          <w:p>
            <w:pPr>
              <w:pStyle w:val="Compact"/>
              <w:jc w:val="left"/>
            </w:pPr>
            <w:r>
              <w:t xml:space="preserve">0.56</w:t>
            </w:r>
          </w:p>
        </w:tc>
      </w:tr>
      <w:tr>
        <w:tc>
          <w:p>
            <w:pPr>
              <w:pStyle w:val="Compact"/>
            </w:pPr>
          </w:p>
        </w:tc>
        <w:tc>
          <w:p>
            <w:pPr>
              <w:pStyle w:val="Compact"/>
              <w:jc w:val="left"/>
            </w:pPr>
            <w:r>
              <w:t xml:space="preserve">CV</w:t>
            </w:r>
          </w:p>
        </w:tc>
        <w:tc>
          <w:p>
            <w:pPr>
              <w:pStyle w:val="Compact"/>
              <w:jc w:val="right"/>
            </w:pPr>
            <w:r>
              <w:t xml:space="preserve">40</w:t>
            </w:r>
          </w:p>
        </w:tc>
        <w:tc>
          <w:p>
            <w:pPr>
              <w:pStyle w:val="Compact"/>
              <w:jc w:val="left"/>
            </w:pPr>
            <w:r>
              <w:t xml:space="preserve">0.52 (0.19)</w:t>
            </w:r>
          </w:p>
        </w:tc>
        <w:tc>
          <w:p>
            <w:pPr>
              <w:pStyle w:val="Compact"/>
              <w:jc w:val="left"/>
            </w:pPr>
            <w:r>
              <w:t xml:space="preserve">0.59 (0.16)</w:t>
            </w:r>
          </w:p>
        </w:tc>
        <w:tc>
          <w:p>
            <w:pPr>
              <w:pStyle w:val="Compact"/>
              <w:jc w:val="left"/>
            </w:pPr>
            <w:r>
              <w:t xml:space="preserve">0.49</w:t>
            </w:r>
          </w:p>
        </w:tc>
        <w:tc>
          <w:p>
            <w:pPr>
              <w:pStyle w:val="Compact"/>
              <w:jc w:val="left"/>
            </w:pPr>
            <w:r>
              <w:t xml:space="preserve">0.19</w:t>
            </w:r>
          </w:p>
        </w:tc>
        <w:tc>
          <w:p>
            <w:pPr>
              <w:pStyle w:val="Compact"/>
              <w:jc w:val="left"/>
            </w:pPr>
            <w:r>
              <w:t xml:space="preserve">0.38</w:t>
            </w:r>
          </w:p>
        </w:tc>
        <w:tc>
          <w:p>
            <w:pPr>
              <w:pStyle w:val="Compact"/>
              <w:jc w:val="left"/>
            </w:pPr>
            <w:r>
              <w:t xml:space="preserve">0.40</w:t>
            </w:r>
          </w:p>
        </w:tc>
      </w:tr>
      <w:tr>
        <w:tc>
          <w:p>
            <w:pPr>
              <w:pStyle w:val="Compact"/>
            </w:pPr>
          </w:p>
        </w:tc>
        <w:tc>
          <w:p>
            <w:pPr>
              <w:pStyle w:val="Compact"/>
              <w:jc w:val="left"/>
            </w:pPr>
            <w:r>
              <w:t xml:space="preserve">DM</w:t>
            </w:r>
          </w:p>
        </w:tc>
        <w:tc>
          <w:p>
            <w:pPr>
              <w:pStyle w:val="Compact"/>
              <w:jc w:val="right"/>
            </w:pPr>
            <w:r>
              <w:t xml:space="preserve">28</w:t>
            </w:r>
          </w:p>
        </w:tc>
        <w:tc>
          <w:p>
            <w:pPr>
              <w:pStyle w:val="Compact"/>
              <w:jc w:val="left"/>
            </w:pPr>
            <w:r>
              <w:t xml:space="preserve">0.84 (0.17)</w:t>
            </w:r>
          </w:p>
        </w:tc>
        <w:tc>
          <w:p>
            <w:pPr>
              <w:pStyle w:val="Compact"/>
              <w:jc w:val="left"/>
            </w:pPr>
            <w:r>
              <w:t xml:space="preserve">0.93 (0.11)</w:t>
            </w:r>
          </w:p>
        </w:tc>
        <w:tc>
          <w:p>
            <w:pPr>
              <w:pStyle w:val="Compact"/>
              <w:jc w:val="left"/>
            </w:pPr>
            <w:r>
              <w:t xml:space="preserve">0.55</w:t>
            </w:r>
          </w:p>
        </w:tc>
        <w:tc>
          <w:p>
            <w:pPr>
              <w:pStyle w:val="Compact"/>
              <w:jc w:val="left"/>
            </w:pPr>
            <w:r>
              <w:t xml:space="preserve">0.17</w:t>
            </w:r>
          </w:p>
        </w:tc>
        <w:tc>
          <w:p>
            <w:pPr>
              <w:pStyle w:val="Compact"/>
              <w:jc w:val="left"/>
            </w:pPr>
            <w:r>
              <w:t xml:space="preserve">0.63</w:t>
            </w:r>
          </w:p>
        </w:tc>
        <w:tc>
          <w:p>
            <w:pPr>
              <w:pStyle w:val="Compact"/>
              <w:jc w:val="left"/>
            </w:pPr>
            <w:r>
              <w:t xml:space="preserve">0.36</w:t>
            </w:r>
          </w:p>
        </w:tc>
      </w:tr>
      <w:tr>
        <w:tc>
          <w:p>
            <w:pPr>
              <w:pStyle w:val="Compact"/>
            </w:pPr>
          </w:p>
        </w:tc>
        <w:tc>
          <w:p>
            <w:pPr>
              <w:pStyle w:val="Compact"/>
              <w:jc w:val="left"/>
            </w:pPr>
            <w:r>
              <w:t xml:space="preserve">NC</w:t>
            </w:r>
          </w:p>
        </w:tc>
        <w:tc>
          <w:p>
            <w:pPr>
              <w:pStyle w:val="Compact"/>
              <w:jc w:val="right"/>
            </w:pPr>
            <w:r>
              <w:t xml:space="preserve">71</w:t>
            </w:r>
          </w:p>
        </w:tc>
        <w:tc>
          <w:p>
            <w:pPr>
              <w:pStyle w:val="Compact"/>
              <w:jc w:val="left"/>
            </w:pPr>
            <w:r>
              <w:t xml:space="preserve">0.94 (0.19)</w:t>
            </w:r>
          </w:p>
        </w:tc>
        <w:tc>
          <w:p>
            <w:pPr>
              <w:pStyle w:val="Compact"/>
              <w:jc w:val="left"/>
            </w:pPr>
            <w:r>
              <w:t xml:space="preserve">0.96 (0.11)</w:t>
            </w:r>
          </w:p>
        </w:tc>
        <w:tc>
          <w:p>
            <w:pPr>
              <w:pStyle w:val="Compact"/>
              <w:jc w:val="left"/>
            </w:pPr>
            <w:r>
              <w:t xml:space="preserve">0.55</w:t>
            </w:r>
          </w:p>
        </w:tc>
        <w:tc>
          <w:p>
            <w:pPr>
              <w:pStyle w:val="Compact"/>
              <w:jc w:val="left"/>
            </w:pPr>
            <w:r>
              <w:t xml:space="preserve">0.16</w:t>
            </w:r>
          </w:p>
        </w:tc>
        <w:tc>
          <w:p>
            <w:pPr>
              <w:pStyle w:val="Compact"/>
              <w:jc w:val="left"/>
            </w:pPr>
            <w:r>
              <w:t xml:space="preserve">0.67</w:t>
            </w:r>
          </w:p>
        </w:tc>
        <w:tc>
          <w:p>
            <w:pPr>
              <w:pStyle w:val="Compact"/>
              <w:jc w:val="left"/>
            </w:pPr>
            <w:r>
              <w:t xml:space="preserve">0.31</w:t>
            </w:r>
          </w:p>
        </w:tc>
      </w:tr>
      <w:tr>
        <w:tc>
          <w:p>
            <w:pPr>
              <w:pStyle w:val="Compact"/>
            </w:pPr>
          </w:p>
        </w:tc>
        <w:tc>
          <w:p>
            <w:pPr>
              <w:pStyle w:val="Compact"/>
              <w:jc w:val="left"/>
            </w:pPr>
            <w:r>
              <w:t xml:space="preserve">SC</w:t>
            </w:r>
          </w:p>
        </w:tc>
        <w:tc>
          <w:p>
            <w:pPr>
              <w:pStyle w:val="Compact"/>
              <w:jc w:val="right"/>
            </w:pPr>
            <w:r>
              <w:t xml:space="preserve">208</w:t>
            </w:r>
          </w:p>
        </w:tc>
        <w:tc>
          <w:p>
            <w:pPr>
              <w:pStyle w:val="Compact"/>
              <w:jc w:val="left"/>
            </w:pPr>
            <w:r>
              <w:t xml:space="preserve">0.80 (0.24)</w:t>
            </w:r>
          </w:p>
        </w:tc>
        <w:tc>
          <w:p>
            <w:pPr>
              <w:pStyle w:val="Compact"/>
              <w:jc w:val="left"/>
            </w:pPr>
            <w:r>
              <w:t xml:space="preserve">0.78 (0.21)</w:t>
            </w:r>
          </w:p>
        </w:tc>
        <w:tc>
          <w:p>
            <w:pPr>
              <w:pStyle w:val="Compact"/>
              <w:jc w:val="left"/>
            </w:pPr>
            <w:r>
              <w:t xml:space="preserve">0.72</w:t>
            </w:r>
          </w:p>
        </w:tc>
        <w:tc>
          <w:p>
            <w:pPr>
              <w:pStyle w:val="Compact"/>
              <w:jc w:val="left"/>
            </w:pPr>
            <w:r>
              <w:t xml:space="preserve">0.17</w:t>
            </w:r>
          </w:p>
        </w:tc>
        <w:tc>
          <w:p>
            <w:pPr>
              <w:pStyle w:val="Compact"/>
              <w:jc w:val="left"/>
            </w:pPr>
            <w:r>
              <w:t xml:space="preserve">0.27</w:t>
            </w:r>
          </w:p>
        </w:tc>
        <w:tc>
          <w:p>
            <w:pPr>
              <w:pStyle w:val="Compact"/>
              <w:jc w:val="left"/>
            </w:pPr>
            <w:r>
              <w:t xml:space="preserve">0.63</w:t>
            </w:r>
          </w:p>
        </w:tc>
      </w:tr>
      <w:tr>
        <w:tc>
          <w:p>
            <w:pPr>
              <w:pStyle w:val="Compact"/>
            </w:pPr>
          </w:p>
        </w:tc>
        <w:tc>
          <w:p>
            <w:pPr>
              <w:pStyle w:val="Compact"/>
              <w:jc w:val="left"/>
            </w:pPr>
            <w:r>
              <w:t xml:space="preserve">SN</w:t>
            </w:r>
          </w:p>
        </w:tc>
        <w:tc>
          <w:p>
            <w:pPr>
              <w:pStyle w:val="Compact"/>
              <w:jc w:val="right"/>
            </w:pPr>
            <w:r>
              <w:t xml:space="preserve">136</w:t>
            </w:r>
          </w:p>
        </w:tc>
        <w:tc>
          <w:p>
            <w:pPr>
              <w:pStyle w:val="Compact"/>
              <w:jc w:val="left"/>
            </w:pPr>
            <w:r>
              <w:t xml:space="preserve">0.97 (0.17)</w:t>
            </w:r>
          </w:p>
        </w:tc>
        <w:tc>
          <w:p>
            <w:pPr>
              <w:pStyle w:val="Compact"/>
              <w:jc w:val="left"/>
            </w:pPr>
            <w:r>
              <w:t xml:space="preserve">0.98 (0.09)</w:t>
            </w:r>
          </w:p>
        </w:tc>
        <w:tc>
          <w:p>
            <w:pPr>
              <w:pStyle w:val="Compact"/>
              <w:jc w:val="left"/>
            </w:pPr>
            <w:r>
              <w:t xml:space="preserve">0.21</w:t>
            </w:r>
          </w:p>
        </w:tc>
        <w:tc>
          <w:p>
            <w:pPr>
              <w:pStyle w:val="Compact"/>
              <w:jc w:val="left"/>
            </w:pPr>
            <w:r>
              <w:t xml:space="preserve">0.17</w:t>
            </w:r>
          </w:p>
        </w:tc>
        <w:tc>
          <w:p>
            <w:pPr>
              <w:pStyle w:val="Compact"/>
              <w:jc w:val="left"/>
            </w:pPr>
            <w:r>
              <w:t xml:space="preserve">0.88</w:t>
            </w:r>
          </w:p>
        </w:tc>
        <w:tc>
          <w:p>
            <w:pPr>
              <w:pStyle w:val="Compact"/>
              <w:jc w:val="left"/>
            </w:pPr>
            <w:r>
              <w:t xml:space="preserve">0.11</w:t>
            </w:r>
          </w:p>
        </w:tc>
      </w:tr>
    </w:tbl>
    <w:p>
      <w:pPr>
        <w:pStyle w:val="Heading1"/>
      </w:pPr>
      <w:bookmarkStart w:id="38" w:name="references"/>
      <w:r>
        <w:t xml:space="preserve">References</w:t>
      </w:r>
      <w:bookmarkEnd w:id="38"/>
    </w:p>
    <w:bookmarkStart w:id="46" w:name="refs"/>
    <w:bookmarkStart w:id="40" w:name="ref-Beck18c"/>
    <w:p>
      <w:pPr>
        <w:pStyle w:val="Bibliography"/>
      </w:pPr>
      <w:r>
        <w:t xml:space="preserve">Beck, M. W. 2018. “SCCWRP/SCAPE: v1.0 (Version 1.0). Zenodo,</w:t>
      </w:r>
      <w:r>
        <w:t xml:space="preserve"> </w:t>
      </w:r>
      <w:hyperlink r:id="rId39">
        <w:r>
          <w:rPr>
            <w:rStyle w:val="Hyperlink"/>
          </w:rPr>
          <w:t xml:space="preserve">http://doi.org/10.5281/zenodo.1218121</w:t>
        </w:r>
      </w:hyperlink>
      <w:r>
        <w:t xml:space="preserve">.”</w:t>
      </w:r>
    </w:p>
    <w:bookmarkEnd w:id="40"/>
    <w:bookmarkStart w:id="42" w:name="ref-Hill16"/>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52:120–28.</w:t>
      </w:r>
      <w:r>
        <w:t xml:space="preserve"> </w:t>
      </w:r>
      <w:hyperlink r:id="rId41">
        <w:r>
          <w:rPr>
            <w:rStyle w:val="Hyperlink"/>
          </w:rPr>
          <w:t xml:space="preserve">https://doi.org/10.1111/1752-1688.12372</w:t>
        </w:r>
      </w:hyperlink>
      <w:r>
        <w:t xml:space="preserve">.</w:t>
      </w:r>
    </w:p>
    <w:bookmarkEnd w:id="42"/>
    <w:bookmarkStart w:id="43" w:name="ref-MacQueen67"/>
    <w:p>
      <w:pPr>
        <w:pStyle w:val="Bibliography"/>
      </w:pPr>
      <w:r>
        <w:t xml:space="preserve">MacQueen, J. 1967. “Some Methods for Classification and Analysis of Multivariate Observations.” In</w:t>
      </w:r>
      <w:r>
        <w:t xml:space="preserve"> </w:t>
      </w:r>
      <w:r>
        <w:rPr>
          <w:i/>
        </w:rPr>
        <w:t xml:space="preserve">Proceedings of the Fifth Berkeley Symposium on Mathematical Statistics and Probability</w:t>
      </w:r>
      <w:r>
        <w:t xml:space="preserve">, edited by L. M. Le Cam and J. Neyman, 281–97. Berkeley, California, USA: University of California Press.</w:t>
      </w:r>
    </w:p>
    <w:bookmarkEnd w:id="43"/>
    <w:bookmarkStart w:id="45" w:name="ref-Meinshausen17"/>
    <w:p>
      <w:pPr>
        <w:pStyle w:val="Bibliography"/>
      </w:pPr>
      <w:r>
        <w:t xml:space="preserve">Meinshausen, Nicolai. 2017.</w:t>
      </w:r>
      <w:r>
        <w:t xml:space="preserve"> </w:t>
      </w:r>
      <w:r>
        <w:rPr>
          <w:i/>
        </w:rPr>
        <w:t xml:space="preserve">QuantregForest: Quantile Regression Forests</w:t>
      </w:r>
      <w:r>
        <w:t xml:space="preserve">.</w:t>
      </w:r>
      <w:r>
        <w:t xml:space="preserve"> </w:t>
      </w:r>
      <w:hyperlink r:id="rId44">
        <w:r>
          <w:rPr>
            <w:rStyle w:val="Hyperlink"/>
          </w:rPr>
          <w:t xml:space="preserve">https://CRAN.R-project.org/package=quantregForest</w:t>
        </w:r>
      </w:hyperlink>
      <w:r>
        <w:t xml:space="preserve">.</w:t>
      </w:r>
    </w:p>
    <w:bookmarkEnd w:id="45"/>
    <w:bookmarkEnd w:id="4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9"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4" Target="https://CRAN.R-project.org/package=quantregForest" TargetMode="External" /><Relationship Type="http://schemas.openxmlformats.org/officeDocument/2006/relationships/hyperlink" Id="rId41"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4" Target="https://CRAN.R-project.org/package=quantregForest" TargetMode="External" /><Relationship Type="http://schemas.openxmlformats.org/officeDocument/2006/relationships/hyperlink" Id="rId41"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2018-07-11T21:16:54Z</dcterms:created>
  <dcterms:modified xsi:type="dcterms:W3CDTF">2018-07-11T21:16:54Z</dcterms:modified>
</cp:coreProperties>
</file>