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B091" w14:textId="77777777" w:rsidR="00A826DC" w:rsidRDefault="005C5C9A">
      <w:pPr>
        <w:pStyle w:val="Title"/>
      </w:pPr>
      <w:r>
        <w:t>Prioritizing management goals for stream biological integrity within the developed landscape context</w:t>
      </w:r>
    </w:p>
    <w:p w14:paraId="0D5B8F88" w14:textId="77777777" w:rsidR="00A826DC" w:rsidRDefault="005C5C9A">
      <w:pPr>
        <w:pStyle w:val="Author"/>
      </w:pPr>
      <w:r>
        <w:t>Marcus W. Beck (</w:t>
      </w:r>
      <w:hyperlink r:id="rId7">
        <w:r>
          <w:rPr>
            <w:rStyle w:val="Hyperlink"/>
          </w:rPr>
          <w:t>marcusb@sccwrp.org</w:t>
        </w:r>
      </w:hyperlink>
      <w:r>
        <w:t>), Raphael D. Mazor (</w:t>
      </w:r>
      <w:hyperlink r:id="rId8">
        <w:r>
          <w:rPr>
            <w:rStyle w:val="Hyperlink"/>
          </w:rPr>
          <w:t>raphaelm@sccwrp.org</w:t>
        </w:r>
      </w:hyperlink>
      <w:r>
        <w:t>), Scott Johnson (</w:t>
      </w:r>
      <w:hyperlink r:id="rId9">
        <w:r>
          <w:rPr>
            <w:rStyle w:val="Hyperlink"/>
          </w:rPr>
          <w:t>scott@aquaticbioassay.com</w:t>
        </w:r>
      </w:hyperlink>
      <w:r>
        <w:t>), Karin Wisenbaker (</w:t>
      </w:r>
      <w:hyperlink r:id="rId10">
        <w:r>
          <w:rPr>
            <w:rStyle w:val="Hyperlink"/>
          </w:rPr>
          <w:t>karin@aquaticbioassay.com</w:t>
        </w:r>
      </w:hyperlink>
      <w:r>
        <w:t>), Joshua Westfall (</w:t>
      </w:r>
      <w:hyperlink r:id="rId11">
        <w:r>
          <w:rPr>
            <w:rStyle w:val="Hyperlink"/>
          </w:rPr>
          <w:t>jwestfall@lacsd.org</w:t>
        </w:r>
      </w:hyperlink>
      <w:r>
        <w:t>), Peter R. Ode (</w:t>
      </w:r>
      <w:hyperlink r:id="rId12">
        <w:r>
          <w:rPr>
            <w:rStyle w:val="Hyperlink"/>
          </w:rPr>
          <w:t>peter.ode@wildlife.ca.gov</w:t>
        </w:r>
      </w:hyperlink>
      <w:r>
        <w:t>), Ryan Hill (</w:t>
      </w:r>
      <w:hyperlink r:id="rId13">
        <w:r>
          <w:rPr>
            <w:rStyle w:val="Hyperlink"/>
          </w:rPr>
          <w:t>hill.ryan@epa.gov</w:t>
        </w:r>
      </w:hyperlink>
      <w:r>
        <w:t>), Chad Loflen (</w:t>
      </w:r>
      <w:hyperlink r:id="rId14">
        <w:r>
          <w:rPr>
            <w:rStyle w:val="Hyperlink"/>
          </w:rPr>
          <w:t>Chad.Loflen@waterboards.ca.gov</w:t>
        </w:r>
      </w:hyperlink>
      <w:r>
        <w:t>), Martha Sutula (</w:t>
      </w:r>
      <w:hyperlink r:id="rId15">
        <w:r>
          <w:rPr>
            <w:rStyle w:val="Hyperlink"/>
          </w:rPr>
          <w:t>marthas@sccwrp.org</w:t>
        </w:r>
      </w:hyperlink>
      <w:r>
        <w:t>), Eric D. Stein (</w:t>
      </w:r>
      <w:hyperlink r:id="rId16">
        <w:r>
          <w:rPr>
            <w:rStyle w:val="Hyperlink"/>
          </w:rPr>
          <w:t>erics@sccwrp.org</w:t>
        </w:r>
      </w:hyperlink>
      <w:r>
        <w:t>)</w:t>
      </w:r>
    </w:p>
    <w:p w14:paraId="0C9E1A9E" w14:textId="77777777" w:rsidR="00A826DC" w:rsidRDefault="005C5C9A">
      <w:pPr>
        <w:pStyle w:val="Heading1"/>
      </w:pPr>
      <w:bookmarkStart w:id="0" w:name="supplement-1-figures-and-tables"/>
      <w:r>
        <w:t>Supplement 1: Figures and Tables</w:t>
      </w:r>
      <w:bookmarkEnd w:id="0"/>
    </w:p>
    <w:p w14:paraId="286FDA72" w14:textId="77777777" w:rsidR="00A826DC" w:rsidRDefault="005C5C9A">
      <w:r>
        <w:rPr>
          <w:noProof/>
        </w:rPr>
        <w:lastRenderedPageBreak/>
        <w:drawing>
          <wp:inline distT="0" distB="0" distL="0" distR="0" wp14:anchorId="34A9E8AF" wp14:editId="75505677">
            <wp:extent cx="5943600" cy="6523867"/>
            <wp:effectExtent l="0" t="0" r="0" b="0"/>
            <wp:docPr id="1" name="Picture" descr="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wp:cNvGraphicFramePr/>
            <a:graphic xmlns:a="http://schemas.openxmlformats.org/drawingml/2006/main">
              <a:graphicData uri="http://schemas.openxmlformats.org/drawingml/2006/picture">
                <pic:pic xmlns:pic="http://schemas.openxmlformats.org/drawingml/2006/picture">
                  <pic:nvPicPr>
                    <pic:cNvPr id="0" name="Picture" descr="figs/app.png"/>
                    <pic:cNvPicPr>
                      <a:picLocks noChangeAspect="1" noChangeArrowheads="1"/>
                    </pic:cNvPicPr>
                  </pic:nvPicPr>
                  <pic:blipFill>
                    <a:blip r:embed="rId17"/>
                    <a:stretch>
                      <a:fillRect/>
                    </a:stretch>
                  </pic:blipFill>
                  <pic:spPr bwMode="auto">
                    <a:xfrm>
                      <a:off x="0" y="0"/>
                      <a:ext cx="5943600" cy="6523867"/>
                    </a:xfrm>
                    <a:prstGeom prst="rect">
                      <a:avLst/>
                    </a:prstGeom>
                    <a:noFill/>
                    <a:ln w="9525">
                      <a:noFill/>
                      <a:headEnd/>
                      <a:tailEnd/>
                    </a:ln>
                  </pic:spPr>
                </pic:pic>
              </a:graphicData>
            </a:graphic>
          </wp:inline>
        </w:drawing>
      </w:r>
    </w:p>
    <w:p w14:paraId="661BFFFC" w14:textId="6E89CFC9" w:rsidR="00A826DC" w:rsidRDefault="005C5C9A">
      <w:pPr>
        <w:pStyle w:val="ImageCaption"/>
      </w:pPr>
      <w:r>
        <w:t>Figu</w:t>
      </w:r>
      <w:r>
        <w:t>re S</w:t>
      </w:r>
      <w:r>
        <w:t>1 Screenshots from the Stream Classification and Priority Explorer (SCAPE) tool used by the stakeholder group to interact with and use results from the landscape model. The application allowed users to visualize results of segment classifications, relat</w:t>
      </w:r>
      <w:r>
        <w:t xml:space="preserve">ive site scores for the CSCI based on the expectation, and recommend management actions for each segment type. The app is accessible at </w:t>
      </w:r>
      <w:hyperlink r:id="rId18">
        <w:r>
          <w:rPr>
            <w:rStyle w:val="Hyperlink"/>
          </w:rPr>
          <w:t>http://shiny.sccwrp.org/scape/</w:t>
        </w:r>
      </w:hyperlink>
      <w:r>
        <w:t xml:space="preserve"> (Beck </w:t>
      </w:r>
      <w:hyperlink w:anchor="ref-Beck18c">
        <w:r>
          <w:rPr>
            <w:rStyle w:val="Hyperlink"/>
          </w:rPr>
          <w:t>2018</w:t>
        </w:r>
      </w:hyperlink>
      <w:r>
        <w:t>).</w:t>
      </w:r>
    </w:p>
    <w:p w14:paraId="5B3845B4" w14:textId="77777777" w:rsidR="00A826DC" w:rsidRDefault="005C5C9A">
      <w:r>
        <w:rPr>
          <w:noProof/>
        </w:rPr>
        <w:lastRenderedPageBreak/>
        <w:drawing>
          <wp:inline distT="0" distB="0" distL="0" distR="0" wp14:anchorId="26120BB8" wp14:editId="1D584852">
            <wp:extent cx="5504749" cy="5504749"/>
            <wp:effectExtent l="0" t="0" r="0" b="0"/>
            <wp:docPr id="2" name="Picture"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wp:cNvGraphicFramePr/>
            <a:graphic xmlns:a="http://schemas.openxmlformats.org/drawingml/2006/main">
              <a:graphicData uri="http://schemas.openxmlformats.org/drawingml/2006/picture">
                <pic:pic xmlns:pic="http://schemas.openxmlformats.org/drawingml/2006/picture">
                  <pic:nvPicPr>
                    <pic:cNvPr id="0" name="Picture" descr="figs/perflu.png"/>
                    <pic:cNvPicPr>
                      <a:picLocks noChangeAspect="1" noChangeArrowheads="1"/>
                    </pic:cNvPicPr>
                  </pic:nvPicPr>
                  <pic:blipFill>
                    <a:blip r:embed="rId19"/>
                    <a:stretch>
                      <a:fillRect/>
                    </a:stretch>
                  </pic:blipFill>
                  <pic:spPr bwMode="auto">
                    <a:xfrm>
                      <a:off x="0" y="0"/>
                      <a:ext cx="5504749" cy="5504749"/>
                    </a:xfrm>
                    <a:prstGeom prst="rect">
                      <a:avLst/>
                    </a:prstGeom>
                    <a:noFill/>
                    <a:ln w="9525">
                      <a:noFill/>
                      <a:headEnd/>
                      <a:tailEnd/>
                    </a:ln>
                  </pic:spPr>
                </pic:pic>
              </a:graphicData>
            </a:graphic>
          </wp:inline>
        </w:drawing>
      </w:r>
    </w:p>
    <w:p w14:paraId="18D6FE75" w14:textId="2538A1EA" w:rsidR="00A826DC" w:rsidRDefault="005C5C9A">
      <w:pPr>
        <w:pStyle w:val="ImageCaption"/>
      </w:pPr>
      <w:r>
        <w:t>Figure S</w:t>
      </w:r>
      <w:r>
        <w:t xml:space="preserve">2 Model performance in relation to land cover and land cover by major regions in California. Model residuals (CSCI predicted - observed) were smaller in regions with more urban or agricultural land use (e.g., SC, CV) and larger in regions </w:t>
      </w:r>
      <w:r>
        <w:t>with less anthropogenic land use (e.g., SN, DM). CV: Central Valley, CH: Chaparral, DM: Deserts and Modoc Plateau, NC: North Coast, SN: Sierra Nevada, SC: South Coast.</w:t>
      </w:r>
    </w:p>
    <w:p w14:paraId="0AEC8FD8" w14:textId="77777777" w:rsidR="00A826DC" w:rsidRDefault="005C5C9A">
      <w:r>
        <w:rPr>
          <w:noProof/>
        </w:rPr>
        <w:lastRenderedPageBreak/>
        <w:drawing>
          <wp:inline distT="0" distB="0" distL="0" distR="0" wp14:anchorId="5EDB2749" wp14:editId="187F0FE3">
            <wp:extent cx="5943600" cy="4033157"/>
            <wp:effectExtent l="0" t="0" r="0" b="0"/>
            <wp:docPr id="3" name="Picture" descr="Figure 3 Template provided to stakeholders for prioritization of recommended actions for each stream type. The segment types (Table S2)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wp:cNvGraphicFramePr/>
            <a:graphic xmlns:a="http://schemas.openxmlformats.org/drawingml/2006/main">
              <a:graphicData uri="http://schemas.openxmlformats.org/drawingml/2006/picture">
                <pic:pic xmlns:pic="http://schemas.openxmlformats.org/drawingml/2006/picture">
                  <pic:nvPicPr>
                    <pic:cNvPr id="0" name="Picture" descr="figs/pritem.png"/>
                    <pic:cNvPicPr>
                      <a:picLocks noChangeAspect="1" noChangeArrowheads="1"/>
                    </pic:cNvPicPr>
                  </pic:nvPicPr>
                  <pic:blipFill>
                    <a:blip r:embed="rId20"/>
                    <a:stretch>
                      <a:fillRect/>
                    </a:stretch>
                  </pic:blipFill>
                  <pic:spPr bwMode="auto">
                    <a:xfrm>
                      <a:off x="0" y="0"/>
                      <a:ext cx="5943600" cy="4033157"/>
                    </a:xfrm>
                    <a:prstGeom prst="rect">
                      <a:avLst/>
                    </a:prstGeom>
                    <a:noFill/>
                    <a:ln w="9525">
                      <a:noFill/>
                      <a:headEnd/>
                      <a:tailEnd/>
                    </a:ln>
                  </pic:spPr>
                </pic:pic>
              </a:graphicData>
            </a:graphic>
          </wp:inline>
        </w:drawing>
      </w:r>
    </w:p>
    <w:p w14:paraId="305713EE" w14:textId="14B3407A" w:rsidR="00A826DC" w:rsidRDefault="005C5C9A">
      <w:pPr>
        <w:pStyle w:val="ImageCaption"/>
      </w:pPr>
      <w:r>
        <w:t>Figure S</w:t>
      </w:r>
      <w:r>
        <w:t>3 Template provided to stakeholders for prioritization of recommended actions f</w:t>
      </w:r>
      <w:r>
        <w:t>or each stream type. The segment types (Table S2) relate to the stream class for the biological expectation (likely unconstrained, possibly unconstrained, possibly constrained, likely constrained), relative site score for the observed CSCI (over-scoring, e</w:t>
      </w:r>
      <w:r>
        <w:t>xpected, under-scoring), and location of the score relative to a hypothetical biological threshold (dashed line, above or below). Horizontal lines are the ranges of expected CSCI scores for a site with tick marks for the median. Priority actions defined by</w:t>
      </w:r>
      <w:r>
        <w:t xml:space="preserve"> stakeholders are shown on the right for each stream type. Actions are generalized as investigate, protect, or monitor as high (H), medium (M), or low (L) priority. Blank cells indicate that no additional measures are recommended beyond the baseline monito</w:t>
      </w:r>
      <w:r>
        <w:t>ring and maintenance practiced at all sites.</w:t>
      </w:r>
    </w:p>
    <w:p w14:paraId="17A46FB9" w14:textId="77777777" w:rsidR="00A826DC" w:rsidRDefault="005C5C9A">
      <w:r>
        <w:rPr>
          <w:noProof/>
        </w:rPr>
        <w:lastRenderedPageBreak/>
        <w:drawing>
          <wp:inline distT="0" distB="0" distL="0" distR="0" wp14:anchorId="5D912E50" wp14:editId="25AA8B68">
            <wp:extent cx="5943600" cy="4245428"/>
            <wp:effectExtent l="0" t="0" r="0" b="0"/>
            <wp:docPr id="4" name="Picture"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wp:cNvGraphicFramePr/>
            <a:graphic xmlns:a="http://schemas.openxmlformats.org/drawingml/2006/main">
              <a:graphicData uri="http://schemas.openxmlformats.org/drawingml/2006/picture">
                <pic:pic xmlns:pic="http://schemas.openxmlformats.org/drawingml/2006/picture">
                  <pic:nvPicPr>
                    <pic:cNvPr id="0" name="Picture" descr="figs/calicnstr.png"/>
                    <pic:cNvPicPr>
                      <a:picLocks noChangeAspect="1" noChangeArrowheads="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14:paraId="1A5ED304" w14:textId="3A4A713A" w:rsidR="00A826DC" w:rsidRDefault="005C5C9A">
      <w:pPr>
        <w:pStyle w:val="ImageCaption"/>
      </w:pPr>
      <w:r>
        <w:t>Figure S</w:t>
      </w:r>
      <w:r>
        <w:t>4 Factors associated with constrained and unconstrained stream segments by major regions in California. Importance measures were obtained from random forest models of 130 watershed and riparian measures</w:t>
      </w:r>
      <w:r>
        <w:t xml:space="preserve"> of landscape and geological characteristics from the StreamCat dataset (Hill et al. </w:t>
      </w:r>
      <w:hyperlink w:anchor="ref-Hill16">
        <w:r>
          <w:rPr>
            <w:rStyle w:val="Hyperlink"/>
          </w:rPr>
          <w:t>2016</w:t>
        </w:r>
      </w:hyperlink>
      <w:r>
        <w:t>). The top five variables for each region are shown. The importance measures describe the mean decrease in prediction accuracy with ex</w:t>
      </w:r>
      <w:r>
        <w:t xml:space="preserve">clusion of a variable across 1000 random trees for each model. Stream segment classes as possibly or likely were combined for constrained and unconstrained to evaluate the complete dataset. CV: Central Valley, CH: Chaparral, DM: Deserts and Modoc Plateau, </w:t>
      </w:r>
      <w:r>
        <w:t>NC: North Coast, SN: Sierra Nevada, SC: South Coast.</w:t>
      </w:r>
    </w:p>
    <w:p w14:paraId="42D20CE1" w14:textId="77777777" w:rsidR="00A826DC" w:rsidRDefault="005C5C9A">
      <w:r>
        <w:rPr>
          <w:noProof/>
        </w:rPr>
        <w:lastRenderedPageBreak/>
        <w:drawing>
          <wp:inline distT="0" distB="0" distL="0" distR="0" wp14:anchorId="1AB2CE2E" wp14:editId="589C736E">
            <wp:extent cx="5943600" cy="4245428"/>
            <wp:effectExtent l="0" t="0" r="0" b="0"/>
            <wp:docPr id="5" name="Picture" descr="Figure 5 Importance measures for landscape variables used to develop the landscape model of expected stream bioassessment scores in California. Values were obtained from quantile regression models of twenty landscape measures shown in Table S1 obtained from the StreamCat dataset (Hill et al. 2016). The importance measures describe the percent increase in mean square error and the increase in node impurity with exclusion of a variable across all random trees for each model (Meinshausen 2017)."/>
            <wp:cNvGraphicFramePr/>
            <a:graphic xmlns:a="http://schemas.openxmlformats.org/drawingml/2006/main">
              <a:graphicData uri="http://schemas.openxmlformats.org/drawingml/2006/picture">
                <pic:pic xmlns:pic="http://schemas.openxmlformats.org/drawingml/2006/picture">
                  <pic:nvPicPr>
                    <pic:cNvPr id="0" name="Picture" descr="figs/lndscpimp.png"/>
                    <pic:cNvPicPr>
                      <a:picLocks noChangeAspect="1" noChangeArrowheads="1"/>
                    </pic:cNvPicPr>
                  </pic:nvPicPr>
                  <pic:blipFill>
                    <a:blip r:embed="rId22"/>
                    <a:stretch>
                      <a:fillRect/>
                    </a:stretch>
                  </pic:blipFill>
                  <pic:spPr bwMode="auto">
                    <a:xfrm>
                      <a:off x="0" y="0"/>
                      <a:ext cx="5943600" cy="4245428"/>
                    </a:xfrm>
                    <a:prstGeom prst="rect">
                      <a:avLst/>
                    </a:prstGeom>
                    <a:noFill/>
                    <a:ln w="9525">
                      <a:noFill/>
                      <a:headEnd/>
                      <a:tailEnd/>
                    </a:ln>
                  </pic:spPr>
                </pic:pic>
              </a:graphicData>
            </a:graphic>
          </wp:inline>
        </w:drawing>
      </w:r>
    </w:p>
    <w:p w14:paraId="0F44F812" w14:textId="559BE8C1" w:rsidR="00A826DC" w:rsidRDefault="005C5C9A">
      <w:pPr>
        <w:pStyle w:val="ImageCaption"/>
      </w:pPr>
      <w:r>
        <w:t>Figure S</w:t>
      </w:r>
      <w:r>
        <w:t>5 Importance measures for landscape variables used to develop the landscape model of expected stream bioassessment scores in California. Values were obtained from quantile regression models of t</w:t>
      </w:r>
      <w:r>
        <w:t xml:space="preserve">wenty landscape measures shown in Table S1 obtained from the StreamCat dataset (Hill et al. </w:t>
      </w:r>
      <w:hyperlink w:anchor="ref-Hill16">
        <w:r>
          <w:rPr>
            <w:rStyle w:val="Hyperlink"/>
          </w:rPr>
          <w:t>2016</w:t>
        </w:r>
      </w:hyperlink>
      <w:r>
        <w:t>)</w:t>
      </w:r>
      <w:r>
        <w:t xml:space="preserve">. The importance measures describe the percent increase in mean square error and the increase in node impurity with exclusion of a variable across all random trees for each model (Meinshausen </w:t>
      </w:r>
      <w:hyperlink w:anchor="ref-Meinshausen17">
        <w:r>
          <w:rPr>
            <w:rStyle w:val="Hyperlink"/>
          </w:rPr>
          <w:t>2017</w:t>
        </w:r>
      </w:hyperlink>
      <w:r>
        <w:t>).</w:t>
      </w:r>
    </w:p>
    <w:p w14:paraId="0424CE45" w14:textId="77777777" w:rsidR="005C5C9A" w:rsidRDefault="005C5C9A">
      <w:pPr>
        <w:pStyle w:val="TableCaption"/>
      </w:pPr>
    </w:p>
    <w:p w14:paraId="7D00A5C7" w14:textId="77777777" w:rsidR="005C5C9A" w:rsidRDefault="005C5C9A">
      <w:pPr>
        <w:rPr>
          <w:i/>
        </w:rPr>
      </w:pPr>
      <w:r>
        <w:br w:type="page"/>
      </w:r>
    </w:p>
    <w:p w14:paraId="63ED8654" w14:textId="3113C2C5" w:rsidR="00A826DC" w:rsidRDefault="005C5C9A">
      <w:pPr>
        <w:pStyle w:val="TableCaption"/>
      </w:pPr>
      <w:r>
        <w:lastRenderedPageBreak/>
        <w:t>Table S</w:t>
      </w:r>
      <w:r>
        <w:t xml:space="preserve">1 Land use </w:t>
      </w:r>
      <w:r>
        <w:t xml:space="preserve">variables used to develop the landscape model of stream bioassessment scores. All variables were obtained from StreamCat (Hill et al. </w:t>
      </w:r>
      <w:hyperlink w:anchor="ref-Hill16">
        <w:r>
          <w:rPr>
            <w:rStyle w:val="Hyperlink"/>
          </w:rPr>
          <w:t>2016</w:t>
        </w:r>
      </w:hyperlink>
      <w:r>
        <w:t>). The measurement scale for each variable is at the catchment, watershed, and/or rip</w:t>
      </w:r>
      <w:r>
        <w:t>arian scale (100 m buffer) relative to a stream segment. Total urban and agriculture land use variables were based on sums of indvidual variables in StreamCat as noted in the desciption.</w:t>
      </w:r>
    </w:p>
    <w:tbl>
      <w:tblPr>
        <w:tblW w:w="0" w:type="pct"/>
        <w:tblLook w:val="07E0" w:firstRow="1" w:lastRow="1" w:firstColumn="1" w:lastColumn="1" w:noHBand="1" w:noVBand="1"/>
      </w:tblPr>
      <w:tblGrid>
        <w:gridCol w:w="2376"/>
        <w:gridCol w:w="1513"/>
        <w:gridCol w:w="4090"/>
        <w:gridCol w:w="1597"/>
      </w:tblGrid>
      <w:tr w:rsidR="00A826DC" w14:paraId="57D39152" w14:textId="77777777">
        <w:tc>
          <w:tcPr>
            <w:tcW w:w="0" w:type="auto"/>
            <w:tcBorders>
              <w:bottom w:val="single" w:sz="0" w:space="0" w:color="auto"/>
            </w:tcBorders>
            <w:vAlign w:val="bottom"/>
          </w:tcPr>
          <w:p w14:paraId="2A4742C5" w14:textId="77777777" w:rsidR="00A826DC" w:rsidRDefault="005C5C9A">
            <w:pPr>
              <w:pStyle w:val="Compact"/>
            </w:pPr>
            <w:r>
              <w:t>Name</w:t>
            </w:r>
          </w:p>
        </w:tc>
        <w:tc>
          <w:tcPr>
            <w:tcW w:w="0" w:type="auto"/>
            <w:tcBorders>
              <w:bottom w:val="single" w:sz="0" w:space="0" w:color="auto"/>
            </w:tcBorders>
            <w:vAlign w:val="bottom"/>
          </w:tcPr>
          <w:p w14:paraId="0AD95BE2" w14:textId="77777777" w:rsidR="00A826DC" w:rsidRDefault="005C5C9A">
            <w:pPr>
              <w:pStyle w:val="Compact"/>
            </w:pPr>
            <w:r>
              <w:t>Scale</w:t>
            </w:r>
          </w:p>
        </w:tc>
        <w:tc>
          <w:tcPr>
            <w:tcW w:w="0" w:type="auto"/>
            <w:tcBorders>
              <w:bottom w:val="single" w:sz="0" w:space="0" w:color="auto"/>
            </w:tcBorders>
            <w:vAlign w:val="bottom"/>
          </w:tcPr>
          <w:p w14:paraId="4FA6982F" w14:textId="77777777" w:rsidR="00A826DC" w:rsidRDefault="005C5C9A">
            <w:pPr>
              <w:pStyle w:val="Compact"/>
            </w:pPr>
            <w:r>
              <w:t>Description</w:t>
            </w:r>
          </w:p>
        </w:tc>
        <w:tc>
          <w:tcPr>
            <w:tcW w:w="0" w:type="auto"/>
            <w:tcBorders>
              <w:bottom w:val="single" w:sz="0" w:space="0" w:color="auto"/>
            </w:tcBorders>
            <w:vAlign w:val="bottom"/>
          </w:tcPr>
          <w:p w14:paraId="45292DEC" w14:textId="77777777" w:rsidR="00A826DC" w:rsidRDefault="005C5C9A">
            <w:pPr>
              <w:pStyle w:val="Compact"/>
            </w:pPr>
            <w:r>
              <w:t>Unit</w:t>
            </w:r>
          </w:p>
        </w:tc>
      </w:tr>
      <w:tr w:rsidR="00A826DC" w14:paraId="754D5E28" w14:textId="77777777">
        <w:tc>
          <w:tcPr>
            <w:tcW w:w="0" w:type="auto"/>
          </w:tcPr>
          <w:p w14:paraId="6A7AE7C7" w14:textId="77777777" w:rsidR="00A826DC" w:rsidRDefault="005C5C9A">
            <w:pPr>
              <w:pStyle w:val="Compact"/>
            </w:pPr>
            <w:r>
              <w:t>CanalDensCat</w:t>
            </w:r>
          </w:p>
        </w:tc>
        <w:tc>
          <w:tcPr>
            <w:tcW w:w="0" w:type="auto"/>
          </w:tcPr>
          <w:p w14:paraId="081ABA34" w14:textId="77777777" w:rsidR="00A826DC" w:rsidRDefault="005C5C9A">
            <w:pPr>
              <w:pStyle w:val="Compact"/>
            </w:pPr>
            <w:r>
              <w:t>catchment</w:t>
            </w:r>
          </w:p>
        </w:tc>
        <w:tc>
          <w:tcPr>
            <w:tcW w:w="0" w:type="auto"/>
          </w:tcPr>
          <w:p w14:paraId="04660881" w14:textId="77777777" w:rsidR="00A826DC" w:rsidRDefault="005C5C9A">
            <w:pPr>
              <w:pStyle w:val="Compact"/>
            </w:pPr>
            <w:r>
              <w:t>Density of NHDPlus line features classified as canal, ditch, or pipeline</w:t>
            </w:r>
          </w:p>
        </w:tc>
        <w:tc>
          <w:tcPr>
            <w:tcW w:w="0" w:type="auto"/>
          </w:tcPr>
          <w:p w14:paraId="5960E566" w14:textId="77777777" w:rsidR="00A826DC" w:rsidRDefault="005C5C9A">
            <w:pPr>
              <w:pStyle w:val="Compact"/>
            </w:pPr>
            <w:r>
              <w:t>km/sq km</w:t>
            </w:r>
          </w:p>
        </w:tc>
      </w:tr>
      <w:tr w:rsidR="00A826DC" w14:paraId="2C3AEA65" w14:textId="77777777">
        <w:tc>
          <w:tcPr>
            <w:tcW w:w="0" w:type="auto"/>
          </w:tcPr>
          <w:p w14:paraId="34221826" w14:textId="77777777" w:rsidR="00A826DC" w:rsidRDefault="005C5C9A">
            <w:pPr>
              <w:pStyle w:val="Compact"/>
            </w:pPr>
            <w:r>
              <w:t>CanalDensWs</w:t>
            </w:r>
          </w:p>
        </w:tc>
        <w:tc>
          <w:tcPr>
            <w:tcW w:w="0" w:type="auto"/>
          </w:tcPr>
          <w:p w14:paraId="1B0527C6" w14:textId="77777777" w:rsidR="00A826DC" w:rsidRDefault="005C5C9A">
            <w:pPr>
              <w:pStyle w:val="Compact"/>
            </w:pPr>
            <w:r>
              <w:t>watershed</w:t>
            </w:r>
          </w:p>
        </w:tc>
        <w:tc>
          <w:tcPr>
            <w:tcW w:w="0" w:type="auto"/>
          </w:tcPr>
          <w:p w14:paraId="2FD392B9" w14:textId="77777777" w:rsidR="00A826DC" w:rsidRDefault="005C5C9A">
            <w:pPr>
              <w:pStyle w:val="Compact"/>
            </w:pPr>
            <w:r>
              <w:t>Density of NHDPlus line features classified as canal, ditch, or pipeline</w:t>
            </w:r>
          </w:p>
        </w:tc>
        <w:tc>
          <w:tcPr>
            <w:tcW w:w="0" w:type="auto"/>
          </w:tcPr>
          <w:p w14:paraId="62B09B19" w14:textId="77777777" w:rsidR="00A826DC" w:rsidRDefault="005C5C9A">
            <w:pPr>
              <w:pStyle w:val="Compact"/>
            </w:pPr>
            <w:r>
              <w:t>km/sq km</w:t>
            </w:r>
          </w:p>
        </w:tc>
      </w:tr>
      <w:tr w:rsidR="00A826DC" w14:paraId="52596E2F" w14:textId="77777777">
        <w:tc>
          <w:tcPr>
            <w:tcW w:w="0" w:type="auto"/>
          </w:tcPr>
          <w:p w14:paraId="6B3EF623" w14:textId="77777777" w:rsidR="00A826DC" w:rsidRDefault="005C5C9A">
            <w:pPr>
              <w:pStyle w:val="Compact"/>
            </w:pPr>
            <w:r>
              <w:t>PctImp2006Cat</w:t>
            </w:r>
          </w:p>
        </w:tc>
        <w:tc>
          <w:tcPr>
            <w:tcW w:w="0" w:type="auto"/>
          </w:tcPr>
          <w:p w14:paraId="6975878F" w14:textId="77777777" w:rsidR="00A826DC" w:rsidRDefault="005C5C9A">
            <w:pPr>
              <w:pStyle w:val="Compact"/>
            </w:pPr>
            <w:r>
              <w:t>catchment</w:t>
            </w:r>
          </w:p>
        </w:tc>
        <w:tc>
          <w:tcPr>
            <w:tcW w:w="0" w:type="auto"/>
          </w:tcPr>
          <w:p w14:paraId="5CDE7A0D" w14:textId="77777777" w:rsidR="00A826DC" w:rsidRDefault="005C5C9A">
            <w:pPr>
              <w:pStyle w:val="Compact"/>
            </w:pPr>
            <w:r>
              <w:t>Mean imperviousness of anthropogenic surface</w:t>
            </w:r>
            <w:r>
              <w:t>s (NLCD 2006)</w:t>
            </w:r>
          </w:p>
        </w:tc>
        <w:tc>
          <w:tcPr>
            <w:tcW w:w="0" w:type="auto"/>
          </w:tcPr>
          <w:p w14:paraId="5DFD1D49" w14:textId="77777777" w:rsidR="00A826DC" w:rsidRDefault="005C5C9A">
            <w:pPr>
              <w:pStyle w:val="Compact"/>
            </w:pPr>
            <w:r>
              <w:t>%</w:t>
            </w:r>
          </w:p>
        </w:tc>
      </w:tr>
      <w:tr w:rsidR="00A826DC" w14:paraId="76CF41AE" w14:textId="77777777">
        <w:tc>
          <w:tcPr>
            <w:tcW w:w="0" w:type="auto"/>
          </w:tcPr>
          <w:p w14:paraId="4BE4D3CB" w14:textId="77777777" w:rsidR="00A826DC" w:rsidRDefault="005C5C9A">
            <w:pPr>
              <w:pStyle w:val="Compact"/>
            </w:pPr>
            <w:r>
              <w:t>PctImp2006Ws</w:t>
            </w:r>
          </w:p>
        </w:tc>
        <w:tc>
          <w:tcPr>
            <w:tcW w:w="0" w:type="auto"/>
          </w:tcPr>
          <w:p w14:paraId="249E00F8" w14:textId="77777777" w:rsidR="00A826DC" w:rsidRDefault="005C5C9A">
            <w:pPr>
              <w:pStyle w:val="Compact"/>
            </w:pPr>
            <w:r>
              <w:t>watershed</w:t>
            </w:r>
          </w:p>
        </w:tc>
        <w:tc>
          <w:tcPr>
            <w:tcW w:w="0" w:type="auto"/>
          </w:tcPr>
          <w:p w14:paraId="5C97E4FC" w14:textId="77777777" w:rsidR="00A826DC" w:rsidRDefault="005C5C9A">
            <w:pPr>
              <w:pStyle w:val="Compact"/>
            </w:pPr>
            <w:r>
              <w:t>Mean imperviousness of anthropogenic surfaces (NLCD 2006)</w:t>
            </w:r>
          </w:p>
        </w:tc>
        <w:tc>
          <w:tcPr>
            <w:tcW w:w="0" w:type="auto"/>
          </w:tcPr>
          <w:p w14:paraId="4A388EE8" w14:textId="77777777" w:rsidR="00A826DC" w:rsidRDefault="005C5C9A">
            <w:pPr>
              <w:pStyle w:val="Compact"/>
            </w:pPr>
            <w:r>
              <w:t>%</w:t>
            </w:r>
          </w:p>
        </w:tc>
      </w:tr>
      <w:tr w:rsidR="00A826DC" w14:paraId="052197FA" w14:textId="77777777">
        <w:tc>
          <w:tcPr>
            <w:tcW w:w="0" w:type="auto"/>
          </w:tcPr>
          <w:p w14:paraId="0817A388" w14:textId="77777777" w:rsidR="00A826DC" w:rsidRDefault="005C5C9A">
            <w:pPr>
              <w:pStyle w:val="Compact"/>
            </w:pPr>
            <w:r>
              <w:t>PctImp2006CatRp100</w:t>
            </w:r>
          </w:p>
        </w:tc>
        <w:tc>
          <w:tcPr>
            <w:tcW w:w="0" w:type="auto"/>
          </w:tcPr>
          <w:p w14:paraId="0DE93A81" w14:textId="77777777" w:rsidR="00A826DC" w:rsidRDefault="005C5C9A">
            <w:pPr>
              <w:pStyle w:val="Compact"/>
            </w:pPr>
            <w:r>
              <w:t>catchment, riparian</w:t>
            </w:r>
          </w:p>
        </w:tc>
        <w:tc>
          <w:tcPr>
            <w:tcW w:w="0" w:type="auto"/>
          </w:tcPr>
          <w:p w14:paraId="47760CC7" w14:textId="77777777" w:rsidR="00A826DC" w:rsidRDefault="005C5C9A">
            <w:pPr>
              <w:pStyle w:val="Compact"/>
            </w:pPr>
            <w:r>
              <w:t>Mean imperviousness of anthropogenic surfaces (NLCD 2006)</w:t>
            </w:r>
          </w:p>
        </w:tc>
        <w:tc>
          <w:tcPr>
            <w:tcW w:w="0" w:type="auto"/>
          </w:tcPr>
          <w:p w14:paraId="16D504B0" w14:textId="77777777" w:rsidR="00A826DC" w:rsidRDefault="005C5C9A">
            <w:pPr>
              <w:pStyle w:val="Compact"/>
            </w:pPr>
            <w:r>
              <w:t>%</w:t>
            </w:r>
          </w:p>
        </w:tc>
      </w:tr>
      <w:tr w:rsidR="00A826DC" w14:paraId="0DBBA01E" w14:textId="77777777">
        <w:tc>
          <w:tcPr>
            <w:tcW w:w="0" w:type="auto"/>
          </w:tcPr>
          <w:p w14:paraId="74D00299" w14:textId="77777777" w:rsidR="00A826DC" w:rsidRDefault="005C5C9A">
            <w:pPr>
              <w:pStyle w:val="Compact"/>
            </w:pPr>
            <w:r>
              <w:t>PctImp2006WsRp100</w:t>
            </w:r>
          </w:p>
        </w:tc>
        <w:tc>
          <w:tcPr>
            <w:tcW w:w="0" w:type="auto"/>
          </w:tcPr>
          <w:p w14:paraId="6B008AEF" w14:textId="77777777" w:rsidR="00A826DC" w:rsidRDefault="005C5C9A">
            <w:pPr>
              <w:pStyle w:val="Compact"/>
            </w:pPr>
            <w:r>
              <w:t>watershed, riparian</w:t>
            </w:r>
          </w:p>
        </w:tc>
        <w:tc>
          <w:tcPr>
            <w:tcW w:w="0" w:type="auto"/>
          </w:tcPr>
          <w:p w14:paraId="0EDEEDA3" w14:textId="77777777" w:rsidR="00A826DC" w:rsidRDefault="005C5C9A">
            <w:pPr>
              <w:pStyle w:val="Compact"/>
            </w:pPr>
            <w:r>
              <w:t>Mean imperviousness of anthropogenic surfaces (NLCD 2006)</w:t>
            </w:r>
          </w:p>
        </w:tc>
        <w:tc>
          <w:tcPr>
            <w:tcW w:w="0" w:type="auto"/>
          </w:tcPr>
          <w:p w14:paraId="194F2E9B" w14:textId="77777777" w:rsidR="00A826DC" w:rsidRDefault="005C5C9A">
            <w:pPr>
              <w:pStyle w:val="Compact"/>
            </w:pPr>
            <w:r>
              <w:t>%</w:t>
            </w:r>
          </w:p>
        </w:tc>
      </w:tr>
      <w:tr w:rsidR="00A826DC" w14:paraId="606563D2" w14:textId="77777777">
        <w:tc>
          <w:tcPr>
            <w:tcW w:w="0" w:type="auto"/>
          </w:tcPr>
          <w:p w14:paraId="71FA4E07" w14:textId="77777777" w:rsidR="00A826DC" w:rsidRDefault="005C5C9A">
            <w:pPr>
              <w:pStyle w:val="Compact"/>
            </w:pPr>
            <w:r>
              <w:t>TotUrb2011Ws</w:t>
            </w:r>
          </w:p>
        </w:tc>
        <w:tc>
          <w:tcPr>
            <w:tcW w:w="0" w:type="auto"/>
          </w:tcPr>
          <w:p w14:paraId="2A90460D" w14:textId="77777777" w:rsidR="00A826DC" w:rsidRDefault="005C5C9A">
            <w:pPr>
              <w:pStyle w:val="Compact"/>
            </w:pPr>
            <w:r>
              <w:t>watershed</w:t>
            </w:r>
          </w:p>
        </w:tc>
        <w:tc>
          <w:tcPr>
            <w:tcW w:w="0" w:type="auto"/>
          </w:tcPr>
          <w:p w14:paraId="7BDC1C96" w14:textId="77777777" w:rsidR="00A826DC" w:rsidRDefault="005C5C9A">
            <w:pPr>
              <w:pStyle w:val="Compact"/>
            </w:pPr>
            <w:r>
              <w:t>Total urban land use as sum of developed open, low, medium, and high intensity (NLCD 2011)</w:t>
            </w:r>
          </w:p>
        </w:tc>
        <w:tc>
          <w:tcPr>
            <w:tcW w:w="0" w:type="auto"/>
          </w:tcPr>
          <w:p w14:paraId="4641ABB7" w14:textId="77777777" w:rsidR="00A826DC" w:rsidRDefault="005C5C9A">
            <w:pPr>
              <w:pStyle w:val="Compact"/>
            </w:pPr>
            <w:r>
              <w:t>%</w:t>
            </w:r>
          </w:p>
        </w:tc>
      </w:tr>
      <w:tr w:rsidR="00A826DC" w14:paraId="1961BFCB" w14:textId="77777777">
        <w:tc>
          <w:tcPr>
            <w:tcW w:w="0" w:type="auto"/>
          </w:tcPr>
          <w:p w14:paraId="2CB34F0D" w14:textId="77777777" w:rsidR="00A826DC" w:rsidRDefault="005C5C9A">
            <w:pPr>
              <w:pStyle w:val="Compact"/>
            </w:pPr>
            <w:r>
              <w:t>TotUrb2011Cat</w:t>
            </w:r>
          </w:p>
        </w:tc>
        <w:tc>
          <w:tcPr>
            <w:tcW w:w="0" w:type="auto"/>
          </w:tcPr>
          <w:p w14:paraId="75EC5E71" w14:textId="77777777" w:rsidR="00A826DC" w:rsidRDefault="005C5C9A">
            <w:pPr>
              <w:pStyle w:val="Compact"/>
            </w:pPr>
            <w:r>
              <w:t>catchment</w:t>
            </w:r>
          </w:p>
        </w:tc>
        <w:tc>
          <w:tcPr>
            <w:tcW w:w="0" w:type="auto"/>
          </w:tcPr>
          <w:p w14:paraId="07F00226" w14:textId="77777777" w:rsidR="00A826DC" w:rsidRDefault="005C5C9A">
            <w:pPr>
              <w:pStyle w:val="Compact"/>
            </w:pPr>
            <w:r>
              <w:t>Total urban land use as sum of developed open, low, me</w:t>
            </w:r>
            <w:r>
              <w:t>dium, and high intensity (NLCD 2011)</w:t>
            </w:r>
          </w:p>
        </w:tc>
        <w:tc>
          <w:tcPr>
            <w:tcW w:w="0" w:type="auto"/>
          </w:tcPr>
          <w:p w14:paraId="1D8F3144" w14:textId="77777777" w:rsidR="00A826DC" w:rsidRDefault="005C5C9A">
            <w:pPr>
              <w:pStyle w:val="Compact"/>
            </w:pPr>
            <w:r>
              <w:t>%</w:t>
            </w:r>
          </w:p>
        </w:tc>
      </w:tr>
      <w:tr w:rsidR="00A826DC" w14:paraId="5C169B37" w14:textId="77777777">
        <w:tc>
          <w:tcPr>
            <w:tcW w:w="0" w:type="auto"/>
          </w:tcPr>
          <w:p w14:paraId="56078A2A" w14:textId="77777777" w:rsidR="00A826DC" w:rsidRDefault="005C5C9A">
            <w:pPr>
              <w:pStyle w:val="Compact"/>
            </w:pPr>
            <w:r>
              <w:t>TotUrb2011WsRp100</w:t>
            </w:r>
          </w:p>
        </w:tc>
        <w:tc>
          <w:tcPr>
            <w:tcW w:w="0" w:type="auto"/>
          </w:tcPr>
          <w:p w14:paraId="7A4C48AB" w14:textId="77777777" w:rsidR="00A826DC" w:rsidRDefault="005C5C9A">
            <w:pPr>
              <w:pStyle w:val="Compact"/>
            </w:pPr>
            <w:r>
              <w:t>watershed, riparian</w:t>
            </w:r>
          </w:p>
        </w:tc>
        <w:tc>
          <w:tcPr>
            <w:tcW w:w="0" w:type="auto"/>
          </w:tcPr>
          <w:p w14:paraId="5B8CB909" w14:textId="77777777" w:rsidR="00A826DC" w:rsidRDefault="005C5C9A">
            <w:pPr>
              <w:pStyle w:val="Compact"/>
            </w:pPr>
            <w:r>
              <w:t>Total urban land use as sum of developed open, low, medium, and high intensity (NLCD 2011)</w:t>
            </w:r>
          </w:p>
        </w:tc>
        <w:tc>
          <w:tcPr>
            <w:tcW w:w="0" w:type="auto"/>
          </w:tcPr>
          <w:p w14:paraId="40A38448" w14:textId="77777777" w:rsidR="00A826DC" w:rsidRDefault="005C5C9A">
            <w:pPr>
              <w:pStyle w:val="Compact"/>
            </w:pPr>
            <w:r>
              <w:t>%</w:t>
            </w:r>
          </w:p>
        </w:tc>
      </w:tr>
      <w:tr w:rsidR="00A826DC" w14:paraId="6D652D0E" w14:textId="77777777">
        <w:tc>
          <w:tcPr>
            <w:tcW w:w="0" w:type="auto"/>
          </w:tcPr>
          <w:p w14:paraId="6A4D7DBF" w14:textId="77777777" w:rsidR="00A826DC" w:rsidRDefault="005C5C9A">
            <w:pPr>
              <w:pStyle w:val="Compact"/>
            </w:pPr>
            <w:r>
              <w:t>TotUrb2011CatRp100</w:t>
            </w:r>
          </w:p>
        </w:tc>
        <w:tc>
          <w:tcPr>
            <w:tcW w:w="0" w:type="auto"/>
          </w:tcPr>
          <w:p w14:paraId="39DDF063" w14:textId="77777777" w:rsidR="00A826DC" w:rsidRDefault="005C5C9A">
            <w:pPr>
              <w:pStyle w:val="Compact"/>
            </w:pPr>
            <w:r>
              <w:t>catchment, riparian</w:t>
            </w:r>
          </w:p>
        </w:tc>
        <w:tc>
          <w:tcPr>
            <w:tcW w:w="0" w:type="auto"/>
          </w:tcPr>
          <w:p w14:paraId="125BE44D" w14:textId="77777777" w:rsidR="00A826DC" w:rsidRDefault="005C5C9A">
            <w:pPr>
              <w:pStyle w:val="Compact"/>
            </w:pPr>
            <w:r>
              <w:t>Total urban land use as sum of developed open, low, medium, and high intensity (NLCD 2011)</w:t>
            </w:r>
          </w:p>
        </w:tc>
        <w:tc>
          <w:tcPr>
            <w:tcW w:w="0" w:type="auto"/>
          </w:tcPr>
          <w:p w14:paraId="6A522BBF" w14:textId="77777777" w:rsidR="00A826DC" w:rsidRDefault="005C5C9A">
            <w:pPr>
              <w:pStyle w:val="Compact"/>
            </w:pPr>
            <w:r>
              <w:t>%</w:t>
            </w:r>
          </w:p>
        </w:tc>
      </w:tr>
      <w:tr w:rsidR="00A826DC" w14:paraId="3236A2B1" w14:textId="77777777">
        <w:tc>
          <w:tcPr>
            <w:tcW w:w="0" w:type="auto"/>
          </w:tcPr>
          <w:p w14:paraId="5D7E56CA" w14:textId="77777777" w:rsidR="00A826DC" w:rsidRDefault="005C5C9A">
            <w:pPr>
              <w:pStyle w:val="Compact"/>
            </w:pPr>
            <w:r>
              <w:t>TotAg2011Ws</w:t>
            </w:r>
          </w:p>
        </w:tc>
        <w:tc>
          <w:tcPr>
            <w:tcW w:w="0" w:type="auto"/>
          </w:tcPr>
          <w:p w14:paraId="52D46204" w14:textId="77777777" w:rsidR="00A826DC" w:rsidRDefault="005C5C9A">
            <w:pPr>
              <w:pStyle w:val="Compact"/>
            </w:pPr>
            <w:r>
              <w:t>watershed</w:t>
            </w:r>
          </w:p>
        </w:tc>
        <w:tc>
          <w:tcPr>
            <w:tcW w:w="0" w:type="auto"/>
          </w:tcPr>
          <w:p w14:paraId="38C11D1A" w14:textId="77777777" w:rsidR="00A826DC" w:rsidRDefault="005C5C9A">
            <w:pPr>
              <w:pStyle w:val="Compact"/>
            </w:pPr>
            <w:r>
              <w:t>Total argricultural land use as sum of hay and crops (NLCD 2011)</w:t>
            </w:r>
          </w:p>
        </w:tc>
        <w:tc>
          <w:tcPr>
            <w:tcW w:w="0" w:type="auto"/>
          </w:tcPr>
          <w:p w14:paraId="63864CA1" w14:textId="77777777" w:rsidR="00A826DC" w:rsidRDefault="005C5C9A">
            <w:pPr>
              <w:pStyle w:val="Compact"/>
            </w:pPr>
            <w:r>
              <w:t>%</w:t>
            </w:r>
          </w:p>
        </w:tc>
      </w:tr>
      <w:tr w:rsidR="00A826DC" w14:paraId="77DBA40F" w14:textId="77777777">
        <w:tc>
          <w:tcPr>
            <w:tcW w:w="0" w:type="auto"/>
          </w:tcPr>
          <w:p w14:paraId="750C30D9" w14:textId="77777777" w:rsidR="00A826DC" w:rsidRDefault="005C5C9A">
            <w:pPr>
              <w:pStyle w:val="Compact"/>
            </w:pPr>
            <w:r>
              <w:t>TotAg2011Cat</w:t>
            </w:r>
          </w:p>
        </w:tc>
        <w:tc>
          <w:tcPr>
            <w:tcW w:w="0" w:type="auto"/>
          </w:tcPr>
          <w:p w14:paraId="6FBAD8C9" w14:textId="77777777" w:rsidR="00A826DC" w:rsidRDefault="005C5C9A">
            <w:pPr>
              <w:pStyle w:val="Compact"/>
            </w:pPr>
            <w:r>
              <w:t>catchment</w:t>
            </w:r>
          </w:p>
        </w:tc>
        <w:tc>
          <w:tcPr>
            <w:tcW w:w="0" w:type="auto"/>
          </w:tcPr>
          <w:p w14:paraId="6E1B7CD8" w14:textId="77777777" w:rsidR="00A826DC" w:rsidRDefault="005C5C9A">
            <w:pPr>
              <w:pStyle w:val="Compact"/>
            </w:pPr>
            <w:r>
              <w:t>Total argricultural land use as sum of hay and crops (NLCD 2011)</w:t>
            </w:r>
          </w:p>
        </w:tc>
        <w:tc>
          <w:tcPr>
            <w:tcW w:w="0" w:type="auto"/>
          </w:tcPr>
          <w:p w14:paraId="2F9164FA" w14:textId="77777777" w:rsidR="00A826DC" w:rsidRDefault="005C5C9A">
            <w:pPr>
              <w:pStyle w:val="Compact"/>
            </w:pPr>
            <w:r>
              <w:t>%</w:t>
            </w:r>
          </w:p>
        </w:tc>
      </w:tr>
      <w:tr w:rsidR="00A826DC" w14:paraId="37E40A9E" w14:textId="77777777">
        <w:tc>
          <w:tcPr>
            <w:tcW w:w="0" w:type="auto"/>
          </w:tcPr>
          <w:p w14:paraId="4031BA1A" w14:textId="77777777" w:rsidR="00A826DC" w:rsidRDefault="005C5C9A">
            <w:pPr>
              <w:pStyle w:val="Compact"/>
            </w:pPr>
            <w:r>
              <w:t>TotAg2011WsRp100</w:t>
            </w:r>
          </w:p>
        </w:tc>
        <w:tc>
          <w:tcPr>
            <w:tcW w:w="0" w:type="auto"/>
          </w:tcPr>
          <w:p w14:paraId="4EBD4B97" w14:textId="77777777" w:rsidR="00A826DC" w:rsidRDefault="005C5C9A">
            <w:pPr>
              <w:pStyle w:val="Compact"/>
            </w:pPr>
            <w:r>
              <w:t>watershed, riparian</w:t>
            </w:r>
          </w:p>
        </w:tc>
        <w:tc>
          <w:tcPr>
            <w:tcW w:w="0" w:type="auto"/>
          </w:tcPr>
          <w:p w14:paraId="4F09B905" w14:textId="77777777" w:rsidR="00A826DC" w:rsidRDefault="005C5C9A">
            <w:pPr>
              <w:pStyle w:val="Compact"/>
            </w:pPr>
            <w:r>
              <w:t>Total argricultural land use as sum of hay and crops (NLCD 2011)</w:t>
            </w:r>
          </w:p>
        </w:tc>
        <w:tc>
          <w:tcPr>
            <w:tcW w:w="0" w:type="auto"/>
          </w:tcPr>
          <w:p w14:paraId="430BD480" w14:textId="77777777" w:rsidR="00A826DC" w:rsidRDefault="005C5C9A">
            <w:pPr>
              <w:pStyle w:val="Compact"/>
            </w:pPr>
            <w:r>
              <w:t>%</w:t>
            </w:r>
          </w:p>
        </w:tc>
      </w:tr>
      <w:tr w:rsidR="00A826DC" w14:paraId="0D7D42B4" w14:textId="77777777">
        <w:tc>
          <w:tcPr>
            <w:tcW w:w="0" w:type="auto"/>
          </w:tcPr>
          <w:p w14:paraId="42781A41" w14:textId="77777777" w:rsidR="00A826DC" w:rsidRDefault="005C5C9A">
            <w:pPr>
              <w:pStyle w:val="Compact"/>
            </w:pPr>
            <w:r>
              <w:t>TotAg2011CatRp100</w:t>
            </w:r>
          </w:p>
        </w:tc>
        <w:tc>
          <w:tcPr>
            <w:tcW w:w="0" w:type="auto"/>
          </w:tcPr>
          <w:p w14:paraId="1493F4B3" w14:textId="77777777" w:rsidR="00A826DC" w:rsidRDefault="005C5C9A">
            <w:pPr>
              <w:pStyle w:val="Compact"/>
            </w:pPr>
            <w:r>
              <w:t>catchment, riparian</w:t>
            </w:r>
          </w:p>
        </w:tc>
        <w:tc>
          <w:tcPr>
            <w:tcW w:w="0" w:type="auto"/>
          </w:tcPr>
          <w:p w14:paraId="0B1F3CA4" w14:textId="77777777" w:rsidR="00A826DC" w:rsidRDefault="005C5C9A">
            <w:pPr>
              <w:pStyle w:val="Compact"/>
            </w:pPr>
            <w:r>
              <w:t>Total argricultural land use as sum of hay an</w:t>
            </w:r>
            <w:r>
              <w:t>d crops (NLCD 2011)</w:t>
            </w:r>
          </w:p>
        </w:tc>
        <w:tc>
          <w:tcPr>
            <w:tcW w:w="0" w:type="auto"/>
          </w:tcPr>
          <w:p w14:paraId="4866093D" w14:textId="77777777" w:rsidR="00A826DC" w:rsidRDefault="005C5C9A">
            <w:pPr>
              <w:pStyle w:val="Compact"/>
            </w:pPr>
            <w:r>
              <w:t>%</w:t>
            </w:r>
          </w:p>
        </w:tc>
      </w:tr>
      <w:tr w:rsidR="00A826DC" w14:paraId="3FEDF061" w14:textId="77777777">
        <w:tc>
          <w:tcPr>
            <w:tcW w:w="0" w:type="auto"/>
          </w:tcPr>
          <w:p w14:paraId="1974A931" w14:textId="77777777" w:rsidR="00A826DC" w:rsidRDefault="005C5C9A">
            <w:pPr>
              <w:pStyle w:val="Compact"/>
            </w:pPr>
            <w:r>
              <w:t>RdDensCat</w:t>
            </w:r>
          </w:p>
        </w:tc>
        <w:tc>
          <w:tcPr>
            <w:tcW w:w="0" w:type="auto"/>
          </w:tcPr>
          <w:p w14:paraId="2B8B8050" w14:textId="77777777" w:rsidR="00A826DC" w:rsidRDefault="005C5C9A">
            <w:pPr>
              <w:pStyle w:val="Compact"/>
            </w:pPr>
            <w:r>
              <w:t>catchment</w:t>
            </w:r>
          </w:p>
        </w:tc>
        <w:tc>
          <w:tcPr>
            <w:tcW w:w="0" w:type="auto"/>
          </w:tcPr>
          <w:p w14:paraId="21C649CB" w14:textId="77777777" w:rsidR="00A826DC" w:rsidRDefault="005C5C9A">
            <w:pPr>
              <w:pStyle w:val="Compact"/>
            </w:pPr>
            <w:r>
              <w:t>Density of roads (2010 Census Tiger Lines)</w:t>
            </w:r>
          </w:p>
        </w:tc>
        <w:tc>
          <w:tcPr>
            <w:tcW w:w="0" w:type="auto"/>
          </w:tcPr>
          <w:p w14:paraId="4F09A439" w14:textId="77777777" w:rsidR="00A826DC" w:rsidRDefault="005C5C9A">
            <w:pPr>
              <w:pStyle w:val="Compact"/>
            </w:pPr>
            <w:r>
              <w:t>km/sq km</w:t>
            </w:r>
          </w:p>
        </w:tc>
      </w:tr>
      <w:tr w:rsidR="00A826DC" w14:paraId="76D241AE" w14:textId="77777777">
        <w:tc>
          <w:tcPr>
            <w:tcW w:w="0" w:type="auto"/>
          </w:tcPr>
          <w:p w14:paraId="262B92A1" w14:textId="77777777" w:rsidR="00A826DC" w:rsidRDefault="005C5C9A">
            <w:pPr>
              <w:pStyle w:val="Compact"/>
            </w:pPr>
            <w:r>
              <w:t>RdDensWs</w:t>
            </w:r>
          </w:p>
        </w:tc>
        <w:tc>
          <w:tcPr>
            <w:tcW w:w="0" w:type="auto"/>
          </w:tcPr>
          <w:p w14:paraId="70A4F8B6" w14:textId="77777777" w:rsidR="00A826DC" w:rsidRDefault="005C5C9A">
            <w:pPr>
              <w:pStyle w:val="Compact"/>
            </w:pPr>
            <w:r>
              <w:t>watershed</w:t>
            </w:r>
          </w:p>
        </w:tc>
        <w:tc>
          <w:tcPr>
            <w:tcW w:w="0" w:type="auto"/>
          </w:tcPr>
          <w:p w14:paraId="03E6503D" w14:textId="77777777" w:rsidR="00A826DC" w:rsidRDefault="005C5C9A">
            <w:pPr>
              <w:pStyle w:val="Compact"/>
            </w:pPr>
            <w:r>
              <w:t>Density of roads (2010 Census Tiger Lines)</w:t>
            </w:r>
          </w:p>
        </w:tc>
        <w:tc>
          <w:tcPr>
            <w:tcW w:w="0" w:type="auto"/>
          </w:tcPr>
          <w:p w14:paraId="35A0D9DA" w14:textId="77777777" w:rsidR="00A826DC" w:rsidRDefault="005C5C9A">
            <w:pPr>
              <w:pStyle w:val="Compact"/>
            </w:pPr>
            <w:r>
              <w:t>km/sq km</w:t>
            </w:r>
          </w:p>
        </w:tc>
      </w:tr>
      <w:tr w:rsidR="00A826DC" w14:paraId="5B15B4D6" w14:textId="77777777">
        <w:tc>
          <w:tcPr>
            <w:tcW w:w="0" w:type="auto"/>
          </w:tcPr>
          <w:p w14:paraId="7B2EA6F8" w14:textId="77777777" w:rsidR="00A826DC" w:rsidRDefault="005C5C9A">
            <w:pPr>
              <w:pStyle w:val="Compact"/>
            </w:pPr>
            <w:r>
              <w:lastRenderedPageBreak/>
              <w:t>RdDensCatRp100</w:t>
            </w:r>
          </w:p>
        </w:tc>
        <w:tc>
          <w:tcPr>
            <w:tcW w:w="0" w:type="auto"/>
          </w:tcPr>
          <w:p w14:paraId="47C8748D" w14:textId="77777777" w:rsidR="00A826DC" w:rsidRDefault="005C5C9A">
            <w:pPr>
              <w:pStyle w:val="Compact"/>
            </w:pPr>
            <w:r>
              <w:t>catchment, riparian</w:t>
            </w:r>
          </w:p>
        </w:tc>
        <w:tc>
          <w:tcPr>
            <w:tcW w:w="0" w:type="auto"/>
          </w:tcPr>
          <w:p w14:paraId="702C13D2" w14:textId="77777777" w:rsidR="00A826DC" w:rsidRDefault="005C5C9A">
            <w:pPr>
              <w:pStyle w:val="Compact"/>
            </w:pPr>
            <w:r>
              <w:t>Density of roads (2010 Census Tiger Lines)</w:t>
            </w:r>
          </w:p>
        </w:tc>
        <w:tc>
          <w:tcPr>
            <w:tcW w:w="0" w:type="auto"/>
          </w:tcPr>
          <w:p w14:paraId="66014DE2" w14:textId="77777777" w:rsidR="00A826DC" w:rsidRDefault="005C5C9A">
            <w:pPr>
              <w:pStyle w:val="Compact"/>
            </w:pPr>
            <w:r>
              <w:t>km/sq km</w:t>
            </w:r>
          </w:p>
        </w:tc>
      </w:tr>
      <w:tr w:rsidR="00A826DC" w14:paraId="363EA104" w14:textId="77777777">
        <w:tc>
          <w:tcPr>
            <w:tcW w:w="0" w:type="auto"/>
          </w:tcPr>
          <w:p w14:paraId="6AC7587F" w14:textId="77777777" w:rsidR="00A826DC" w:rsidRDefault="005C5C9A">
            <w:pPr>
              <w:pStyle w:val="Compact"/>
            </w:pPr>
            <w:r>
              <w:t>RdDensWsRp100</w:t>
            </w:r>
          </w:p>
        </w:tc>
        <w:tc>
          <w:tcPr>
            <w:tcW w:w="0" w:type="auto"/>
          </w:tcPr>
          <w:p w14:paraId="7C9AE968" w14:textId="77777777" w:rsidR="00A826DC" w:rsidRDefault="005C5C9A">
            <w:pPr>
              <w:pStyle w:val="Compact"/>
            </w:pPr>
            <w:r>
              <w:t>watershed, riparian</w:t>
            </w:r>
          </w:p>
        </w:tc>
        <w:tc>
          <w:tcPr>
            <w:tcW w:w="0" w:type="auto"/>
          </w:tcPr>
          <w:p w14:paraId="5DF942ED" w14:textId="77777777" w:rsidR="00A826DC" w:rsidRDefault="005C5C9A">
            <w:pPr>
              <w:pStyle w:val="Compact"/>
            </w:pPr>
            <w:r>
              <w:t>Density of roads (2010 Census Tiger Lines)</w:t>
            </w:r>
          </w:p>
        </w:tc>
        <w:tc>
          <w:tcPr>
            <w:tcW w:w="0" w:type="auto"/>
          </w:tcPr>
          <w:p w14:paraId="3E895996" w14:textId="77777777" w:rsidR="00A826DC" w:rsidRDefault="005C5C9A">
            <w:pPr>
              <w:pStyle w:val="Compact"/>
            </w:pPr>
            <w:r>
              <w:t>km/sq km</w:t>
            </w:r>
          </w:p>
        </w:tc>
      </w:tr>
      <w:tr w:rsidR="00A826DC" w14:paraId="62282214" w14:textId="77777777">
        <w:tc>
          <w:tcPr>
            <w:tcW w:w="0" w:type="auto"/>
          </w:tcPr>
          <w:p w14:paraId="1BB3E1E9" w14:textId="77777777" w:rsidR="00A826DC" w:rsidRDefault="005C5C9A">
            <w:pPr>
              <w:pStyle w:val="Compact"/>
            </w:pPr>
            <w:r>
              <w:t>RdCrsCat</w:t>
            </w:r>
          </w:p>
        </w:tc>
        <w:tc>
          <w:tcPr>
            <w:tcW w:w="0" w:type="auto"/>
          </w:tcPr>
          <w:p w14:paraId="5EEE57BF" w14:textId="77777777" w:rsidR="00A826DC" w:rsidRDefault="005C5C9A">
            <w:pPr>
              <w:pStyle w:val="Compact"/>
            </w:pPr>
            <w:r>
              <w:t>catchment</w:t>
            </w:r>
          </w:p>
        </w:tc>
        <w:tc>
          <w:tcPr>
            <w:tcW w:w="0" w:type="auto"/>
          </w:tcPr>
          <w:p w14:paraId="78A92BC0" w14:textId="77777777" w:rsidR="00A826DC" w:rsidRDefault="005C5C9A">
            <w:pPr>
              <w:pStyle w:val="Compact"/>
            </w:pPr>
            <w:r>
              <w:t>Density of roads-stream intersections (2010 Census Tiger Lines-NHD stream lines)</w:t>
            </w:r>
          </w:p>
        </w:tc>
        <w:tc>
          <w:tcPr>
            <w:tcW w:w="0" w:type="auto"/>
          </w:tcPr>
          <w:p w14:paraId="0D005E23" w14:textId="77777777" w:rsidR="00A826DC" w:rsidRDefault="005C5C9A">
            <w:pPr>
              <w:pStyle w:val="Compact"/>
            </w:pPr>
            <w:r>
              <w:t>crossings/sq km</w:t>
            </w:r>
          </w:p>
        </w:tc>
      </w:tr>
      <w:tr w:rsidR="00A826DC" w14:paraId="6546D604" w14:textId="77777777">
        <w:tc>
          <w:tcPr>
            <w:tcW w:w="0" w:type="auto"/>
          </w:tcPr>
          <w:p w14:paraId="38B05067" w14:textId="77777777" w:rsidR="00A826DC" w:rsidRDefault="005C5C9A">
            <w:pPr>
              <w:pStyle w:val="Compact"/>
            </w:pPr>
            <w:r>
              <w:t>RdCrsWs</w:t>
            </w:r>
          </w:p>
        </w:tc>
        <w:tc>
          <w:tcPr>
            <w:tcW w:w="0" w:type="auto"/>
          </w:tcPr>
          <w:p w14:paraId="5F0951EA" w14:textId="77777777" w:rsidR="00A826DC" w:rsidRDefault="005C5C9A">
            <w:pPr>
              <w:pStyle w:val="Compact"/>
            </w:pPr>
            <w:r>
              <w:t>watershed</w:t>
            </w:r>
          </w:p>
        </w:tc>
        <w:tc>
          <w:tcPr>
            <w:tcW w:w="0" w:type="auto"/>
          </w:tcPr>
          <w:p w14:paraId="03985754" w14:textId="77777777" w:rsidR="00A826DC" w:rsidRDefault="005C5C9A">
            <w:pPr>
              <w:pStyle w:val="Compact"/>
            </w:pPr>
            <w:r>
              <w:t>Density of roads-stream intersections (2010 Census Tiger Lines-NHD stream lines)</w:t>
            </w:r>
          </w:p>
        </w:tc>
        <w:tc>
          <w:tcPr>
            <w:tcW w:w="0" w:type="auto"/>
          </w:tcPr>
          <w:p w14:paraId="065AD26A" w14:textId="77777777" w:rsidR="00A826DC" w:rsidRDefault="005C5C9A">
            <w:pPr>
              <w:pStyle w:val="Compact"/>
            </w:pPr>
            <w:r>
              <w:t>crosssings/sq km</w:t>
            </w:r>
          </w:p>
        </w:tc>
      </w:tr>
    </w:tbl>
    <w:p w14:paraId="3E733068" w14:textId="77777777" w:rsidR="005C5C9A" w:rsidRDefault="005C5C9A">
      <w:pPr>
        <w:pStyle w:val="TableCaption"/>
      </w:pPr>
    </w:p>
    <w:p w14:paraId="11C4F210" w14:textId="77777777" w:rsidR="005C5C9A" w:rsidRDefault="005C5C9A">
      <w:pPr>
        <w:rPr>
          <w:i/>
        </w:rPr>
      </w:pPr>
      <w:r>
        <w:br w:type="page"/>
      </w:r>
    </w:p>
    <w:p w14:paraId="698D496B" w14:textId="762EE97E" w:rsidR="00A826DC" w:rsidRDefault="005C5C9A">
      <w:pPr>
        <w:pStyle w:val="TableCaption"/>
      </w:pPr>
      <w:bookmarkStart w:id="1" w:name="_GoBack"/>
      <w:bookmarkEnd w:id="1"/>
      <w:r>
        <w:lastRenderedPageBreak/>
        <w:t>Table S</w:t>
      </w:r>
      <w:r>
        <w:t>2 Possible site types based on stream segment classification, relative site score, and observed CSCI score. The observed score column describes where a</w:t>
      </w:r>
      <w:r>
        <w:t xml:space="preserve"> CSCI score is observed relative to the lower and upper percentiles (e.g., 10th and 90th) of expected scores for a segment and the chosen CSCI threshold (e.g., 10th percentile of scores at reference sites or 0.79) for defining low or high values.</w:t>
      </w:r>
    </w:p>
    <w:tbl>
      <w:tblPr>
        <w:tblW w:w="0" w:type="pct"/>
        <w:tblLook w:val="07E0" w:firstRow="1" w:lastRow="1" w:firstColumn="1" w:lastColumn="1" w:noHBand="1" w:noVBand="1"/>
      </w:tblPr>
      <w:tblGrid>
        <w:gridCol w:w="2571"/>
        <w:gridCol w:w="1976"/>
        <w:gridCol w:w="1703"/>
        <w:gridCol w:w="710"/>
      </w:tblGrid>
      <w:tr w:rsidR="00A826DC" w14:paraId="50263D5A" w14:textId="77777777">
        <w:tc>
          <w:tcPr>
            <w:tcW w:w="0" w:type="auto"/>
            <w:tcBorders>
              <w:bottom w:val="single" w:sz="0" w:space="0" w:color="auto"/>
            </w:tcBorders>
            <w:vAlign w:val="bottom"/>
          </w:tcPr>
          <w:p w14:paraId="6C467246" w14:textId="77777777" w:rsidR="00A826DC" w:rsidRDefault="005C5C9A">
            <w:pPr>
              <w:pStyle w:val="Compact"/>
            </w:pPr>
            <w:r>
              <w:t>Segment e</w:t>
            </w:r>
            <w:r>
              <w:t>xpectation</w:t>
            </w:r>
          </w:p>
        </w:tc>
        <w:tc>
          <w:tcPr>
            <w:tcW w:w="0" w:type="auto"/>
            <w:tcBorders>
              <w:bottom w:val="single" w:sz="0" w:space="0" w:color="auto"/>
            </w:tcBorders>
            <w:vAlign w:val="bottom"/>
          </w:tcPr>
          <w:p w14:paraId="659AD08D" w14:textId="77777777" w:rsidR="00A826DC" w:rsidRDefault="005C5C9A">
            <w:pPr>
              <w:pStyle w:val="Compact"/>
            </w:pPr>
            <w:r>
              <w:t>Relative site score</w:t>
            </w:r>
          </w:p>
        </w:tc>
        <w:tc>
          <w:tcPr>
            <w:tcW w:w="0" w:type="auto"/>
            <w:tcBorders>
              <w:bottom w:val="single" w:sz="0" w:space="0" w:color="auto"/>
            </w:tcBorders>
            <w:vAlign w:val="bottom"/>
          </w:tcPr>
          <w:p w14:paraId="7F3FAB6D" w14:textId="77777777" w:rsidR="00A826DC" w:rsidRDefault="005C5C9A">
            <w:pPr>
              <w:pStyle w:val="Compact"/>
            </w:pPr>
            <w:r>
              <w:t>Observed score</w:t>
            </w:r>
          </w:p>
        </w:tc>
        <w:tc>
          <w:tcPr>
            <w:tcW w:w="0" w:type="auto"/>
            <w:tcBorders>
              <w:bottom w:val="single" w:sz="0" w:space="0" w:color="auto"/>
            </w:tcBorders>
            <w:vAlign w:val="bottom"/>
          </w:tcPr>
          <w:p w14:paraId="48A07E9E" w14:textId="77777777" w:rsidR="00A826DC" w:rsidRDefault="005C5C9A">
            <w:pPr>
              <w:pStyle w:val="Compact"/>
            </w:pPr>
            <w:r>
              <w:t>Type</w:t>
            </w:r>
          </w:p>
        </w:tc>
      </w:tr>
      <w:tr w:rsidR="00A826DC" w14:paraId="3950DA50" w14:textId="77777777">
        <w:tc>
          <w:tcPr>
            <w:tcW w:w="0" w:type="auto"/>
          </w:tcPr>
          <w:p w14:paraId="660C8A3F" w14:textId="77777777" w:rsidR="00A826DC" w:rsidRDefault="005C5C9A">
            <w:pPr>
              <w:pStyle w:val="Compact"/>
            </w:pPr>
            <w:r>
              <w:rPr>
                <w:b/>
              </w:rPr>
              <w:t>likely unconstrained</w:t>
            </w:r>
          </w:p>
        </w:tc>
        <w:tc>
          <w:tcPr>
            <w:tcW w:w="0" w:type="auto"/>
          </w:tcPr>
          <w:p w14:paraId="0A2089F4" w14:textId="77777777" w:rsidR="00A826DC" w:rsidRDefault="005C5C9A">
            <w:pPr>
              <w:pStyle w:val="Compact"/>
            </w:pPr>
            <w:r>
              <w:t>over scoring</w:t>
            </w:r>
          </w:p>
        </w:tc>
        <w:tc>
          <w:tcPr>
            <w:tcW w:w="0" w:type="auto"/>
          </w:tcPr>
          <w:p w14:paraId="1D58FACF" w14:textId="77777777" w:rsidR="00A826DC" w:rsidRDefault="005C5C9A">
            <w:pPr>
              <w:pStyle w:val="Compact"/>
            </w:pPr>
            <m:oMath>
              <m:r>
                <w:rPr>
                  <w:rFonts w:ascii="Cambria Math" w:hAnsi="Cambria Math"/>
                </w:rPr>
                <m:t>≥</m:t>
              </m:r>
            </m:oMath>
            <w:r>
              <w:t xml:space="preserve"> 90th</w:t>
            </w:r>
          </w:p>
        </w:tc>
        <w:tc>
          <w:tcPr>
            <w:tcW w:w="0" w:type="auto"/>
          </w:tcPr>
          <w:p w14:paraId="799A8E45" w14:textId="77777777" w:rsidR="00A826DC" w:rsidRDefault="005C5C9A">
            <w:pPr>
              <w:pStyle w:val="Compact"/>
            </w:pPr>
            <w:r>
              <w:t>1</w:t>
            </w:r>
          </w:p>
        </w:tc>
      </w:tr>
      <w:tr w:rsidR="00A826DC" w14:paraId="022D8CF3" w14:textId="77777777">
        <w:tc>
          <w:tcPr>
            <w:tcW w:w="0" w:type="auto"/>
          </w:tcPr>
          <w:p w14:paraId="6DD4029B" w14:textId="77777777" w:rsidR="00A826DC" w:rsidRDefault="00A826DC">
            <w:pPr>
              <w:pStyle w:val="Compact"/>
            </w:pPr>
          </w:p>
        </w:tc>
        <w:tc>
          <w:tcPr>
            <w:tcW w:w="0" w:type="auto"/>
          </w:tcPr>
          <w:p w14:paraId="7974E273" w14:textId="77777777" w:rsidR="00A826DC" w:rsidRDefault="005C5C9A">
            <w:pPr>
              <w:pStyle w:val="Compact"/>
            </w:pPr>
            <w:r>
              <w:t>expected</w:t>
            </w:r>
          </w:p>
        </w:tc>
        <w:tc>
          <w:tcPr>
            <w:tcW w:w="0" w:type="auto"/>
          </w:tcPr>
          <w:p w14:paraId="14205695" w14:textId="77777777" w:rsidR="00A826DC" w:rsidRDefault="005C5C9A">
            <w:pPr>
              <w:pStyle w:val="Compact"/>
            </w:pPr>
            <w:r>
              <w:t>10th to 90th</w:t>
            </w:r>
          </w:p>
        </w:tc>
        <w:tc>
          <w:tcPr>
            <w:tcW w:w="0" w:type="auto"/>
          </w:tcPr>
          <w:p w14:paraId="37A64EE6" w14:textId="77777777" w:rsidR="00A826DC" w:rsidRDefault="005C5C9A">
            <w:pPr>
              <w:pStyle w:val="Compact"/>
            </w:pPr>
            <w:r>
              <w:t>2</w:t>
            </w:r>
          </w:p>
        </w:tc>
      </w:tr>
      <w:tr w:rsidR="00A826DC" w14:paraId="3DA2D3F8" w14:textId="77777777">
        <w:tc>
          <w:tcPr>
            <w:tcW w:w="0" w:type="auto"/>
          </w:tcPr>
          <w:p w14:paraId="2884ED04" w14:textId="77777777" w:rsidR="00A826DC" w:rsidRDefault="00A826DC">
            <w:pPr>
              <w:pStyle w:val="Compact"/>
            </w:pPr>
          </w:p>
        </w:tc>
        <w:tc>
          <w:tcPr>
            <w:tcW w:w="0" w:type="auto"/>
          </w:tcPr>
          <w:p w14:paraId="0E8588C7" w14:textId="77777777" w:rsidR="00A826DC" w:rsidRDefault="005C5C9A">
            <w:pPr>
              <w:pStyle w:val="Compact"/>
            </w:pPr>
            <w:r>
              <w:t>under scoring</w:t>
            </w:r>
          </w:p>
        </w:tc>
        <w:tc>
          <w:tcPr>
            <w:tcW w:w="0" w:type="auto"/>
          </w:tcPr>
          <w:p w14:paraId="33DCE800" w14:textId="77777777" w:rsidR="00A826DC" w:rsidRDefault="005C5C9A">
            <w:pPr>
              <w:pStyle w:val="Compact"/>
            </w:pPr>
            <w:r>
              <w:t>0.79 to 10th</w:t>
            </w:r>
          </w:p>
        </w:tc>
        <w:tc>
          <w:tcPr>
            <w:tcW w:w="0" w:type="auto"/>
          </w:tcPr>
          <w:p w14:paraId="3CBD1A32" w14:textId="77777777" w:rsidR="00A826DC" w:rsidRDefault="005C5C9A">
            <w:pPr>
              <w:pStyle w:val="Compact"/>
            </w:pPr>
            <w:r>
              <w:t>3</w:t>
            </w:r>
          </w:p>
        </w:tc>
      </w:tr>
      <w:tr w:rsidR="00A826DC" w14:paraId="243B566F" w14:textId="77777777">
        <w:tc>
          <w:tcPr>
            <w:tcW w:w="0" w:type="auto"/>
          </w:tcPr>
          <w:p w14:paraId="2AAAA8D6" w14:textId="77777777" w:rsidR="00A826DC" w:rsidRDefault="00A826DC">
            <w:pPr>
              <w:pStyle w:val="Compact"/>
            </w:pPr>
          </w:p>
        </w:tc>
        <w:tc>
          <w:tcPr>
            <w:tcW w:w="0" w:type="auto"/>
          </w:tcPr>
          <w:p w14:paraId="701BE81D" w14:textId="77777777" w:rsidR="00A826DC" w:rsidRDefault="005C5C9A">
            <w:pPr>
              <w:pStyle w:val="Compact"/>
            </w:pPr>
            <w:r>
              <w:t>under scoring</w:t>
            </w:r>
          </w:p>
        </w:tc>
        <w:tc>
          <w:tcPr>
            <w:tcW w:w="0" w:type="auto"/>
          </w:tcPr>
          <w:p w14:paraId="79A4A096" w14:textId="77777777" w:rsidR="00A826DC" w:rsidRDefault="005C5C9A">
            <w:pPr>
              <w:pStyle w:val="Compact"/>
            </w:pPr>
            <w:r>
              <w:t>&lt; 0.79</w:t>
            </w:r>
          </w:p>
        </w:tc>
        <w:tc>
          <w:tcPr>
            <w:tcW w:w="0" w:type="auto"/>
          </w:tcPr>
          <w:p w14:paraId="3BB184AB" w14:textId="77777777" w:rsidR="00A826DC" w:rsidRDefault="005C5C9A">
            <w:pPr>
              <w:pStyle w:val="Compact"/>
            </w:pPr>
            <w:r>
              <w:t>4</w:t>
            </w:r>
          </w:p>
        </w:tc>
      </w:tr>
      <w:tr w:rsidR="00A826DC" w14:paraId="72E7591F" w14:textId="77777777">
        <w:tc>
          <w:tcPr>
            <w:tcW w:w="0" w:type="auto"/>
          </w:tcPr>
          <w:p w14:paraId="136FB0A7" w14:textId="77777777" w:rsidR="00A826DC" w:rsidRDefault="005C5C9A">
            <w:pPr>
              <w:pStyle w:val="Compact"/>
            </w:pPr>
            <w:r>
              <w:rPr>
                <w:b/>
              </w:rPr>
              <w:t>possibly unconstrained</w:t>
            </w:r>
          </w:p>
        </w:tc>
        <w:tc>
          <w:tcPr>
            <w:tcW w:w="0" w:type="auto"/>
          </w:tcPr>
          <w:p w14:paraId="3ED89F5B" w14:textId="77777777" w:rsidR="00A826DC" w:rsidRDefault="005C5C9A">
            <w:pPr>
              <w:pStyle w:val="Compact"/>
            </w:pPr>
            <w:r>
              <w:t>over scoring</w:t>
            </w:r>
          </w:p>
        </w:tc>
        <w:tc>
          <w:tcPr>
            <w:tcW w:w="0" w:type="auto"/>
          </w:tcPr>
          <w:p w14:paraId="176631BD" w14:textId="77777777" w:rsidR="00A826DC" w:rsidRDefault="005C5C9A">
            <w:pPr>
              <w:pStyle w:val="Compact"/>
            </w:pPr>
            <m:oMath>
              <m:r>
                <w:rPr>
                  <w:rFonts w:ascii="Cambria Math" w:hAnsi="Cambria Math"/>
                </w:rPr>
                <m:t>≥</m:t>
              </m:r>
            </m:oMath>
            <w:r>
              <w:t xml:space="preserve"> 90th</w:t>
            </w:r>
          </w:p>
        </w:tc>
        <w:tc>
          <w:tcPr>
            <w:tcW w:w="0" w:type="auto"/>
          </w:tcPr>
          <w:p w14:paraId="468EE4AB" w14:textId="77777777" w:rsidR="00A826DC" w:rsidRDefault="005C5C9A">
            <w:pPr>
              <w:pStyle w:val="Compact"/>
            </w:pPr>
            <w:r>
              <w:t>5</w:t>
            </w:r>
          </w:p>
        </w:tc>
      </w:tr>
      <w:tr w:rsidR="00A826DC" w14:paraId="34CACAD4" w14:textId="77777777">
        <w:tc>
          <w:tcPr>
            <w:tcW w:w="0" w:type="auto"/>
          </w:tcPr>
          <w:p w14:paraId="3052F4C5" w14:textId="77777777" w:rsidR="00A826DC" w:rsidRDefault="00A826DC">
            <w:pPr>
              <w:pStyle w:val="Compact"/>
            </w:pPr>
          </w:p>
        </w:tc>
        <w:tc>
          <w:tcPr>
            <w:tcW w:w="0" w:type="auto"/>
          </w:tcPr>
          <w:p w14:paraId="798502CE" w14:textId="77777777" w:rsidR="00A826DC" w:rsidRDefault="005C5C9A">
            <w:pPr>
              <w:pStyle w:val="Compact"/>
            </w:pPr>
            <w:r>
              <w:t>expected</w:t>
            </w:r>
          </w:p>
        </w:tc>
        <w:tc>
          <w:tcPr>
            <w:tcW w:w="0" w:type="auto"/>
          </w:tcPr>
          <w:p w14:paraId="7EC97F7C" w14:textId="77777777" w:rsidR="00A826DC" w:rsidRDefault="005C5C9A">
            <w:pPr>
              <w:pStyle w:val="Compact"/>
            </w:pPr>
            <w:r>
              <w:t>0.79 to 90th</w:t>
            </w:r>
          </w:p>
        </w:tc>
        <w:tc>
          <w:tcPr>
            <w:tcW w:w="0" w:type="auto"/>
          </w:tcPr>
          <w:p w14:paraId="132CB28F" w14:textId="77777777" w:rsidR="00A826DC" w:rsidRDefault="005C5C9A">
            <w:pPr>
              <w:pStyle w:val="Compact"/>
            </w:pPr>
            <w:r>
              <w:t>6</w:t>
            </w:r>
          </w:p>
        </w:tc>
      </w:tr>
      <w:tr w:rsidR="00A826DC" w14:paraId="58623DBD" w14:textId="77777777">
        <w:tc>
          <w:tcPr>
            <w:tcW w:w="0" w:type="auto"/>
          </w:tcPr>
          <w:p w14:paraId="62D3E74D" w14:textId="77777777" w:rsidR="00A826DC" w:rsidRDefault="00A826DC">
            <w:pPr>
              <w:pStyle w:val="Compact"/>
            </w:pPr>
          </w:p>
        </w:tc>
        <w:tc>
          <w:tcPr>
            <w:tcW w:w="0" w:type="auto"/>
          </w:tcPr>
          <w:p w14:paraId="765D6F54" w14:textId="77777777" w:rsidR="00A826DC" w:rsidRDefault="005C5C9A">
            <w:pPr>
              <w:pStyle w:val="Compact"/>
            </w:pPr>
            <w:r>
              <w:t>expected</w:t>
            </w:r>
          </w:p>
        </w:tc>
        <w:tc>
          <w:tcPr>
            <w:tcW w:w="0" w:type="auto"/>
          </w:tcPr>
          <w:p w14:paraId="7984DB1B" w14:textId="77777777" w:rsidR="00A826DC" w:rsidRDefault="005C5C9A">
            <w:pPr>
              <w:pStyle w:val="Compact"/>
            </w:pPr>
            <w:r>
              <w:t>10th to 0.79</w:t>
            </w:r>
          </w:p>
        </w:tc>
        <w:tc>
          <w:tcPr>
            <w:tcW w:w="0" w:type="auto"/>
          </w:tcPr>
          <w:p w14:paraId="78D682BB" w14:textId="77777777" w:rsidR="00A826DC" w:rsidRDefault="005C5C9A">
            <w:pPr>
              <w:pStyle w:val="Compact"/>
            </w:pPr>
            <w:r>
              <w:t>7</w:t>
            </w:r>
          </w:p>
        </w:tc>
      </w:tr>
      <w:tr w:rsidR="00A826DC" w14:paraId="4C0D83C5" w14:textId="77777777">
        <w:tc>
          <w:tcPr>
            <w:tcW w:w="0" w:type="auto"/>
          </w:tcPr>
          <w:p w14:paraId="4BE7549A" w14:textId="77777777" w:rsidR="00A826DC" w:rsidRDefault="00A826DC">
            <w:pPr>
              <w:pStyle w:val="Compact"/>
            </w:pPr>
          </w:p>
        </w:tc>
        <w:tc>
          <w:tcPr>
            <w:tcW w:w="0" w:type="auto"/>
          </w:tcPr>
          <w:p w14:paraId="04A562BA" w14:textId="77777777" w:rsidR="00A826DC" w:rsidRDefault="005C5C9A">
            <w:pPr>
              <w:pStyle w:val="Compact"/>
            </w:pPr>
            <w:r>
              <w:t>under scoring</w:t>
            </w:r>
          </w:p>
        </w:tc>
        <w:tc>
          <w:tcPr>
            <w:tcW w:w="0" w:type="auto"/>
          </w:tcPr>
          <w:p w14:paraId="57C937AF" w14:textId="77777777" w:rsidR="00A826DC" w:rsidRDefault="005C5C9A">
            <w:pPr>
              <w:pStyle w:val="Compact"/>
            </w:pPr>
            <w:r>
              <w:t>&lt; 10th</w:t>
            </w:r>
          </w:p>
        </w:tc>
        <w:tc>
          <w:tcPr>
            <w:tcW w:w="0" w:type="auto"/>
          </w:tcPr>
          <w:p w14:paraId="5D6A24AA" w14:textId="77777777" w:rsidR="00A826DC" w:rsidRDefault="005C5C9A">
            <w:pPr>
              <w:pStyle w:val="Compact"/>
            </w:pPr>
            <w:r>
              <w:t>8</w:t>
            </w:r>
          </w:p>
        </w:tc>
      </w:tr>
      <w:tr w:rsidR="00A826DC" w14:paraId="37097E79" w14:textId="77777777">
        <w:tc>
          <w:tcPr>
            <w:tcW w:w="0" w:type="auto"/>
          </w:tcPr>
          <w:p w14:paraId="3D84F9A1" w14:textId="77777777" w:rsidR="00A826DC" w:rsidRDefault="005C5C9A">
            <w:pPr>
              <w:pStyle w:val="Compact"/>
            </w:pPr>
            <w:r>
              <w:rPr>
                <w:b/>
              </w:rPr>
              <w:t>possibly constrained</w:t>
            </w:r>
          </w:p>
        </w:tc>
        <w:tc>
          <w:tcPr>
            <w:tcW w:w="0" w:type="auto"/>
          </w:tcPr>
          <w:p w14:paraId="31695FE5" w14:textId="77777777" w:rsidR="00A826DC" w:rsidRDefault="005C5C9A">
            <w:pPr>
              <w:pStyle w:val="Compact"/>
            </w:pPr>
            <w:r>
              <w:t>over scoring</w:t>
            </w:r>
          </w:p>
        </w:tc>
        <w:tc>
          <w:tcPr>
            <w:tcW w:w="0" w:type="auto"/>
          </w:tcPr>
          <w:p w14:paraId="329095D4" w14:textId="77777777" w:rsidR="00A826DC" w:rsidRDefault="005C5C9A">
            <w:pPr>
              <w:pStyle w:val="Compact"/>
            </w:pPr>
            <m:oMath>
              <m:r>
                <w:rPr>
                  <w:rFonts w:ascii="Cambria Math" w:hAnsi="Cambria Math"/>
                </w:rPr>
                <m:t>≥</m:t>
              </m:r>
            </m:oMath>
            <w:r>
              <w:t xml:space="preserve"> 90th</w:t>
            </w:r>
          </w:p>
        </w:tc>
        <w:tc>
          <w:tcPr>
            <w:tcW w:w="0" w:type="auto"/>
          </w:tcPr>
          <w:p w14:paraId="6FD0C459" w14:textId="77777777" w:rsidR="00A826DC" w:rsidRDefault="005C5C9A">
            <w:pPr>
              <w:pStyle w:val="Compact"/>
            </w:pPr>
            <w:r>
              <w:t>9</w:t>
            </w:r>
          </w:p>
        </w:tc>
      </w:tr>
      <w:tr w:rsidR="00A826DC" w14:paraId="4D6FE4EF" w14:textId="77777777">
        <w:tc>
          <w:tcPr>
            <w:tcW w:w="0" w:type="auto"/>
          </w:tcPr>
          <w:p w14:paraId="0245B06B" w14:textId="77777777" w:rsidR="00A826DC" w:rsidRDefault="00A826DC">
            <w:pPr>
              <w:pStyle w:val="Compact"/>
            </w:pPr>
          </w:p>
        </w:tc>
        <w:tc>
          <w:tcPr>
            <w:tcW w:w="0" w:type="auto"/>
          </w:tcPr>
          <w:p w14:paraId="468D9EC9" w14:textId="77777777" w:rsidR="00A826DC" w:rsidRDefault="005C5C9A">
            <w:pPr>
              <w:pStyle w:val="Compact"/>
            </w:pPr>
            <w:r>
              <w:t>expected</w:t>
            </w:r>
          </w:p>
        </w:tc>
        <w:tc>
          <w:tcPr>
            <w:tcW w:w="0" w:type="auto"/>
          </w:tcPr>
          <w:p w14:paraId="42115B6A" w14:textId="77777777" w:rsidR="00A826DC" w:rsidRDefault="005C5C9A">
            <w:pPr>
              <w:pStyle w:val="Compact"/>
            </w:pPr>
            <w:r>
              <w:t>0.79 to 90th</w:t>
            </w:r>
          </w:p>
        </w:tc>
        <w:tc>
          <w:tcPr>
            <w:tcW w:w="0" w:type="auto"/>
          </w:tcPr>
          <w:p w14:paraId="2EECCC8C" w14:textId="77777777" w:rsidR="00A826DC" w:rsidRDefault="005C5C9A">
            <w:pPr>
              <w:pStyle w:val="Compact"/>
            </w:pPr>
            <w:r>
              <w:t>10</w:t>
            </w:r>
          </w:p>
        </w:tc>
      </w:tr>
      <w:tr w:rsidR="00A826DC" w14:paraId="68B43668" w14:textId="77777777">
        <w:tc>
          <w:tcPr>
            <w:tcW w:w="0" w:type="auto"/>
          </w:tcPr>
          <w:p w14:paraId="58AE8901" w14:textId="77777777" w:rsidR="00A826DC" w:rsidRDefault="00A826DC">
            <w:pPr>
              <w:pStyle w:val="Compact"/>
            </w:pPr>
          </w:p>
        </w:tc>
        <w:tc>
          <w:tcPr>
            <w:tcW w:w="0" w:type="auto"/>
          </w:tcPr>
          <w:p w14:paraId="3ACABF95" w14:textId="77777777" w:rsidR="00A826DC" w:rsidRDefault="005C5C9A">
            <w:pPr>
              <w:pStyle w:val="Compact"/>
            </w:pPr>
            <w:r>
              <w:t>expected</w:t>
            </w:r>
          </w:p>
        </w:tc>
        <w:tc>
          <w:tcPr>
            <w:tcW w:w="0" w:type="auto"/>
          </w:tcPr>
          <w:p w14:paraId="0F249744" w14:textId="77777777" w:rsidR="00A826DC" w:rsidRDefault="005C5C9A">
            <w:pPr>
              <w:pStyle w:val="Compact"/>
            </w:pPr>
            <w:r>
              <w:t>10th to 0.79</w:t>
            </w:r>
          </w:p>
        </w:tc>
        <w:tc>
          <w:tcPr>
            <w:tcW w:w="0" w:type="auto"/>
          </w:tcPr>
          <w:p w14:paraId="09CBC0E8" w14:textId="77777777" w:rsidR="00A826DC" w:rsidRDefault="005C5C9A">
            <w:pPr>
              <w:pStyle w:val="Compact"/>
            </w:pPr>
            <w:r>
              <w:t>11</w:t>
            </w:r>
          </w:p>
        </w:tc>
      </w:tr>
      <w:tr w:rsidR="00A826DC" w14:paraId="35D1575E" w14:textId="77777777">
        <w:tc>
          <w:tcPr>
            <w:tcW w:w="0" w:type="auto"/>
          </w:tcPr>
          <w:p w14:paraId="64982179" w14:textId="77777777" w:rsidR="00A826DC" w:rsidRDefault="00A826DC">
            <w:pPr>
              <w:pStyle w:val="Compact"/>
            </w:pPr>
          </w:p>
        </w:tc>
        <w:tc>
          <w:tcPr>
            <w:tcW w:w="0" w:type="auto"/>
          </w:tcPr>
          <w:p w14:paraId="3B491C2A" w14:textId="77777777" w:rsidR="00A826DC" w:rsidRDefault="005C5C9A">
            <w:pPr>
              <w:pStyle w:val="Compact"/>
            </w:pPr>
            <w:r>
              <w:t>under scoring</w:t>
            </w:r>
          </w:p>
        </w:tc>
        <w:tc>
          <w:tcPr>
            <w:tcW w:w="0" w:type="auto"/>
          </w:tcPr>
          <w:p w14:paraId="7ECA3EBC" w14:textId="77777777" w:rsidR="00A826DC" w:rsidRDefault="005C5C9A">
            <w:pPr>
              <w:pStyle w:val="Compact"/>
            </w:pPr>
            <w:r>
              <w:t>&lt; 10th</w:t>
            </w:r>
          </w:p>
        </w:tc>
        <w:tc>
          <w:tcPr>
            <w:tcW w:w="0" w:type="auto"/>
          </w:tcPr>
          <w:p w14:paraId="2FD5BD71" w14:textId="77777777" w:rsidR="00A826DC" w:rsidRDefault="005C5C9A">
            <w:pPr>
              <w:pStyle w:val="Compact"/>
            </w:pPr>
            <w:r>
              <w:t>12</w:t>
            </w:r>
          </w:p>
        </w:tc>
      </w:tr>
      <w:tr w:rsidR="00A826DC" w14:paraId="2F755034" w14:textId="77777777">
        <w:tc>
          <w:tcPr>
            <w:tcW w:w="0" w:type="auto"/>
          </w:tcPr>
          <w:p w14:paraId="3B117748" w14:textId="77777777" w:rsidR="00A826DC" w:rsidRDefault="005C5C9A">
            <w:pPr>
              <w:pStyle w:val="Compact"/>
            </w:pPr>
            <w:r>
              <w:rPr>
                <w:b/>
              </w:rPr>
              <w:t>likely constrained</w:t>
            </w:r>
          </w:p>
        </w:tc>
        <w:tc>
          <w:tcPr>
            <w:tcW w:w="0" w:type="auto"/>
          </w:tcPr>
          <w:p w14:paraId="2819DF99" w14:textId="77777777" w:rsidR="00A826DC" w:rsidRDefault="005C5C9A">
            <w:pPr>
              <w:pStyle w:val="Compact"/>
            </w:pPr>
            <w:r>
              <w:t>over scoring</w:t>
            </w:r>
          </w:p>
        </w:tc>
        <w:tc>
          <w:tcPr>
            <w:tcW w:w="0" w:type="auto"/>
          </w:tcPr>
          <w:p w14:paraId="03A3AD47" w14:textId="77777777" w:rsidR="00A826DC" w:rsidRDefault="005C5C9A">
            <w:pPr>
              <w:pStyle w:val="Compact"/>
            </w:pPr>
            <m:oMath>
              <m:r>
                <w:rPr>
                  <w:rFonts w:ascii="Cambria Math" w:hAnsi="Cambria Math"/>
                </w:rPr>
                <m:t>≥</m:t>
              </m:r>
            </m:oMath>
            <w:r>
              <w:t xml:space="preserve"> 0.79</w:t>
            </w:r>
          </w:p>
        </w:tc>
        <w:tc>
          <w:tcPr>
            <w:tcW w:w="0" w:type="auto"/>
          </w:tcPr>
          <w:p w14:paraId="393B3537" w14:textId="77777777" w:rsidR="00A826DC" w:rsidRDefault="005C5C9A">
            <w:pPr>
              <w:pStyle w:val="Compact"/>
            </w:pPr>
            <w:r>
              <w:t>13</w:t>
            </w:r>
          </w:p>
        </w:tc>
      </w:tr>
      <w:tr w:rsidR="00A826DC" w14:paraId="2505592F" w14:textId="77777777">
        <w:tc>
          <w:tcPr>
            <w:tcW w:w="0" w:type="auto"/>
          </w:tcPr>
          <w:p w14:paraId="4292B0D5" w14:textId="77777777" w:rsidR="00A826DC" w:rsidRDefault="00A826DC">
            <w:pPr>
              <w:pStyle w:val="Compact"/>
            </w:pPr>
          </w:p>
        </w:tc>
        <w:tc>
          <w:tcPr>
            <w:tcW w:w="0" w:type="auto"/>
          </w:tcPr>
          <w:p w14:paraId="1096C255" w14:textId="77777777" w:rsidR="00A826DC" w:rsidRDefault="005C5C9A">
            <w:pPr>
              <w:pStyle w:val="Compact"/>
            </w:pPr>
            <w:r>
              <w:t>over scoring</w:t>
            </w:r>
          </w:p>
        </w:tc>
        <w:tc>
          <w:tcPr>
            <w:tcW w:w="0" w:type="auto"/>
          </w:tcPr>
          <w:p w14:paraId="02AA0063" w14:textId="77777777" w:rsidR="00A826DC" w:rsidRDefault="005C5C9A">
            <w:pPr>
              <w:pStyle w:val="Compact"/>
            </w:pPr>
            <w:r>
              <w:t>90th to 0.79</w:t>
            </w:r>
          </w:p>
        </w:tc>
        <w:tc>
          <w:tcPr>
            <w:tcW w:w="0" w:type="auto"/>
          </w:tcPr>
          <w:p w14:paraId="4EDD90B5" w14:textId="77777777" w:rsidR="00A826DC" w:rsidRDefault="005C5C9A">
            <w:pPr>
              <w:pStyle w:val="Compact"/>
            </w:pPr>
            <w:r>
              <w:t>14</w:t>
            </w:r>
          </w:p>
        </w:tc>
      </w:tr>
      <w:tr w:rsidR="00A826DC" w14:paraId="6895598B" w14:textId="77777777">
        <w:tc>
          <w:tcPr>
            <w:tcW w:w="0" w:type="auto"/>
          </w:tcPr>
          <w:p w14:paraId="593B19FE" w14:textId="77777777" w:rsidR="00A826DC" w:rsidRDefault="00A826DC">
            <w:pPr>
              <w:pStyle w:val="Compact"/>
            </w:pPr>
          </w:p>
        </w:tc>
        <w:tc>
          <w:tcPr>
            <w:tcW w:w="0" w:type="auto"/>
          </w:tcPr>
          <w:p w14:paraId="4B610EC6" w14:textId="77777777" w:rsidR="00A826DC" w:rsidRDefault="005C5C9A">
            <w:pPr>
              <w:pStyle w:val="Compact"/>
            </w:pPr>
            <w:r>
              <w:t>expected</w:t>
            </w:r>
          </w:p>
        </w:tc>
        <w:tc>
          <w:tcPr>
            <w:tcW w:w="0" w:type="auto"/>
          </w:tcPr>
          <w:p w14:paraId="6580922D" w14:textId="77777777" w:rsidR="00A826DC" w:rsidRDefault="005C5C9A">
            <w:pPr>
              <w:pStyle w:val="Compact"/>
            </w:pPr>
            <w:r>
              <w:t>10th to 90th</w:t>
            </w:r>
          </w:p>
        </w:tc>
        <w:tc>
          <w:tcPr>
            <w:tcW w:w="0" w:type="auto"/>
          </w:tcPr>
          <w:p w14:paraId="1074B6CC" w14:textId="77777777" w:rsidR="00A826DC" w:rsidRDefault="005C5C9A">
            <w:pPr>
              <w:pStyle w:val="Compact"/>
            </w:pPr>
            <w:r>
              <w:t>15</w:t>
            </w:r>
          </w:p>
        </w:tc>
      </w:tr>
      <w:tr w:rsidR="00A826DC" w14:paraId="4538497C" w14:textId="77777777">
        <w:tc>
          <w:tcPr>
            <w:tcW w:w="0" w:type="auto"/>
          </w:tcPr>
          <w:p w14:paraId="4499147E" w14:textId="77777777" w:rsidR="00A826DC" w:rsidRDefault="00A826DC">
            <w:pPr>
              <w:pStyle w:val="Compact"/>
            </w:pPr>
          </w:p>
        </w:tc>
        <w:tc>
          <w:tcPr>
            <w:tcW w:w="0" w:type="auto"/>
          </w:tcPr>
          <w:p w14:paraId="3FB40E4C" w14:textId="77777777" w:rsidR="00A826DC" w:rsidRDefault="005C5C9A">
            <w:pPr>
              <w:pStyle w:val="Compact"/>
            </w:pPr>
            <w:r>
              <w:t>under scoring</w:t>
            </w:r>
          </w:p>
        </w:tc>
        <w:tc>
          <w:tcPr>
            <w:tcW w:w="0" w:type="auto"/>
          </w:tcPr>
          <w:p w14:paraId="7995625B" w14:textId="77777777" w:rsidR="00A826DC" w:rsidRDefault="005C5C9A">
            <w:pPr>
              <w:pStyle w:val="Compact"/>
            </w:pPr>
            <w:r>
              <w:t>&lt; 10th</w:t>
            </w:r>
          </w:p>
        </w:tc>
        <w:tc>
          <w:tcPr>
            <w:tcW w:w="0" w:type="auto"/>
          </w:tcPr>
          <w:p w14:paraId="72EB3AB6" w14:textId="77777777" w:rsidR="00A826DC" w:rsidRDefault="005C5C9A">
            <w:pPr>
              <w:pStyle w:val="Compact"/>
            </w:pPr>
            <w:r>
              <w:t>16</w:t>
            </w:r>
          </w:p>
        </w:tc>
      </w:tr>
    </w:tbl>
    <w:p w14:paraId="1B67ED25" w14:textId="77777777" w:rsidR="00A826DC" w:rsidRDefault="005C5C9A">
      <w:pPr>
        <w:pStyle w:val="Heading1"/>
      </w:pPr>
      <w:bookmarkStart w:id="2" w:name="references"/>
      <w:r>
        <w:t>References</w:t>
      </w:r>
      <w:bookmarkEnd w:id="2"/>
    </w:p>
    <w:p w14:paraId="7D0168C6" w14:textId="77777777" w:rsidR="00A826DC" w:rsidRDefault="005C5C9A">
      <w:pPr>
        <w:pStyle w:val="Bibliography"/>
      </w:pPr>
      <w:bookmarkStart w:id="3" w:name="ref-Beck18c"/>
      <w:bookmarkStart w:id="4" w:name="refs"/>
      <w:r>
        <w:t xml:space="preserve">Beck, M. W. 2018. “SCCWRP/SCAPE: v1.0 (Version 1.0). Zenodo, </w:t>
      </w:r>
      <w:hyperlink r:id="rId23">
        <w:r>
          <w:rPr>
            <w:rStyle w:val="Hyperlink"/>
          </w:rPr>
          <w:t>http://doi.org/10.5281/zenodo.1218121</w:t>
        </w:r>
      </w:hyperlink>
      <w:r>
        <w:t>.”</w:t>
      </w:r>
    </w:p>
    <w:p w14:paraId="3A1D66F2" w14:textId="77777777" w:rsidR="00A826DC" w:rsidRDefault="005C5C9A">
      <w:pPr>
        <w:pStyle w:val="Bibliography"/>
      </w:pPr>
      <w:bookmarkStart w:id="5" w:name="ref-Hill16"/>
      <w:bookmarkEnd w:id="3"/>
      <w:r>
        <w:t xml:space="preserve">Hill, R. A., M. H. Weber, S. G. Leibowitz, A. R. Olsen, and D. J. Thornbrugh. 2016. “The Stream-Catchment (StreamCat) Dataset: A Database of Watershed Metrics for the Conterminous United States.” </w:t>
      </w:r>
      <w:r>
        <w:rPr>
          <w:i/>
        </w:rPr>
        <w:t>Journal of the American Water Resources Assocation</w:t>
      </w:r>
      <w:r>
        <w:t xml:space="preserve"> 52:120–28</w:t>
      </w:r>
      <w:r>
        <w:t xml:space="preserve">. </w:t>
      </w:r>
      <w:hyperlink r:id="rId24">
        <w:r>
          <w:rPr>
            <w:rStyle w:val="Hyperlink"/>
          </w:rPr>
          <w:t>https://doi.org/10.1111/1752-1688.12372</w:t>
        </w:r>
      </w:hyperlink>
      <w:r>
        <w:t>.</w:t>
      </w:r>
    </w:p>
    <w:p w14:paraId="150324DD" w14:textId="77777777" w:rsidR="00A826DC" w:rsidRDefault="005C5C9A">
      <w:pPr>
        <w:pStyle w:val="Bibliography"/>
      </w:pPr>
      <w:bookmarkStart w:id="6" w:name="ref-Meinshausen17"/>
      <w:bookmarkEnd w:id="5"/>
      <w:r>
        <w:t xml:space="preserve">Meinshausen, Nicolai. 2017. </w:t>
      </w:r>
      <w:r>
        <w:rPr>
          <w:i/>
        </w:rPr>
        <w:t>QuantregForest: Quantile Regression Forests</w:t>
      </w:r>
      <w:r>
        <w:t xml:space="preserve">. </w:t>
      </w:r>
      <w:hyperlink r:id="rId25">
        <w:r>
          <w:rPr>
            <w:rStyle w:val="Hyperlink"/>
          </w:rPr>
          <w:t>https://CRAN</w:t>
        </w:r>
        <w:r>
          <w:rPr>
            <w:rStyle w:val="Hyperlink"/>
          </w:rPr>
          <w:t>.R-project.org/package=quantregForest</w:t>
        </w:r>
      </w:hyperlink>
      <w:r>
        <w:t>.</w:t>
      </w:r>
    </w:p>
    <w:bookmarkEnd w:id="6"/>
    <w:bookmarkEnd w:id="4"/>
    <w:sectPr w:rsidR="00A826DC" w:rsidSect="003C73CD">
      <w:footerReference w:type="default" r:id="rId2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F82E5" w14:textId="77777777" w:rsidR="00000000" w:rsidRDefault="005C5C9A">
      <w:pPr>
        <w:spacing w:after="0"/>
      </w:pPr>
      <w:r>
        <w:separator/>
      </w:r>
    </w:p>
  </w:endnote>
  <w:endnote w:type="continuationSeparator" w:id="0">
    <w:p w14:paraId="330F4FF6" w14:textId="77777777" w:rsidR="00000000" w:rsidRDefault="005C5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32168B65" w14:textId="77777777" w:rsidR="003C73CD" w:rsidRDefault="005C5C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EE62F5" w14:textId="77777777" w:rsidR="003C73CD" w:rsidRDefault="005C5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5300F" w14:textId="77777777" w:rsidR="00A826DC" w:rsidRDefault="005C5C9A">
      <w:r>
        <w:separator/>
      </w:r>
    </w:p>
  </w:footnote>
  <w:footnote w:type="continuationSeparator" w:id="0">
    <w:p w14:paraId="3FBED0BB" w14:textId="77777777" w:rsidR="00A826DC" w:rsidRDefault="005C5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9DA09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5C5C9A"/>
    <w:rsid w:val="00784D58"/>
    <w:rsid w:val="008D6863"/>
    <w:rsid w:val="00A826D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EFB4"/>
  <w15:docId w15:val="{20829FAE-04F2-4F8B-B574-F82525C4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phaelm@sccwrp.org" TargetMode="External"/><Relationship Id="rId13" Type="http://schemas.openxmlformats.org/officeDocument/2006/relationships/hyperlink" Target="mailto:hill.ryan@epa.gov" TargetMode="External"/><Relationship Id="rId18" Type="http://schemas.openxmlformats.org/officeDocument/2006/relationships/hyperlink" Target="http://shiny.sccwrp.org/scap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marcusb@sccwrp.org" TargetMode="External"/><Relationship Id="rId12" Type="http://schemas.openxmlformats.org/officeDocument/2006/relationships/hyperlink" Target="mailto:peter.ode@wildlife.ca.gov" TargetMode="External"/><Relationship Id="rId17" Type="http://schemas.openxmlformats.org/officeDocument/2006/relationships/image" Target="media/image1.png"/><Relationship Id="rId25" Type="http://schemas.openxmlformats.org/officeDocument/2006/relationships/hyperlink" Target="https://CRAN.R-project.org/package=quantregForest" TargetMode="External"/><Relationship Id="rId2" Type="http://schemas.openxmlformats.org/officeDocument/2006/relationships/styles" Target="styles.xml"/><Relationship Id="rId16" Type="http://schemas.openxmlformats.org/officeDocument/2006/relationships/hyperlink" Target="mailto:erics@sccwrp.org"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estfall@lacsd.org" TargetMode="External"/><Relationship Id="rId24" Type="http://schemas.openxmlformats.org/officeDocument/2006/relationships/hyperlink" Target="https://doi.org/10.1111/1752-1688.12372" TargetMode="External"/><Relationship Id="rId5" Type="http://schemas.openxmlformats.org/officeDocument/2006/relationships/footnotes" Target="footnotes.xml"/><Relationship Id="rId15" Type="http://schemas.openxmlformats.org/officeDocument/2006/relationships/hyperlink" Target="mailto:marthas@sccwrp.org" TargetMode="External"/><Relationship Id="rId23" Type="http://schemas.openxmlformats.org/officeDocument/2006/relationships/hyperlink" Target="http://doi.org/10.5281/zenodo.1218121" TargetMode="External"/><Relationship Id="rId28" Type="http://schemas.openxmlformats.org/officeDocument/2006/relationships/theme" Target="theme/theme1.xml"/><Relationship Id="rId10" Type="http://schemas.openxmlformats.org/officeDocument/2006/relationships/hyperlink" Target="mailto:karin@aquaticbioassay.co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cott@aquaticbioassay.com" TargetMode="External"/><Relationship Id="rId14" Type="http://schemas.openxmlformats.org/officeDocument/2006/relationships/hyperlink" Target="mailto:Chad.Loflen@waterboards.ca.gov"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 Beck</cp:lastModifiedBy>
  <cp:revision>2</cp:revision>
  <dcterms:created xsi:type="dcterms:W3CDTF">2018-07-12T18:23:00Z</dcterms:created>
  <dcterms:modified xsi:type="dcterms:W3CDTF">2018-07-12T18:26:00Z</dcterms:modified>
</cp:coreProperties>
</file>