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4.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developed</w:t>
      </w:r>
      <w:r>
        <w:t xml:space="preserve"> </w:t>
      </w:r>
      <w:r>
        <w:t xml:space="preserve">landscape</w:t>
      </w:r>
      <w:r>
        <w:t xml:space="preserve"> </w:t>
      </w:r>
      <w:r>
        <w:t xml:space="preserve">context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supplement-1-figures-and-tables"/>
      <w:r>
        <w:t xml:space="preserve">Supplement 1: Figures and Tables</w:t>
      </w:r>
      <w:bookmarkEnd w:id="30"/>
    </w:p>
    <w:p>
      <w:pPr>
        <w:pStyle w:val="CaptionedFigure"/>
      </w:pPr>
      <w:r>
        <w:drawing>
          <wp:inline>
            <wp:extent cx="5943600" cy="4033157"/>
            <wp:effectExtent b="0" l="0" r="0" t="0"/>
            <wp:docPr descr="Figure 1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1"/>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1 Template provided to stakeholders for prioritization of recommended actions for each stream type. The site types relate to the stream class for the biological expectation (likely unconstrained, possibly unconstrained, possibly constrained, likely constrained), relative site score for the observed CSCI (over-scoring, expected, under-scoring), and location of the score relative to a hypothetical biological threshold (dashed line, above or below). Horizontal lines are the ranges of expected CSCI scores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6523867"/>
            <wp:effectExtent b="0" l="0" r="0" t="0"/>
            <wp:docPr descr="Figure 2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title="" id="1" name="Picture"/>
            <a:graphic>
              <a:graphicData uri="http://schemas.openxmlformats.org/drawingml/2006/picture">
                <pic:pic>
                  <pic:nvPicPr>
                    <pic:cNvPr descr="figs/app.png" id="0" name="Picture"/>
                    <pic:cNvPicPr>
                      <a:picLocks noChangeArrowheads="1" noChangeAspect="1"/>
                    </pic:cNvPicPr>
                  </pic:nvPicPr>
                  <pic:blipFill>
                    <a:blip r:embed="rId32"/>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2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w:t>
      </w:r>
      <w:r>
        <w:t xml:space="preserve"> </w:t>
      </w:r>
      <w:hyperlink r:id="rId33">
        <w:r>
          <w:rPr>
            <w:rStyle w:val="Hyperlink"/>
          </w:rPr>
          <w:t xml:space="preserve">http://shiny.sccwrp.org/scape/</w:t>
        </w:r>
      </w:hyperlink>
      <w:r>
        <w:t xml:space="preserve">.</w:t>
      </w:r>
    </w:p>
    <w:p>
      <w:pPr>
        <w:pStyle w:val="CaptionedFigure"/>
      </w:pPr>
      <w:r>
        <w:drawing>
          <wp:inline>
            <wp:extent cx="5504749" cy="5504749"/>
            <wp:effectExtent b="0" l="0" r="0" t="0"/>
            <wp:docPr descr="Figure 3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3 Model performance in relation to land cover and land cover by major regions in California. Model residuals (CSCI observed - predicted) were smaller in regions with more urban or agricultural land use (e.g., SC, CV) and larger in regions with less anthropogenic land use (e.g., SN, DM). CV: Central Valley, CH: Chaparral, DM: Deserts and Modoc Plateau, NC: North Coast, SN: Sierra Nevada, SC: South Coast.</w:t>
      </w:r>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hyperlink" Id="rId33" Target="http://shiny.sccwrp.org/scape/"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3" Target="http://shiny.sccwrp.org/scape/"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2018-07-26T18:53:12Z</dcterms:created>
  <dcterms:modified xsi:type="dcterms:W3CDTF">2018-07-26T18:53:12Z</dcterms:modified>
</cp:coreProperties>
</file>