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2-unclassifiable-segments"/>
      <w:r>
        <w:t xml:space="preserve">Supplement 2: Unclassifiable segments</w:t>
      </w:r>
      <w:bookmarkEnd w:id="30"/>
    </w:p>
    <w:p>
      <w:pPr>
        <w:pStyle w:val="FirstParagraph"/>
      </w:pPr>
      <w:r>
        <w:t xml:space="preserve">Some stream segments were not classified following application of the landscape model to the statewide hydrography dataset. Unclassifiable segments occurred if StreamCat data</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were unavailable to predict bioassessment expectations using the landscape model or if a segment was excluded from the NHD-plus dataset</w:t>
      </w:r>
      <w:r>
        <w:t xml:space="preserve"> </w:t>
      </w:r>
      <w:r>
        <w:t xml:space="preserve">(McKay et al.</w:t>
      </w:r>
      <w:r>
        <w:t xml:space="preserve"> </w:t>
      </w:r>
      <w:hyperlink w:anchor="ref-McKay12">
        <w:r>
          <w:rPr>
            <w:rStyle w:val="Hyperlink"/>
          </w:rPr>
          <w:t xml:space="preserve">2012</w:t>
        </w:r>
      </w:hyperlink>
      <w:r>
        <w:t xml:space="preserve">)</w:t>
      </w:r>
      <w:r>
        <w:t xml:space="preserve"> </w:t>
      </w:r>
      <w:r>
        <w:t xml:space="preserve">(typically, small headwater streams). The former was more common, particularly in developed areas where canals and ditches were sometimes excluded from the natural stream network. Overall, unclassified segments were not common in the statewide dataset but they may have regional importance depending on needs of local management groups. Approximately 15% of the segments in the San Gabriel River watershed were unclassifiable and a method for assigning a classification to these segments was desired by the stakeholder group.</w:t>
      </w:r>
    </w:p>
    <w:p>
      <w:pPr>
        <w:pStyle w:val="BodyText"/>
      </w:pPr>
      <w:r>
        <w:t xml:space="preserve">We assigned biological expectations to unclassified segments in</w:t>
      </w:r>
      <w:r>
        <w:t xml:space="preserve"> </w:t>
      </w:r>
      <w:r>
        <w:t xml:space="preserve">“</w:t>
      </w:r>
      <w:r>
        <w:t xml:space="preserve">typically</w:t>
      </w:r>
      <w:r>
        <w:t xml:space="preserve">”</w:t>
      </w:r>
      <w:r>
        <w:t xml:space="preserve"> </w:t>
      </w:r>
      <w:r>
        <w:t xml:space="preserve">urban or agricultural segments by estimating the range of expectations for segments with similar land use. This analysis was conducted statewide and stratified by major regions to account for statewide variation in land use. The approximate range of CSCI scores in unclassifiable segments were defined for three different groups: segments dominated by either 1) urban, 2) agricultural, or 3) open (i.e., lack of urban or agriculture) land use. The three groups were identified using kmeans clustering of percentage land use estimates that were available across segments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segments with similar land use types, where membership of a segment within a particular group was based on the minimum difference in land use estimates for a segment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segments with available predictions.</w:t>
      </w:r>
    </w:p>
    <w:p>
      <w:pPr>
        <w:pStyle w:val="BodyText"/>
      </w:pPr>
      <w:r>
        <w:t xml:space="preserve">Ranges of expected CSCI scores for typical segments in urban, agricultural, and open (neither urban, nor agriculture) are shown in Table S</w:t>
      </w:r>
      <w:r>
        <w:t xml:space="preserve">1</w:t>
      </w:r>
      <w:r>
        <w:t xml:space="preserve">. These typical values are shown for more to less certainty (wide to narrow range) in the landscape model predictions. Unclassified segments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references"/>
      <w:r>
        <w:t xml:space="preserve">References</w:t>
      </w:r>
      <w:bookmarkEnd w:id="31"/>
    </w:p>
    <w:bookmarkStart w:id="36" w:name="refs"/>
    <w:bookmarkStart w:id="33"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32">
        <w:r>
          <w:rPr>
            <w:rStyle w:val="Hyperlink"/>
          </w:rPr>
          <w:t xml:space="preserve">https://doi.org/10.1111/1752-1688.12372</w:t>
        </w:r>
      </w:hyperlink>
      <w:r>
        <w:t xml:space="preserve">.</w:t>
      </w:r>
    </w:p>
    <w:bookmarkEnd w:id="33"/>
    <w:bookmarkStart w:id="34"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34"/>
    <w:bookmarkStart w:id="35" w:name="ref-McKay12"/>
    <w:p>
      <w:pPr>
        <w:pStyle w:val="Bibliography"/>
      </w:pPr>
      <w:r>
        <w:t xml:space="preserve">McKay, L., T. Bondelid, T. Dewald, J. Johnston, R. Moore, and A. Reah. 2012. “NHDPlus Version 2: User Guide.”</w:t>
      </w:r>
    </w:p>
    <w:bookmarkEnd w:id="35"/>
    <w:bookmarkEnd w:id="3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2"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2018-07-12T18:13:46Z</dcterms:created>
  <dcterms:modified xsi:type="dcterms:W3CDTF">2018-07-12T18:13:46Z</dcterms:modified>
</cp:coreProperties>
</file>