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34F2C">
      <w:pPr>
        <w:pStyle w:val="3"/>
      </w:pPr>
      <w:r>
        <w:t>泰国合规检查清单（中国跨境电商/投资企业版）</w:t>
      </w:r>
    </w:p>
    <w:p w14:paraId="41F20D0E"/>
    <w:p w14:paraId="2F2FD08F"/>
    <w:p w14:paraId="30A59859">
      <w:pPr>
        <w:pStyle w:val="164"/>
        <w:pBdr>
          <w:left w:val="single" w:color="CCCCCC" w:sz="24" w:space="0"/>
        </w:pBdr>
        <w:shd w:val="clear" w:fill="F8F8F8"/>
      </w:pPr>
      <w:r>
        <w:t>输入：中国电商公司 → 目标国泰国 → 业务模式B2C</w:t>
      </w:r>
    </w:p>
    <w:p w14:paraId="287D2B10">
      <w:pPr>
        <w:pStyle w:val="164"/>
        <w:pBdr>
          <w:left w:val="single" w:color="CCCCCC" w:sz="24" w:space="0"/>
        </w:pBdr>
        <w:shd w:val="clear" w:fill="F8F8F8"/>
      </w:pPr>
      <w:r>
        <w:t>输出：以下结构化合规清单</w:t>
      </w:r>
    </w:p>
    <w:p w14:paraId="26106515">
      <w:pPr>
        <w:pStyle w:val="169"/>
        <w:pBdr>
          <w:top w:val="single" w:color="CCCCCC" w:sz="8" w:space="0"/>
        </w:pBdr>
        <w:spacing w:after="240"/>
      </w:pPr>
    </w:p>
    <w:p w14:paraId="0082A40A">
      <w:pPr>
        <w:pStyle w:val="4"/>
      </w:pPr>
      <w:r>
        <w:t>一、公司注册与牌照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1245"/>
        <w:gridCol w:w="1976"/>
        <w:gridCol w:w="1536"/>
        <w:gridCol w:w="1300"/>
        <w:gridCol w:w="1227"/>
      </w:tblGrid>
      <w:tr w14:paraId="77270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59456C79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1385" w:type="dxa"/>
            <w:shd w:val="clear" w:color="auto" w:fill="F2F2F2"/>
          </w:tcPr>
          <w:p w14:paraId="604A221F">
            <w:pPr>
              <w:jc w:val="left"/>
            </w:pPr>
            <w:r>
              <w:rPr>
                <w:b/>
              </w:rPr>
              <w:t>事项</w:t>
            </w:r>
          </w:p>
        </w:tc>
        <w:tc>
          <w:tcPr>
            <w:tcW w:w="1385" w:type="dxa"/>
            <w:shd w:val="clear" w:color="auto" w:fill="F2F2F2"/>
          </w:tcPr>
          <w:p w14:paraId="0B1EBC79">
            <w:pPr>
              <w:jc w:val="left"/>
            </w:pPr>
            <w:r>
              <w:rPr>
                <w:b/>
              </w:rPr>
              <w:t>具体要求</w:t>
            </w:r>
          </w:p>
        </w:tc>
        <w:tc>
          <w:tcPr>
            <w:tcW w:w="1385" w:type="dxa"/>
            <w:shd w:val="clear" w:color="auto" w:fill="F2F2F2"/>
          </w:tcPr>
          <w:p w14:paraId="2599A4D8">
            <w:pPr>
              <w:jc w:val="left"/>
            </w:pPr>
            <w:r>
              <w:rPr>
                <w:b/>
              </w:rPr>
              <w:t>法律依据</w:t>
            </w:r>
          </w:p>
        </w:tc>
        <w:tc>
          <w:tcPr>
            <w:tcW w:w="1385" w:type="dxa"/>
            <w:shd w:val="clear" w:color="auto" w:fill="F2F2F2"/>
          </w:tcPr>
          <w:p w14:paraId="560E28DC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1385" w:type="dxa"/>
            <w:shd w:val="clear" w:color="auto" w:fill="F2F2F2"/>
          </w:tcPr>
          <w:p w14:paraId="0244E895">
            <w:pPr>
              <w:jc w:val="left"/>
            </w:pPr>
            <w:r>
              <w:rPr>
                <w:b/>
              </w:rPr>
              <w:t>状态</w:t>
            </w:r>
          </w:p>
        </w:tc>
      </w:tr>
      <w:tr w14:paraId="057A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7F5FD8A4">
            <w:pPr>
              <w:jc w:val="left"/>
            </w:pPr>
            <w:r>
              <w:t>1.1</w:t>
            </w:r>
          </w:p>
        </w:tc>
        <w:tc>
          <w:tcPr>
            <w:tcW w:w="1385" w:type="dxa"/>
          </w:tcPr>
          <w:p w14:paraId="395ADD0E">
            <w:pPr>
              <w:jc w:val="left"/>
            </w:pPr>
            <w:r>
              <w:t>商业注册</w:t>
            </w:r>
          </w:p>
        </w:tc>
        <w:tc>
          <w:tcPr>
            <w:tcW w:w="1385" w:type="dxa"/>
          </w:tcPr>
          <w:p w14:paraId="22C6B4F7">
            <w:pPr>
              <w:jc w:val="left"/>
            </w:pPr>
            <w:r>
              <w:t>在商业发展厅（DBD）注册公司，获取公司注册证书（Certificate of Registration）。中国投资者须确认公司类型（有限公司最常见）</w:t>
            </w:r>
          </w:p>
        </w:tc>
        <w:tc>
          <w:tcPr>
            <w:tcW w:w="1385" w:type="dxa"/>
          </w:tcPr>
          <w:p w14:paraId="68035AF9">
            <w:pPr>
              <w:jc w:val="left"/>
            </w:pPr>
            <w:r>
              <w:t>《民商法典》Partnerships and Companies Act</w:t>
            </w:r>
          </w:p>
        </w:tc>
        <w:tc>
          <w:tcPr>
            <w:tcW w:w="1385" w:type="dxa"/>
          </w:tcPr>
          <w:p w14:paraId="4E5DC75C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175C40A7">
            <w:pPr>
              <w:jc w:val="left"/>
            </w:pPr>
            <w:r>
              <w:t>☐ 待办理</w:t>
            </w:r>
          </w:p>
        </w:tc>
      </w:tr>
      <w:tr w14:paraId="4A0C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6E153326">
            <w:pPr>
              <w:jc w:val="left"/>
            </w:pPr>
            <w:r>
              <w:t>1.2</w:t>
            </w:r>
          </w:p>
        </w:tc>
        <w:tc>
          <w:tcPr>
            <w:tcW w:w="1385" w:type="dxa"/>
          </w:tcPr>
          <w:p w14:paraId="786B5684">
            <w:pPr>
              <w:jc w:val="left"/>
            </w:pPr>
            <w:r>
              <w:t>外国人持股比例</w:t>
            </w:r>
          </w:p>
        </w:tc>
        <w:tc>
          <w:tcPr>
            <w:tcW w:w="1385" w:type="dxa"/>
          </w:tcPr>
          <w:p w14:paraId="4621994C">
            <w:pPr>
              <w:jc w:val="left"/>
            </w:pPr>
            <w:r>
              <w:t>外国人持股≤49%可直接注册；如需外资控股（&gt;49%），须申请BOI优惠或Foreign Business Act豁免</w:t>
            </w:r>
          </w:p>
        </w:tc>
        <w:tc>
          <w:tcPr>
            <w:tcW w:w="1385" w:type="dxa"/>
          </w:tcPr>
          <w:p w14:paraId="1E7143BA">
            <w:pPr>
              <w:jc w:val="left"/>
            </w:pPr>
            <w:r>
              <w:t>《外国人经营法》Foreign Business Act B.E. 2542</w:t>
            </w:r>
          </w:p>
        </w:tc>
        <w:tc>
          <w:tcPr>
            <w:tcW w:w="1385" w:type="dxa"/>
          </w:tcPr>
          <w:p w14:paraId="5EBCE99E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01AD1B5B">
            <w:pPr>
              <w:jc w:val="left"/>
            </w:pPr>
            <w:r>
              <w:t>☐ 待确认</w:t>
            </w:r>
          </w:p>
        </w:tc>
      </w:tr>
      <w:tr w14:paraId="4729A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2F0C44F7">
            <w:pPr>
              <w:jc w:val="left"/>
            </w:pPr>
            <w:r>
              <w:t>1.3</w:t>
            </w:r>
          </w:p>
        </w:tc>
        <w:tc>
          <w:tcPr>
            <w:tcW w:w="1385" w:type="dxa"/>
          </w:tcPr>
          <w:p w14:paraId="7CF38D4E">
            <w:pPr>
              <w:jc w:val="left"/>
            </w:pPr>
            <w:r>
              <w:t>BOI投资促进</w:t>
            </w:r>
          </w:p>
        </w:tc>
        <w:tc>
          <w:tcPr>
            <w:tcW w:w="1385" w:type="dxa"/>
          </w:tcPr>
          <w:p w14:paraId="7B3D2BFE">
            <w:pPr>
              <w:jc w:val="left"/>
            </w:pPr>
            <w:r>
              <w:t>如申请BOI优惠（可享受CIT减免3-8年等），须向Board of Investment提交投资促进申请。电商行业是否适用需具体确认</w:t>
            </w:r>
          </w:p>
        </w:tc>
        <w:tc>
          <w:tcPr>
            <w:tcW w:w="1385" w:type="dxa"/>
          </w:tcPr>
          <w:p w14:paraId="68DBB81A">
            <w:pPr>
              <w:jc w:val="left"/>
            </w:pPr>
            <w:r>
              <w:t>《投资促进法》Investment Promotion Act B.E. 2520</w:t>
            </w:r>
          </w:p>
        </w:tc>
        <w:tc>
          <w:tcPr>
            <w:tcW w:w="1385" w:type="dxa"/>
          </w:tcPr>
          <w:p w14:paraId="50CE9CD8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1C00677C">
            <w:pPr>
              <w:jc w:val="left"/>
            </w:pPr>
            <w:r>
              <w:t>☐ 评估中</w:t>
            </w:r>
          </w:p>
        </w:tc>
      </w:tr>
      <w:tr w14:paraId="1CC86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30B2478E">
            <w:pPr>
              <w:jc w:val="left"/>
            </w:pPr>
            <w:r>
              <w:t>1.4</w:t>
            </w:r>
          </w:p>
        </w:tc>
        <w:tc>
          <w:tcPr>
            <w:tcW w:w="1385" w:type="dxa"/>
          </w:tcPr>
          <w:p w14:paraId="5AF97ACF">
            <w:pPr>
              <w:jc w:val="left"/>
            </w:pPr>
            <w:r>
              <w:t>电子商务备案</w:t>
            </w:r>
          </w:p>
        </w:tc>
        <w:tc>
          <w:tcPr>
            <w:tcW w:w="1385" w:type="dxa"/>
          </w:tcPr>
          <w:p w14:paraId="668741F6">
            <w:pPr>
              <w:jc w:val="left"/>
            </w:pPr>
            <w:r>
              <w:t>在线平台须在DBD进行电子商务备案登记</w:t>
            </w:r>
          </w:p>
        </w:tc>
        <w:tc>
          <w:tcPr>
            <w:tcW w:w="1385" w:type="dxa"/>
          </w:tcPr>
          <w:p w14:paraId="1FC1702A">
            <w:pPr>
              <w:jc w:val="left"/>
            </w:pPr>
            <w:r>
              <w:t>《电子交易法》Electronic Transactions Act B.E. 2544</w:t>
            </w:r>
          </w:p>
        </w:tc>
        <w:tc>
          <w:tcPr>
            <w:tcW w:w="1385" w:type="dxa"/>
          </w:tcPr>
          <w:p w14:paraId="48A303E8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623BEBFB">
            <w:pPr>
              <w:jc w:val="left"/>
            </w:pPr>
            <w:r>
              <w:t>☐ 待办理</w:t>
            </w:r>
          </w:p>
        </w:tc>
      </w:tr>
      <w:tr w14:paraId="23E9B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3A783F55">
            <w:pPr>
              <w:jc w:val="left"/>
            </w:pPr>
            <w:r>
              <w:t>1.5</w:t>
            </w:r>
          </w:p>
        </w:tc>
        <w:tc>
          <w:tcPr>
            <w:tcW w:w="1385" w:type="dxa"/>
          </w:tcPr>
          <w:p w14:paraId="61924F49">
            <w:pPr>
              <w:jc w:val="left"/>
            </w:pPr>
            <w:r>
              <w:t>工厂/仓库许可</w:t>
            </w:r>
          </w:p>
        </w:tc>
        <w:tc>
          <w:tcPr>
            <w:tcW w:w="1385" w:type="dxa"/>
          </w:tcPr>
          <w:p w14:paraId="3DFF4261">
            <w:pPr>
              <w:jc w:val="left"/>
            </w:pPr>
            <w:r>
              <w:t>如涉及仓储（面积≥特定门槛），需向工业部申请工厂经营许可证</w:t>
            </w:r>
          </w:p>
        </w:tc>
        <w:tc>
          <w:tcPr>
            <w:tcW w:w="1385" w:type="dxa"/>
          </w:tcPr>
          <w:p w14:paraId="69CA1EC7">
            <w:pPr>
              <w:jc w:val="left"/>
            </w:pPr>
            <w:r>
              <w:t>《工厂法》Factory Act B.E. 2535</w:t>
            </w:r>
          </w:p>
        </w:tc>
        <w:tc>
          <w:tcPr>
            <w:tcW w:w="1385" w:type="dxa"/>
          </w:tcPr>
          <w:p w14:paraId="4F82DA3C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79CB899A">
            <w:pPr>
              <w:jc w:val="left"/>
            </w:pPr>
            <w:r>
              <w:t>☐ 视情况</w:t>
            </w:r>
          </w:p>
        </w:tc>
      </w:tr>
      <w:tr w14:paraId="063C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6A5DED6F">
            <w:pPr>
              <w:jc w:val="left"/>
            </w:pPr>
            <w:r>
              <w:t>1.6</w:t>
            </w:r>
          </w:p>
        </w:tc>
        <w:tc>
          <w:tcPr>
            <w:tcW w:w="1385" w:type="dxa"/>
          </w:tcPr>
          <w:p w14:paraId="378316A1">
            <w:pPr>
              <w:jc w:val="left"/>
            </w:pPr>
            <w:r>
              <w:t>外商经营许可</w:t>
            </w:r>
          </w:p>
        </w:tc>
        <w:tc>
          <w:tcPr>
            <w:tcW w:w="1385" w:type="dxa"/>
          </w:tcPr>
          <w:p w14:paraId="39C0C691">
            <w:pPr>
              <w:jc w:val="left"/>
            </w:pPr>
            <w:r>
              <w:t>如电商业务被认定为外国人受限业务（Annex 3 of FBA），需申请外商经营许可证或获得部长豁免</w:t>
            </w:r>
          </w:p>
        </w:tc>
        <w:tc>
          <w:tcPr>
            <w:tcW w:w="1385" w:type="dxa"/>
          </w:tcPr>
          <w:p w14:paraId="1258C1E8">
            <w:pPr>
              <w:jc w:val="left"/>
            </w:pPr>
            <w:r>
              <w:t>《外国人经营法》Annex 3</w:t>
            </w:r>
          </w:p>
        </w:tc>
        <w:tc>
          <w:tcPr>
            <w:tcW w:w="1385" w:type="dxa"/>
          </w:tcPr>
          <w:p w14:paraId="5298C22E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7C5C1D6F">
            <w:pPr>
              <w:jc w:val="left"/>
            </w:pPr>
            <w:r>
              <w:t>☐ 待确认</w:t>
            </w:r>
          </w:p>
        </w:tc>
      </w:tr>
    </w:tbl>
    <w:p w14:paraId="09CE2CA8"/>
    <w:p w14:paraId="1B480FE9">
      <w:pPr>
        <w:pStyle w:val="169"/>
        <w:pBdr>
          <w:top w:val="single" w:color="CCCCCC" w:sz="8" w:space="0"/>
        </w:pBdr>
        <w:spacing w:after="240"/>
      </w:pPr>
    </w:p>
    <w:p w14:paraId="048B3DD6">
      <w:pPr>
        <w:pStyle w:val="4"/>
      </w:pPr>
      <w:r>
        <w:t>二、税务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379"/>
        <w:gridCol w:w="1384"/>
        <w:gridCol w:w="1646"/>
        <w:gridCol w:w="1377"/>
        <w:gridCol w:w="1370"/>
      </w:tblGrid>
      <w:tr w14:paraId="52CD2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3468F407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1385" w:type="dxa"/>
            <w:shd w:val="clear" w:color="auto" w:fill="F2F2F2"/>
          </w:tcPr>
          <w:p w14:paraId="6A34B303">
            <w:pPr>
              <w:jc w:val="left"/>
            </w:pPr>
            <w:r>
              <w:rPr>
                <w:b/>
              </w:rPr>
              <w:t>事项</w:t>
            </w:r>
          </w:p>
        </w:tc>
        <w:tc>
          <w:tcPr>
            <w:tcW w:w="1385" w:type="dxa"/>
            <w:shd w:val="clear" w:color="auto" w:fill="F2F2F2"/>
          </w:tcPr>
          <w:p w14:paraId="4DD27819">
            <w:pPr>
              <w:jc w:val="left"/>
            </w:pPr>
            <w:r>
              <w:rPr>
                <w:b/>
              </w:rPr>
              <w:t>具体要求</w:t>
            </w:r>
          </w:p>
        </w:tc>
        <w:tc>
          <w:tcPr>
            <w:tcW w:w="1385" w:type="dxa"/>
            <w:shd w:val="clear" w:color="auto" w:fill="F2F2F2"/>
          </w:tcPr>
          <w:p w14:paraId="6197B967">
            <w:pPr>
              <w:jc w:val="left"/>
            </w:pPr>
            <w:r>
              <w:rPr>
                <w:b/>
              </w:rPr>
              <w:t>法律依据</w:t>
            </w:r>
          </w:p>
        </w:tc>
        <w:tc>
          <w:tcPr>
            <w:tcW w:w="1385" w:type="dxa"/>
            <w:shd w:val="clear" w:color="auto" w:fill="F2F2F2"/>
          </w:tcPr>
          <w:p w14:paraId="56327FF5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1385" w:type="dxa"/>
            <w:shd w:val="clear" w:color="auto" w:fill="F2F2F2"/>
          </w:tcPr>
          <w:p w14:paraId="6DCA2E76">
            <w:pPr>
              <w:jc w:val="left"/>
            </w:pPr>
            <w:r>
              <w:rPr>
                <w:b/>
              </w:rPr>
              <w:t>状态</w:t>
            </w:r>
          </w:p>
        </w:tc>
      </w:tr>
      <w:tr w14:paraId="517B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5E1339CC">
            <w:pPr>
              <w:jc w:val="left"/>
            </w:pPr>
            <w:r>
              <w:t>2.1</w:t>
            </w:r>
          </w:p>
        </w:tc>
        <w:tc>
          <w:tcPr>
            <w:tcW w:w="1385" w:type="dxa"/>
          </w:tcPr>
          <w:p w14:paraId="54F0C2D2">
            <w:pPr>
              <w:jc w:val="left"/>
            </w:pPr>
            <w:r>
              <w:t>VAT注册</w:t>
            </w:r>
          </w:p>
        </w:tc>
        <w:tc>
          <w:tcPr>
            <w:tcW w:w="1385" w:type="dxa"/>
          </w:tcPr>
          <w:p w14:paraId="5C01D662">
            <w:pPr>
              <w:jc w:val="left"/>
            </w:pPr>
            <w:r>
              <w:t>年营收≥180万泰铢必须注册VAT，税率7%（有效期至2027年9月30日）。跨境电商须注册VAT</w:t>
            </w:r>
          </w:p>
        </w:tc>
        <w:tc>
          <w:tcPr>
            <w:tcW w:w="1385" w:type="dxa"/>
          </w:tcPr>
          <w:p w14:paraId="6C981B3C">
            <w:pPr>
              <w:jc w:val="left"/>
            </w:pPr>
            <w:r>
              <w:t>Revenue Code Section 85/4</w:t>
            </w:r>
          </w:p>
        </w:tc>
        <w:tc>
          <w:tcPr>
            <w:tcW w:w="1385" w:type="dxa"/>
          </w:tcPr>
          <w:p w14:paraId="75841391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741AC02A">
            <w:pPr>
              <w:jc w:val="left"/>
            </w:pPr>
            <w:r>
              <w:t>☐ 待办理</w:t>
            </w:r>
          </w:p>
        </w:tc>
      </w:tr>
      <w:tr w14:paraId="60592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06F153AA">
            <w:pPr>
              <w:jc w:val="left"/>
            </w:pPr>
            <w:r>
              <w:t>2.2</w:t>
            </w:r>
          </w:p>
        </w:tc>
        <w:tc>
          <w:tcPr>
            <w:tcW w:w="1385" w:type="dxa"/>
          </w:tcPr>
          <w:p w14:paraId="701C448F">
            <w:pPr>
              <w:jc w:val="left"/>
            </w:pPr>
            <w:r>
              <w:t>企业所得税（CIT）</w:t>
            </w:r>
          </w:p>
        </w:tc>
        <w:tc>
          <w:tcPr>
            <w:tcW w:w="1385" w:type="dxa"/>
          </w:tcPr>
          <w:p w14:paraId="13537174">
            <w:pPr>
              <w:jc w:val="left"/>
            </w:pPr>
            <w:r>
              <w:t>税率20%。BOI优惠企业可享减免期。SME企业（实缴资本≤500万+收入≤3000万）享累进优惠税率</w:t>
            </w:r>
          </w:p>
        </w:tc>
        <w:tc>
          <w:tcPr>
            <w:tcW w:w="1385" w:type="dxa"/>
          </w:tcPr>
          <w:p w14:paraId="7D5260B2">
            <w:pPr>
              <w:jc w:val="left"/>
            </w:pPr>
            <w:r>
              <w:t>Revenue Code Section 65</w:t>
            </w:r>
          </w:p>
        </w:tc>
        <w:tc>
          <w:tcPr>
            <w:tcW w:w="1385" w:type="dxa"/>
          </w:tcPr>
          <w:p w14:paraId="223A3244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74F98C78">
            <w:pPr>
              <w:jc w:val="left"/>
            </w:pPr>
            <w:r>
              <w:t>☐ 已知悉</w:t>
            </w:r>
          </w:p>
        </w:tc>
      </w:tr>
      <w:tr w14:paraId="642BB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796CB474">
            <w:pPr>
              <w:jc w:val="left"/>
            </w:pPr>
            <w:r>
              <w:t>2.3</w:t>
            </w:r>
          </w:p>
        </w:tc>
        <w:tc>
          <w:tcPr>
            <w:tcW w:w="1385" w:type="dxa"/>
          </w:tcPr>
          <w:p w14:paraId="05D3B5C6">
            <w:pPr>
              <w:jc w:val="left"/>
            </w:pPr>
            <w:r>
              <w:t>预扣税（WHT）</w:t>
            </w:r>
          </w:p>
        </w:tc>
        <w:tc>
          <w:tcPr>
            <w:tcW w:w="1385" w:type="dxa"/>
          </w:tcPr>
          <w:p w14:paraId="72EB13D8">
            <w:pPr>
              <w:jc w:val="left"/>
            </w:pPr>
            <w:r>
              <w:t>向境外支付：服务费15%、特许权使用费15%、利息15%、股息10%。中泰税收协定可降低税率</w:t>
            </w:r>
          </w:p>
        </w:tc>
        <w:tc>
          <w:tcPr>
            <w:tcW w:w="1385" w:type="dxa"/>
          </w:tcPr>
          <w:p w14:paraId="7C8A3CF8">
            <w:pPr>
              <w:jc w:val="left"/>
            </w:pPr>
            <w:r>
              <w:t>Revenue Code Section 50; Thailand-China DTA</w:t>
            </w:r>
          </w:p>
        </w:tc>
        <w:tc>
          <w:tcPr>
            <w:tcW w:w="1385" w:type="dxa"/>
          </w:tcPr>
          <w:p w14:paraId="387E1117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3436FB85">
            <w:pPr>
              <w:jc w:val="left"/>
            </w:pPr>
            <w:r>
              <w:t>☐ 已知悉</w:t>
            </w:r>
          </w:p>
        </w:tc>
      </w:tr>
      <w:tr w14:paraId="169B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52343917">
            <w:pPr>
              <w:jc w:val="left"/>
            </w:pPr>
            <w:r>
              <w:t>2.4</w:t>
            </w:r>
          </w:p>
        </w:tc>
        <w:tc>
          <w:tcPr>
            <w:tcW w:w="1385" w:type="dxa"/>
          </w:tcPr>
          <w:p w14:paraId="10909F4F">
            <w:pPr>
              <w:jc w:val="left"/>
            </w:pPr>
            <w:r>
              <w:t>进口关税</w:t>
            </w:r>
          </w:p>
        </w:tc>
        <w:tc>
          <w:tcPr>
            <w:tcW w:w="1385" w:type="dxa"/>
          </w:tcPr>
          <w:p w14:paraId="12A64FC0">
            <w:pPr>
              <w:jc w:val="left"/>
            </w:pPr>
            <w:r>
              <w:t>2026年1月起取消1500泰铢免税门槛，所有进口商品须缴纳关税。跨境电商平台可能被要求代征关税</w:t>
            </w:r>
          </w:p>
        </w:tc>
        <w:tc>
          <w:tcPr>
            <w:tcW w:w="1385" w:type="dxa"/>
          </w:tcPr>
          <w:p w14:paraId="0B6EE186">
            <w:pPr>
              <w:jc w:val="left"/>
            </w:pPr>
            <w:r>
              <w:t>Customs Act B.E. 2560; Revenue Dept. notifications</w:t>
            </w:r>
          </w:p>
        </w:tc>
        <w:tc>
          <w:tcPr>
            <w:tcW w:w="1385" w:type="dxa"/>
          </w:tcPr>
          <w:p w14:paraId="37BCB7CD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25E71EA3">
            <w:pPr>
              <w:jc w:val="left"/>
            </w:pPr>
            <w:r>
              <w:t>☐ 关注新政</w:t>
            </w:r>
          </w:p>
        </w:tc>
      </w:tr>
      <w:tr w14:paraId="6229C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5E1668A5">
            <w:pPr>
              <w:jc w:val="left"/>
            </w:pPr>
            <w:r>
              <w:t>2.5</w:t>
            </w:r>
          </w:p>
        </w:tc>
        <w:tc>
          <w:tcPr>
            <w:tcW w:w="1385" w:type="dxa"/>
          </w:tcPr>
          <w:p w14:paraId="59881215">
            <w:pPr>
              <w:jc w:val="left"/>
            </w:pPr>
            <w:r>
              <w:t>转让定价同期资料</w:t>
            </w:r>
          </w:p>
        </w:tc>
        <w:tc>
          <w:tcPr>
            <w:tcW w:w="1385" w:type="dxa"/>
          </w:tcPr>
          <w:p w14:paraId="371CFE3D">
            <w:pPr>
              <w:jc w:val="left"/>
            </w:pPr>
            <w:r>
              <w:t>年收入≥2亿泰铢须：①提交TP Disclosure Form（TPDF）随CIT申报（150天内）；②准备Local File（泰文，收到要求后60天内提交）</w:t>
            </w:r>
          </w:p>
        </w:tc>
        <w:tc>
          <w:tcPr>
            <w:tcW w:w="1385" w:type="dxa"/>
          </w:tcPr>
          <w:p w14:paraId="2A021440">
            <w:pPr>
              <w:jc w:val="left"/>
            </w:pPr>
            <w:r>
              <w:t>Revenue Code Section 71 bis, 71 ter; Notification No. 407</w:t>
            </w:r>
          </w:p>
        </w:tc>
        <w:tc>
          <w:tcPr>
            <w:tcW w:w="1385" w:type="dxa"/>
          </w:tcPr>
          <w:p w14:paraId="2580FF7B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47683C0E">
            <w:pPr>
              <w:jc w:val="left"/>
            </w:pPr>
            <w:r>
              <w:t>☐ 待评估</w:t>
            </w:r>
          </w:p>
        </w:tc>
      </w:tr>
      <w:tr w14:paraId="5F860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3085765B">
            <w:pPr>
              <w:jc w:val="left"/>
            </w:pPr>
            <w:r>
              <w:t>2.6</w:t>
            </w:r>
          </w:p>
        </w:tc>
        <w:tc>
          <w:tcPr>
            <w:tcW w:w="1385" w:type="dxa"/>
          </w:tcPr>
          <w:p w14:paraId="3FAB008B">
            <w:pPr>
              <w:jc w:val="left"/>
            </w:pPr>
            <w:r>
              <w:t>关联交易申报</w:t>
            </w:r>
          </w:p>
        </w:tc>
        <w:tc>
          <w:tcPr>
            <w:tcW w:w="1385" w:type="dxa"/>
          </w:tcPr>
          <w:p w14:paraId="0C6D073A">
            <w:pPr>
              <w:jc w:val="left"/>
            </w:pPr>
            <w:r>
              <w:t>所有关联方交易须在TPDF中披露，包括交易类型、金额和定价政策</w:t>
            </w:r>
          </w:p>
        </w:tc>
        <w:tc>
          <w:tcPr>
            <w:tcW w:w="1385" w:type="dxa"/>
          </w:tcPr>
          <w:p w14:paraId="0129946D">
            <w:pPr>
              <w:jc w:val="left"/>
            </w:pPr>
            <w:r>
              <w:t>Notification No. 400, TPDF form</w:t>
            </w:r>
          </w:p>
        </w:tc>
        <w:tc>
          <w:tcPr>
            <w:tcW w:w="1385" w:type="dxa"/>
          </w:tcPr>
          <w:p w14:paraId="6D42052C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3EC0F101">
            <w:pPr>
              <w:jc w:val="left"/>
            </w:pPr>
            <w:r>
              <w:t>☐ 待办理</w:t>
            </w:r>
          </w:p>
        </w:tc>
      </w:tr>
      <w:tr w14:paraId="2617B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45BEAD18">
            <w:pPr>
              <w:jc w:val="left"/>
            </w:pPr>
            <w:r>
              <w:t>2.7</w:t>
            </w:r>
          </w:p>
        </w:tc>
        <w:tc>
          <w:tcPr>
            <w:tcW w:w="1385" w:type="dxa"/>
          </w:tcPr>
          <w:p w14:paraId="4437C03B">
            <w:pPr>
              <w:jc w:val="left"/>
            </w:pPr>
            <w:r>
              <w:t>印花税</w:t>
            </w:r>
          </w:p>
        </w:tc>
        <w:tc>
          <w:tcPr>
            <w:tcW w:w="1385" w:type="dxa"/>
          </w:tcPr>
          <w:p w14:paraId="7AD1E47E">
            <w:pPr>
              <w:jc w:val="left"/>
            </w:pPr>
            <w:r>
              <w:t>部分合同需缴纳印花税（如IP许可协议、贷款协议等）。须在合同签署后规定期限内缴纳</w:t>
            </w:r>
          </w:p>
        </w:tc>
        <w:tc>
          <w:tcPr>
            <w:tcW w:w="1385" w:type="dxa"/>
          </w:tcPr>
          <w:p w14:paraId="0F34F4B9">
            <w:pPr>
              <w:jc w:val="left"/>
            </w:pPr>
            <w:r>
              <w:t>Stamp Duty Act B.E. 2507</w:t>
            </w:r>
          </w:p>
        </w:tc>
        <w:tc>
          <w:tcPr>
            <w:tcW w:w="1385" w:type="dxa"/>
          </w:tcPr>
          <w:p w14:paraId="3805682C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58508704">
            <w:pPr>
              <w:jc w:val="left"/>
            </w:pPr>
            <w:r>
              <w:t>☐ 已知悉</w:t>
            </w:r>
          </w:p>
        </w:tc>
      </w:tr>
      <w:tr w14:paraId="13119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3A6E6A5F">
            <w:pPr>
              <w:jc w:val="left"/>
            </w:pPr>
            <w:r>
              <w:t>2.8</w:t>
            </w:r>
          </w:p>
        </w:tc>
        <w:tc>
          <w:tcPr>
            <w:tcW w:w="1385" w:type="dxa"/>
          </w:tcPr>
          <w:p w14:paraId="6EB89F59">
            <w:pPr>
              <w:jc w:val="left"/>
            </w:pPr>
            <w:r>
              <w:t>数字服务税/电子平台义务</w:t>
            </w:r>
          </w:p>
        </w:tc>
        <w:tc>
          <w:tcPr>
            <w:tcW w:w="1385" w:type="dxa"/>
          </w:tcPr>
          <w:p w14:paraId="42AFC949">
            <w:pPr>
              <w:jc w:val="left"/>
            </w:pPr>
            <w:r>
              <w:t>外国电子平台为泰国用户提供服务的，须注册VAT并代征。2021年起外国电子服务商须向TRD注册</w:t>
            </w:r>
          </w:p>
        </w:tc>
        <w:tc>
          <w:tcPr>
            <w:tcW w:w="1385" w:type="dxa"/>
          </w:tcPr>
          <w:p w14:paraId="69EA4D15">
            <w:pPr>
              <w:jc w:val="left"/>
            </w:pPr>
            <w:r>
              <w:t>Revenue Code Section 83/10-83/13</w:t>
            </w:r>
          </w:p>
        </w:tc>
        <w:tc>
          <w:tcPr>
            <w:tcW w:w="1385" w:type="dxa"/>
          </w:tcPr>
          <w:p w14:paraId="5B306D9E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722A4945">
            <w:pPr>
              <w:jc w:val="left"/>
            </w:pPr>
            <w:r>
              <w:t>☐ 待确认适用</w:t>
            </w:r>
          </w:p>
        </w:tc>
      </w:tr>
    </w:tbl>
    <w:p w14:paraId="50349A26"/>
    <w:p w14:paraId="2BCE15BD">
      <w:pPr>
        <w:pStyle w:val="169"/>
        <w:pBdr>
          <w:top w:val="single" w:color="CCCCCC" w:sz="8" w:space="0"/>
        </w:pBdr>
        <w:spacing w:after="240"/>
      </w:pPr>
    </w:p>
    <w:p w14:paraId="01192EBC">
      <w:pPr>
        <w:pStyle w:val="4"/>
      </w:pPr>
      <w:r>
        <w:t>三、数据合规（PDPA）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1363"/>
        <w:gridCol w:w="1756"/>
        <w:gridCol w:w="1381"/>
        <w:gridCol w:w="1357"/>
        <w:gridCol w:w="1333"/>
      </w:tblGrid>
      <w:tr w14:paraId="627FE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55515224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1385" w:type="dxa"/>
            <w:shd w:val="clear" w:color="auto" w:fill="F2F2F2"/>
          </w:tcPr>
          <w:p w14:paraId="3811ACD3">
            <w:pPr>
              <w:jc w:val="left"/>
            </w:pPr>
            <w:r>
              <w:rPr>
                <w:b/>
              </w:rPr>
              <w:t>事项</w:t>
            </w:r>
          </w:p>
        </w:tc>
        <w:tc>
          <w:tcPr>
            <w:tcW w:w="1385" w:type="dxa"/>
            <w:shd w:val="clear" w:color="auto" w:fill="F2F2F2"/>
          </w:tcPr>
          <w:p w14:paraId="7DE6C874">
            <w:pPr>
              <w:jc w:val="left"/>
            </w:pPr>
            <w:r>
              <w:rPr>
                <w:b/>
              </w:rPr>
              <w:t>具体要求</w:t>
            </w:r>
          </w:p>
        </w:tc>
        <w:tc>
          <w:tcPr>
            <w:tcW w:w="1385" w:type="dxa"/>
            <w:shd w:val="clear" w:color="auto" w:fill="F2F2F2"/>
          </w:tcPr>
          <w:p w14:paraId="7AAD6EC9">
            <w:pPr>
              <w:jc w:val="left"/>
            </w:pPr>
            <w:r>
              <w:rPr>
                <w:b/>
              </w:rPr>
              <w:t>法律依据</w:t>
            </w:r>
          </w:p>
        </w:tc>
        <w:tc>
          <w:tcPr>
            <w:tcW w:w="1385" w:type="dxa"/>
            <w:shd w:val="clear" w:color="auto" w:fill="F2F2F2"/>
          </w:tcPr>
          <w:p w14:paraId="3C650A02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1385" w:type="dxa"/>
            <w:shd w:val="clear" w:color="auto" w:fill="F2F2F2"/>
          </w:tcPr>
          <w:p w14:paraId="0656DA1E">
            <w:pPr>
              <w:jc w:val="left"/>
            </w:pPr>
            <w:r>
              <w:rPr>
                <w:b/>
              </w:rPr>
              <w:t>状态</w:t>
            </w:r>
          </w:p>
        </w:tc>
      </w:tr>
      <w:tr w14:paraId="072F8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79F110C3">
            <w:pPr>
              <w:jc w:val="left"/>
            </w:pPr>
            <w:r>
              <w:t>3.1</w:t>
            </w:r>
          </w:p>
        </w:tc>
        <w:tc>
          <w:tcPr>
            <w:tcW w:w="1385" w:type="dxa"/>
          </w:tcPr>
          <w:p w14:paraId="59285305">
            <w:pPr>
              <w:jc w:val="left"/>
            </w:pPr>
            <w:r>
              <w:t>PDPA合规</w:t>
            </w:r>
          </w:p>
        </w:tc>
        <w:tc>
          <w:tcPr>
            <w:tcW w:w="1385" w:type="dxa"/>
          </w:tcPr>
          <w:p w14:paraId="4235F28E">
            <w:pPr>
              <w:jc w:val="left"/>
            </w:pPr>
            <w:r>
              <w:t>泰国《个人数据保护法》已全面生效（2022年6月1日起）。收集处理泰国用户个人数据须合规</w:t>
            </w:r>
          </w:p>
        </w:tc>
        <w:tc>
          <w:tcPr>
            <w:tcW w:w="1385" w:type="dxa"/>
          </w:tcPr>
          <w:p w14:paraId="0F0A9228">
            <w:pPr>
              <w:jc w:val="left"/>
            </w:pPr>
            <w:r>
              <w:t>Personal Data Protection Act B.E. 2562 (PDPA)</w:t>
            </w:r>
          </w:p>
        </w:tc>
        <w:tc>
          <w:tcPr>
            <w:tcW w:w="1385" w:type="dxa"/>
          </w:tcPr>
          <w:p w14:paraId="1A608E21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16A59F36">
            <w:pPr>
              <w:jc w:val="left"/>
            </w:pPr>
            <w:r>
              <w:t>☐ 待办理</w:t>
            </w:r>
          </w:p>
        </w:tc>
      </w:tr>
      <w:tr w14:paraId="3D424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611368A5">
            <w:pPr>
              <w:jc w:val="left"/>
            </w:pPr>
            <w:r>
              <w:t>3.2</w:t>
            </w:r>
          </w:p>
        </w:tc>
        <w:tc>
          <w:tcPr>
            <w:tcW w:w="1385" w:type="dxa"/>
          </w:tcPr>
          <w:p w14:paraId="6B94E1DA">
            <w:pPr>
              <w:jc w:val="left"/>
            </w:pPr>
            <w:r>
              <w:t>指定数据保护官（DPO）</w:t>
            </w:r>
          </w:p>
        </w:tc>
        <w:tc>
          <w:tcPr>
            <w:tcW w:w="1385" w:type="dxa"/>
          </w:tcPr>
          <w:p w14:paraId="3A65970C">
            <w:pPr>
              <w:jc w:val="left"/>
            </w:pPr>
            <w:r>
              <w:t>须指定DPO负责PDPA合规。DPO联系信息须向PDPC报备</w:t>
            </w:r>
          </w:p>
        </w:tc>
        <w:tc>
          <w:tcPr>
            <w:tcW w:w="1385" w:type="dxa"/>
          </w:tcPr>
          <w:p w14:paraId="04EE3039">
            <w:pPr>
              <w:jc w:val="left"/>
            </w:pPr>
            <w:r>
              <w:t>PDPA Section 40</w:t>
            </w:r>
          </w:p>
        </w:tc>
        <w:tc>
          <w:tcPr>
            <w:tcW w:w="1385" w:type="dxa"/>
          </w:tcPr>
          <w:p w14:paraId="7314F677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1DEB9844">
            <w:pPr>
              <w:jc w:val="left"/>
            </w:pPr>
            <w:r>
              <w:t>☐ 待指定</w:t>
            </w:r>
          </w:p>
        </w:tc>
      </w:tr>
      <w:tr w14:paraId="334A2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2F85A2FF">
            <w:pPr>
              <w:jc w:val="left"/>
            </w:pPr>
            <w:r>
              <w:t>3.3</w:t>
            </w:r>
          </w:p>
        </w:tc>
        <w:tc>
          <w:tcPr>
            <w:tcW w:w="1385" w:type="dxa"/>
          </w:tcPr>
          <w:p w14:paraId="62F1F8DA">
            <w:pPr>
              <w:jc w:val="left"/>
            </w:pPr>
            <w:r>
              <w:t>数据处理记录</w:t>
            </w:r>
          </w:p>
        </w:tc>
        <w:tc>
          <w:tcPr>
            <w:tcW w:w="1385" w:type="dxa"/>
          </w:tcPr>
          <w:p w14:paraId="248BAF51">
            <w:pPr>
              <w:jc w:val="left"/>
            </w:pPr>
            <w:r>
              <w:t>须维护数据处理活动记录（Records of Processing Activities），包括数据类别、处理目的、数据接收方等</w:t>
            </w:r>
          </w:p>
        </w:tc>
        <w:tc>
          <w:tcPr>
            <w:tcW w:w="1385" w:type="dxa"/>
          </w:tcPr>
          <w:p w14:paraId="1B2B66B4">
            <w:pPr>
              <w:jc w:val="left"/>
            </w:pPr>
            <w:r>
              <w:t>PDPA Section 39</w:t>
            </w:r>
          </w:p>
        </w:tc>
        <w:tc>
          <w:tcPr>
            <w:tcW w:w="1385" w:type="dxa"/>
          </w:tcPr>
          <w:p w14:paraId="54AA94A2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33613E5B">
            <w:pPr>
              <w:jc w:val="left"/>
            </w:pPr>
            <w:r>
              <w:t>☐ 待建立</w:t>
            </w:r>
          </w:p>
        </w:tc>
      </w:tr>
      <w:tr w14:paraId="3AC25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1F6AD470">
            <w:pPr>
              <w:jc w:val="left"/>
            </w:pPr>
            <w:r>
              <w:t>3.4</w:t>
            </w:r>
          </w:p>
        </w:tc>
        <w:tc>
          <w:tcPr>
            <w:tcW w:w="1385" w:type="dxa"/>
          </w:tcPr>
          <w:p w14:paraId="0C119EDD">
            <w:pPr>
              <w:jc w:val="left"/>
            </w:pPr>
            <w:r>
              <w:t>隐私政策</w:t>
            </w:r>
          </w:p>
        </w:tc>
        <w:tc>
          <w:tcPr>
            <w:tcW w:w="1385" w:type="dxa"/>
          </w:tcPr>
          <w:p w14:paraId="0B37A956">
            <w:pPr>
              <w:jc w:val="left"/>
            </w:pPr>
            <w:r>
              <w:t>网站/App须有符合PDPA要求的隐私政策，告知数据主体收集目的、法律依据、保留期限等</w:t>
            </w:r>
          </w:p>
        </w:tc>
        <w:tc>
          <w:tcPr>
            <w:tcW w:w="1385" w:type="dxa"/>
          </w:tcPr>
          <w:p w14:paraId="1C958090">
            <w:pPr>
              <w:jc w:val="left"/>
            </w:pPr>
            <w:r>
              <w:t>PDPA Section 19</w:t>
            </w:r>
          </w:p>
        </w:tc>
        <w:tc>
          <w:tcPr>
            <w:tcW w:w="1385" w:type="dxa"/>
          </w:tcPr>
          <w:p w14:paraId="737170B7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09A2D717">
            <w:pPr>
              <w:jc w:val="left"/>
            </w:pPr>
            <w:r>
              <w:t>☐ 待制定</w:t>
            </w:r>
          </w:p>
        </w:tc>
      </w:tr>
      <w:tr w14:paraId="0BFBB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4306D28E">
            <w:pPr>
              <w:jc w:val="left"/>
            </w:pPr>
            <w:r>
              <w:t>3.5</w:t>
            </w:r>
          </w:p>
        </w:tc>
        <w:tc>
          <w:tcPr>
            <w:tcW w:w="1385" w:type="dxa"/>
          </w:tcPr>
          <w:p w14:paraId="2D94146A">
            <w:pPr>
              <w:jc w:val="left"/>
            </w:pPr>
            <w:r>
              <w:t>同意机制</w:t>
            </w:r>
          </w:p>
        </w:tc>
        <w:tc>
          <w:tcPr>
            <w:tcW w:w="1385" w:type="dxa"/>
          </w:tcPr>
          <w:p w14:paraId="1386947D">
            <w:pPr>
              <w:jc w:val="left"/>
            </w:pPr>
            <w:r>
              <w:t>须获得数据主体的有效同意（Cookie同意、营销同意等），同意须明确、具体、可撤回</w:t>
            </w:r>
          </w:p>
        </w:tc>
        <w:tc>
          <w:tcPr>
            <w:tcW w:w="1385" w:type="dxa"/>
          </w:tcPr>
          <w:p w14:paraId="5F9DA2C6">
            <w:pPr>
              <w:jc w:val="left"/>
            </w:pPr>
            <w:r>
              <w:t>PDPA Section 19, 20</w:t>
            </w:r>
          </w:p>
        </w:tc>
        <w:tc>
          <w:tcPr>
            <w:tcW w:w="1385" w:type="dxa"/>
          </w:tcPr>
          <w:p w14:paraId="52F64DC6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0A07E13F">
            <w:pPr>
              <w:jc w:val="left"/>
            </w:pPr>
            <w:r>
              <w:t>☐ 待实施</w:t>
            </w:r>
          </w:p>
        </w:tc>
      </w:tr>
      <w:tr w14:paraId="70BF1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72D92FDF">
            <w:pPr>
              <w:jc w:val="left"/>
            </w:pPr>
            <w:r>
              <w:t>3.6</w:t>
            </w:r>
          </w:p>
        </w:tc>
        <w:tc>
          <w:tcPr>
            <w:tcW w:w="1385" w:type="dxa"/>
          </w:tcPr>
          <w:p w14:paraId="79A91BEE">
            <w:pPr>
              <w:jc w:val="left"/>
            </w:pPr>
            <w:r>
              <w:t>跨境数据传输</w:t>
            </w:r>
          </w:p>
        </w:tc>
        <w:tc>
          <w:tcPr>
            <w:tcW w:w="1385" w:type="dxa"/>
          </w:tcPr>
          <w:p w14:paraId="4FC051A7">
            <w:pPr>
              <w:jc w:val="left"/>
            </w:pPr>
            <w:r>
              <w:t>向中国回传泰国用户数据须满足跨境传输要求：目标国须有"足够的数据保护水平"或采取适当保障措施（如SCCs/BCRs）</w:t>
            </w:r>
          </w:p>
        </w:tc>
        <w:tc>
          <w:tcPr>
            <w:tcW w:w="1385" w:type="dxa"/>
          </w:tcPr>
          <w:p w14:paraId="2DFABC2A">
            <w:pPr>
              <w:jc w:val="left"/>
            </w:pPr>
            <w:r>
              <w:t>PDPA Section 28, 29</w:t>
            </w:r>
          </w:p>
        </w:tc>
        <w:tc>
          <w:tcPr>
            <w:tcW w:w="1385" w:type="dxa"/>
          </w:tcPr>
          <w:p w14:paraId="7732F7D3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1D3CDC52">
            <w:pPr>
              <w:jc w:val="left"/>
            </w:pPr>
            <w:r>
              <w:t>☐ 待评估</w:t>
            </w:r>
          </w:p>
        </w:tc>
      </w:tr>
      <w:tr w14:paraId="5DE0C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318A820F">
            <w:pPr>
              <w:jc w:val="left"/>
            </w:pPr>
            <w:r>
              <w:t>3.7</w:t>
            </w:r>
          </w:p>
        </w:tc>
        <w:tc>
          <w:tcPr>
            <w:tcW w:w="1385" w:type="dxa"/>
          </w:tcPr>
          <w:p w14:paraId="758BD505">
            <w:pPr>
              <w:jc w:val="left"/>
            </w:pPr>
            <w:r>
              <w:t>数据泄露通知</w:t>
            </w:r>
          </w:p>
        </w:tc>
        <w:tc>
          <w:tcPr>
            <w:tcW w:w="1385" w:type="dxa"/>
          </w:tcPr>
          <w:p w14:paraId="4B67FBC6">
            <w:pPr>
              <w:jc w:val="left"/>
            </w:pPr>
            <w:r>
              <w:t>发生数据泄露须在72小时内通知PDPC；如对数据主体权利造成高风险，须同时通知数据主体</w:t>
            </w:r>
          </w:p>
        </w:tc>
        <w:tc>
          <w:tcPr>
            <w:tcW w:w="1385" w:type="dxa"/>
          </w:tcPr>
          <w:p w14:paraId="561CFD90">
            <w:pPr>
              <w:jc w:val="left"/>
            </w:pPr>
            <w:r>
              <w:t>PDPA Section 37</w:t>
            </w:r>
          </w:p>
        </w:tc>
        <w:tc>
          <w:tcPr>
            <w:tcW w:w="1385" w:type="dxa"/>
          </w:tcPr>
          <w:p w14:paraId="1F0FF3DF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1FEAC74A">
            <w:pPr>
              <w:jc w:val="left"/>
            </w:pPr>
            <w:r>
              <w:t>☐ 已建立流程</w:t>
            </w:r>
          </w:p>
        </w:tc>
      </w:tr>
      <w:tr w14:paraId="5C4A1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31F2E424">
            <w:pPr>
              <w:jc w:val="left"/>
            </w:pPr>
            <w:r>
              <w:t>3.8</w:t>
            </w:r>
          </w:p>
        </w:tc>
        <w:tc>
          <w:tcPr>
            <w:tcW w:w="1385" w:type="dxa"/>
          </w:tcPr>
          <w:p w14:paraId="506EC168">
            <w:pPr>
              <w:jc w:val="left"/>
            </w:pPr>
            <w:r>
              <w:t>数据主体权利</w:t>
            </w:r>
          </w:p>
        </w:tc>
        <w:tc>
          <w:tcPr>
            <w:tcW w:w="1385" w:type="dxa"/>
          </w:tcPr>
          <w:p w14:paraId="79658D99">
            <w:pPr>
              <w:jc w:val="left"/>
            </w:pPr>
            <w:r>
              <w:t>须建立机制响应数据主体的访问权、更正权、删除权、可携权等请求</w:t>
            </w:r>
          </w:p>
        </w:tc>
        <w:tc>
          <w:tcPr>
            <w:tcW w:w="1385" w:type="dxa"/>
          </w:tcPr>
          <w:p w14:paraId="10F4EC68">
            <w:pPr>
              <w:jc w:val="left"/>
            </w:pPr>
            <w:r>
              <w:t>PDPA Sections 30-36</w:t>
            </w:r>
          </w:p>
        </w:tc>
        <w:tc>
          <w:tcPr>
            <w:tcW w:w="1385" w:type="dxa"/>
          </w:tcPr>
          <w:p w14:paraId="3DC539C4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5DA80337">
            <w:pPr>
              <w:jc w:val="left"/>
            </w:pPr>
            <w:r>
              <w:t>☐ 待建立</w:t>
            </w:r>
          </w:p>
        </w:tc>
      </w:tr>
    </w:tbl>
    <w:p w14:paraId="5CC98D7E"/>
    <w:p w14:paraId="567DB137">
      <w:pPr>
        <w:pStyle w:val="169"/>
        <w:pBdr>
          <w:top w:val="single" w:color="CCCCCC" w:sz="8" w:space="0"/>
        </w:pBdr>
        <w:spacing w:after="240"/>
      </w:pPr>
    </w:p>
    <w:p w14:paraId="10EB907E">
      <w:pPr>
        <w:pStyle w:val="4"/>
      </w:pPr>
      <w:r>
        <w:t>四、消费者保护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536"/>
        <w:gridCol w:w="1385"/>
        <w:gridCol w:w="1385"/>
      </w:tblGrid>
      <w:tr w14:paraId="4D6A2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6FC36B32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1385" w:type="dxa"/>
            <w:shd w:val="clear" w:color="auto" w:fill="F2F2F2"/>
          </w:tcPr>
          <w:p w14:paraId="0A0BF2A8">
            <w:pPr>
              <w:jc w:val="left"/>
            </w:pPr>
            <w:r>
              <w:rPr>
                <w:b/>
              </w:rPr>
              <w:t>事项</w:t>
            </w:r>
          </w:p>
        </w:tc>
        <w:tc>
          <w:tcPr>
            <w:tcW w:w="1385" w:type="dxa"/>
            <w:shd w:val="clear" w:color="auto" w:fill="F2F2F2"/>
          </w:tcPr>
          <w:p w14:paraId="49F504E5">
            <w:pPr>
              <w:jc w:val="left"/>
            </w:pPr>
            <w:r>
              <w:rPr>
                <w:b/>
              </w:rPr>
              <w:t>具体要求</w:t>
            </w:r>
          </w:p>
        </w:tc>
        <w:tc>
          <w:tcPr>
            <w:tcW w:w="1385" w:type="dxa"/>
            <w:shd w:val="clear" w:color="auto" w:fill="F2F2F2"/>
          </w:tcPr>
          <w:p w14:paraId="348780CD">
            <w:pPr>
              <w:jc w:val="left"/>
            </w:pPr>
            <w:r>
              <w:rPr>
                <w:b/>
              </w:rPr>
              <w:t>法律依据</w:t>
            </w:r>
          </w:p>
        </w:tc>
        <w:tc>
          <w:tcPr>
            <w:tcW w:w="1385" w:type="dxa"/>
            <w:shd w:val="clear" w:color="auto" w:fill="F2F2F2"/>
          </w:tcPr>
          <w:p w14:paraId="25AA7667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1385" w:type="dxa"/>
            <w:shd w:val="clear" w:color="auto" w:fill="F2F2F2"/>
          </w:tcPr>
          <w:p w14:paraId="27DFC005">
            <w:pPr>
              <w:jc w:val="left"/>
            </w:pPr>
            <w:r>
              <w:rPr>
                <w:b/>
              </w:rPr>
              <w:t>状态</w:t>
            </w:r>
          </w:p>
        </w:tc>
      </w:tr>
      <w:tr w14:paraId="01A14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4C740126">
            <w:pPr>
              <w:jc w:val="left"/>
            </w:pPr>
            <w:r>
              <w:t>4.1</w:t>
            </w:r>
          </w:p>
        </w:tc>
        <w:tc>
          <w:tcPr>
            <w:tcW w:w="1385" w:type="dxa"/>
          </w:tcPr>
          <w:p w14:paraId="63AA8C92">
            <w:pPr>
              <w:jc w:val="left"/>
            </w:pPr>
            <w:r>
              <w:t>7天无理由退货</w:t>
            </w:r>
          </w:p>
        </w:tc>
        <w:tc>
          <w:tcPr>
            <w:tcW w:w="1385" w:type="dxa"/>
          </w:tcPr>
          <w:p w14:paraId="4F458199">
            <w:pPr>
              <w:jc w:val="left"/>
            </w:pPr>
            <w:r>
              <w:t>直接销售（含在线销售）消费者有权在收到商品后7天内无理由退货退款</w:t>
            </w:r>
          </w:p>
        </w:tc>
        <w:tc>
          <w:tcPr>
            <w:tcW w:w="1385" w:type="dxa"/>
          </w:tcPr>
          <w:p w14:paraId="2BDE7885">
            <w:pPr>
              <w:jc w:val="left"/>
            </w:pPr>
            <w:r>
              <w:t>《直接销售与直销法》Direct Sales and Direct Marketing Act B.E. 2545</w:t>
            </w:r>
          </w:p>
        </w:tc>
        <w:tc>
          <w:tcPr>
            <w:tcW w:w="1385" w:type="dxa"/>
          </w:tcPr>
          <w:p w14:paraId="7CCDFBE8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2F935F66">
            <w:pPr>
              <w:jc w:val="left"/>
            </w:pPr>
            <w:r>
              <w:t>☐ 待实施</w:t>
            </w:r>
          </w:p>
        </w:tc>
      </w:tr>
      <w:tr w14:paraId="62004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1E44F757">
            <w:pPr>
              <w:jc w:val="left"/>
            </w:pPr>
            <w:r>
              <w:t>4.2</w:t>
            </w:r>
          </w:p>
        </w:tc>
        <w:tc>
          <w:tcPr>
            <w:tcW w:w="1385" w:type="dxa"/>
          </w:tcPr>
          <w:p w14:paraId="5E93C396">
            <w:pPr>
              <w:jc w:val="left"/>
            </w:pPr>
            <w:r>
              <w:t>商品信息标注</w:t>
            </w:r>
          </w:p>
        </w:tc>
        <w:tc>
          <w:tcPr>
            <w:tcW w:w="1385" w:type="dxa"/>
          </w:tcPr>
          <w:p w14:paraId="490C48D9">
            <w:pPr>
              <w:jc w:val="left"/>
            </w:pPr>
            <w:r>
              <w:t>商品必须以泰语标注：品名、价格（含VAT）、产地、进口商信息、保质期（如适用）</w:t>
            </w:r>
          </w:p>
        </w:tc>
        <w:tc>
          <w:tcPr>
            <w:tcW w:w="1385" w:type="dxa"/>
          </w:tcPr>
          <w:p w14:paraId="5CD033B2">
            <w:pPr>
              <w:jc w:val="left"/>
            </w:pPr>
            <w:r>
              <w:t>Consumer Protection Act; Ministerial Regulations</w:t>
            </w:r>
          </w:p>
        </w:tc>
        <w:tc>
          <w:tcPr>
            <w:tcW w:w="1385" w:type="dxa"/>
          </w:tcPr>
          <w:p w14:paraId="4CA42114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4652760D">
            <w:pPr>
              <w:jc w:val="left"/>
            </w:pPr>
            <w:r>
              <w:t>☐ 待实施</w:t>
            </w:r>
          </w:p>
        </w:tc>
      </w:tr>
      <w:tr w14:paraId="06C14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4497AB9E">
            <w:pPr>
              <w:jc w:val="left"/>
            </w:pPr>
            <w:r>
              <w:t>4.3</w:t>
            </w:r>
          </w:p>
        </w:tc>
        <w:tc>
          <w:tcPr>
            <w:tcW w:w="1385" w:type="dxa"/>
          </w:tcPr>
          <w:p w14:paraId="77EBA5FE">
            <w:pPr>
              <w:jc w:val="left"/>
            </w:pPr>
            <w:r>
              <w:t>不公平合同条款</w:t>
            </w:r>
          </w:p>
        </w:tc>
        <w:tc>
          <w:tcPr>
            <w:tcW w:w="1385" w:type="dxa"/>
          </w:tcPr>
          <w:p w14:paraId="1FF8A47B">
            <w:pPr>
              <w:jc w:val="left"/>
            </w:pPr>
            <w:r>
              <w:t>电子商务合同中的格式条款不得包含不公平条款（如过度免责、单方修改权等）</w:t>
            </w:r>
          </w:p>
        </w:tc>
        <w:tc>
          <w:tcPr>
            <w:tcW w:w="1385" w:type="dxa"/>
          </w:tcPr>
          <w:p w14:paraId="3A9E8CB1">
            <w:pPr>
              <w:jc w:val="left"/>
            </w:pPr>
            <w:r>
              <w:t>Unfair Contract Terms Act B.E. 2540</w:t>
            </w:r>
          </w:p>
        </w:tc>
        <w:tc>
          <w:tcPr>
            <w:tcW w:w="1385" w:type="dxa"/>
          </w:tcPr>
          <w:p w14:paraId="3739A443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4C16D1B0">
            <w:pPr>
              <w:jc w:val="left"/>
            </w:pPr>
            <w:r>
              <w:t>☐ 待审查</w:t>
            </w:r>
          </w:p>
        </w:tc>
      </w:tr>
      <w:tr w14:paraId="7D0D3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6C31EE13">
            <w:pPr>
              <w:jc w:val="left"/>
            </w:pPr>
            <w:r>
              <w:t>4.4</w:t>
            </w:r>
          </w:p>
        </w:tc>
        <w:tc>
          <w:tcPr>
            <w:tcW w:w="1385" w:type="dxa"/>
          </w:tcPr>
          <w:p w14:paraId="15B01995">
            <w:pPr>
              <w:jc w:val="left"/>
            </w:pPr>
            <w:r>
              <w:t>客服通道</w:t>
            </w:r>
          </w:p>
        </w:tc>
        <w:tc>
          <w:tcPr>
            <w:tcW w:w="1385" w:type="dxa"/>
          </w:tcPr>
          <w:p w14:paraId="02A6E5E0">
            <w:pPr>
              <w:jc w:val="left"/>
            </w:pPr>
            <w:r>
              <w:t>须建立泰语客服通道（电话/在线），处理消费者投诉和退换货请求</w:t>
            </w:r>
          </w:p>
        </w:tc>
        <w:tc>
          <w:tcPr>
            <w:tcW w:w="1385" w:type="dxa"/>
          </w:tcPr>
          <w:p w14:paraId="26771D08">
            <w:pPr>
              <w:jc w:val="left"/>
            </w:pPr>
            <w:r>
              <w:t>E-Commerce regulations; Consumer Protection Board</w:t>
            </w:r>
          </w:p>
        </w:tc>
        <w:tc>
          <w:tcPr>
            <w:tcW w:w="1385" w:type="dxa"/>
          </w:tcPr>
          <w:p w14:paraId="311ECC2A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52E4BC5D">
            <w:pPr>
              <w:jc w:val="left"/>
            </w:pPr>
            <w:r>
              <w:t>☐ 待建立</w:t>
            </w:r>
          </w:p>
        </w:tc>
      </w:tr>
      <w:tr w14:paraId="125CC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63C7CEA8">
            <w:pPr>
              <w:jc w:val="left"/>
            </w:pPr>
            <w:r>
              <w:t>4.5</w:t>
            </w:r>
          </w:p>
        </w:tc>
        <w:tc>
          <w:tcPr>
            <w:tcW w:w="1385" w:type="dxa"/>
          </w:tcPr>
          <w:p w14:paraId="0637AD67">
            <w:pPr>
              <w:jc w:val="left"/>
            </w:pPr>
            <w:r>
              <w:t>产品召回义务</w:t>
            </w:r>
          </w:p>
        </w:tc>
        <w:tc>
          <w:tcPr>
            <w:tcW w:w="1385" w:type="dxa"/>
          </w:tcPr>
          <w:p w14:paraId="0F885F51">
            <w:pPr>
              <w:jc w:val="left"/>
            </w:pPr>
            <w:r>
              <w:t>如商品存在安全隐患，须主动召回并通知消费者保护委员会</w:t>
            </w:r>
          </w:p>
        </w:tc>
        <w:tc>
          <w:tcPr>
            <w:tcW w:w="1385" w:type="dxa"/>
          </w:tcPr>
          <w:p w14:paraId="500A7859">
            <w:pPr>
              <w:jc w:val="left"/>
            </w:pPr>
            <w:r>
              <w:t>Product Liability Act B.E. 2551</w:t>
            </w:r>
          </w:p>
        </w:tc>
        <w:tc>
          <w:tcPr>
            <w:tcW w:w="1385" w:type="dxa"/>
          </w:tcPr>
          <w:p w14:paraId="0F72BF73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3A90008C">
            <w:pPr>
              <w:jc w:val="left"/>
            </w:pPr>
            <w:r>
              <w:t>☐ 已知悉</w:t>
            </w:r>
          </w:p>
        </w:tc>
      </w:tr>
    </w:tbl>
    <w:p w14:paraId="5AE950A2"/>
    <w:p w14:paraId="6DECE9A3">
      <w:pPr>
        <w:pStyle w:val="169"/>
        <w:pBdr>
          <w:top w:val="single" w:color="CCCCCC" w:sz="8" w:space="0"/>
        </w:pBdr>
        <w:spacing w:after="240"/>
      </w:pPr>
    </w:p>
    <w:p w14:paraId="0072FECD">
      <w:pPr>
        <w:pStyle w:val="4"/>
      </w:pPr>
      <w:r>
        <w:t>五、广告与营销合规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426"/>
        <w:gridCol w:w="1426"/>
        <w:gridCol w:w="1385"/>
        <w:gridCol w:w="1385"/>
      </w:tblGrid>
      <w:tr w14:paraId="18A9D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7FE8C672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1385" w:type="dxa"/>
            <w:shd w:val="clear" w:color="auto" w:fill="F2F2F2"/>
          </w:tcPr>
          <w:p w14:paraId="3651C9D1">
            <w:pPr>
              <w:jc w:val="left"/>
            </w:pPr>
            <w:r>
              <w:rPr>
                <w:b/>
              </w:rPr>
              <w:t>事项</w:t>
            </w:r>
          </w:p>
        </w:tc>
        <w:tc>
          <w:tcPr>
            <w:tcW w:w="1385" w:type="dxa"/>
            <w:shd w:val="clear" w:color="auto" w:fill="F2F2F2"/>
          </w:tcPr>
          <w:p w14:paraId="009B1FE3">
            <w:pPr>
              <w:jc w:val="left"/>
            </w:pPr>
            <w:r>
              <w:rPr>
                <w:b/>
              </w:rPr>
              <w:t>具体要求</w:t>
            </w:r>
          </w:p>
        </w:tc>
        <w:tc>
          <w:tcPr>
            <w:tcW w:w="1385" w:type="dxa"/>
            <w:shd w:val="clear" w:color="auto" w:fill="F2F2F2"/>
          </w:tcPr>
          <w:p w14:paraId="500A2AD6">
            <w:pPr>
              <w:jc w:val="left"/>
            </w:pPr>
            <w:r>
              <w:rPr>
                <w:b/>
              </w:rPr>
              <w:t>法律依据</w:t>
            </w:r>
          </w:p>
        </w:tc>
        <w:tc>
          <w:tcPr>
            <w:tcW w:w="1385" w:type="dxa"/>
            <w:shd w:val="clear" w:color="auto" w:fill="F2F2F2"/>
          </w:tcPr>
          <w:p w14:paraId="5D90587A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1385" w:type="dxa"/>
            <w:shd w:val="clear" w:color="auto" w:fill="F2F2F2"/>
          </w:tcPr>
          <w:p w14:paraId="0A594D9E">
            <w:pPr>
              <w:jc w:val="left"/>
            </w:pPr>
            <w:r>
              <w:rPr>
                <w:b/>
              </w:rPr>
              <w:t>状态</w:t>
            </w:r>
          </w:p>
        </w:tc>
      </w:tr>
      <w:tr w14:paraId="23AFA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56B78834">
            <w:pPr>
              <w:jc w:val="left"/>
            </w:pPr>
            <w:r>
              <w:t>5.1</w:t>
            </w:r>
          </w:p>
        </w:tc>
        <w:tc>
          <w:tcPr>
            <w:tcW w:w="1385" w:type="dxa"/>
          </w:tcPr>
          <w:p w14:paraId="6CECD00D">
            <w:pPr>
              <w:jc w:val="left"/>
            </w:pPr>
            <w:r>
              <w:t>广告法合规</w:t>
            </w:r>
          </w:p>
        </w:tc>
        <w:tc>
          <w:tcPr>
            <w:tcW w:w="1385" w:type="dxa"/>
          </w:tcPr>
          <w:p w14:paraId="597EF005">
            <w:pPr>
              <w:jc w:val="left"/>
            </w:pPr>
            <w:r>
              <w:t>禁止虚假广告、夸大功效、误导性比较。广告内容须真实、可验证</w:t>
            </w:r>
          </w:p>
        </w:tc>
        <w:tc>
          <w:tcPr>
            <w:tcW w:w="1385" w:type="dxa"/>
          </w:tcPr>
          <w:p w14:paraId="0240CAA3">
            <w:pPr>
              <w:jc w:val="left"/>
            </w:pPr>
            <w:r>
              <w:t>《广告法》Consumer Protection Act, Advertising Section</w:t>
            </w:r>
          </w:p>
        </w:tc>
        <w:tc>
          <w:tcPr>
            <w:tcW w:w="1385" w:type="dxa"/>
          </w:tcPr>
          <w:p w14:paraId="342461CA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4F54F4AD">
            <w:pPr>
              <w:jc w:val="left"/>
            </w:pPr>
            <w:r>
              <w:t>☐ 待审查</w:t>
            </w:r>
          </w:p>
        </w:tc>
      </w:tr>
      <w:tr w14:paraId="65ABD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758CA75C">
            <w:pPr>
              <w:jc w:val="left"/>
            </w:pPr>
            <w:r>
              <w:t>5.2</w:t>
            </w:r>
          </w:p>
        </w:tc>
        <w:tc>
          <w:tcPr>
            <w:tcW w:w="1385" w:type="dxa"/>
          </w:tcPr>
          <w:p w14:paraId="15B897BC">
            <w:pPr>
              <w:jc w:val="left"/>
            </w:pPr>
            <w:r>
              <w:t>特殊品类广告审批</w:t>
            </w:r>
          </w:p>
        </w:tc>
        <w:tc>
          <w:tcPr>
            <w:tcW w:w="1385" w:type="dxa"/>
          </w:tcPr>
          <w:p w14:paraId="340E29F8">
            <w:pPr>
              <w:jc w:val="left"/>
            </w:pPr>
            <w:r>
              <w:t>化妆品须向FDA注册后才能做广告；食品/保健品广告不得声称疗效；医疗器械广告须先取得FDA批准</w:t>
            </w:r>
          </w:p>
        </w:tc>
        <w:tc>
          <w:tcPr>
            <w:tcW w:w="1385" w:type="dxa"/>
          </w:tcPr>
          <w:p w14:paraId="393B8B2D">
            <w:pPr>
              <w:jc w:val="left"/>
            </w:pPr>
            <w:r>
              <w:t>Food Act; Cosmetic Act; Medical Device Act</w:t>
            </w:r>
          </w:p>
        </w:tc>
        <w:tc>
          <w:tcPr>
            <w:tcW w:w="1385" w:type="dxa"/>
          </w:tcPr>
          <w:p w14:paraId="6090EC13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3436DE80">
            <w:pPr>
              <w:jc w:val="left"/>
            </w:pPr>
            <w:r>
              <w:t>☐ 视品类</w:t>
            </w:r>
          </w:p>
        </w:tc>
      </w:tr>
      <w:tr w14:paraId="43705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5C879F3A">
            <w:pPr>
              <w:jc w:val="left"/>
            </w:pPr>
            <w:r>
              <w:t>5.3</w:t>
            </w:r>
          </w:p>
        </w:tc>
        <w:tc>
          <w:tcPr>
            <w:tcW w:w="1385" w:type="dxa"/>
          </w:tcPr>
          <w:p w14:paraId="7A29C5B6">
            <w:pPr>
              <w:jc w:val="left"/>
            </w:pPr>
            <w:r>
              <w:t>KOL/社交媒体营销</w:t>
            </w:r>
          </w:p>
        </w:tc>
        <w:tc>
          <w:tcPr>
            <w:tcW w:w="1385" w:type="dxa"/>
          </w:tcPr>
          <w:p w14:paraId="626FB1EF">
            <w:pPr>
              <w:jc w:val="left"/>
            </w:pPr>
            <w:r>
              <w:t>KOL推广须明确标注"广告"/"ponsored content"字样。受消费者保护委员会（OCPB）监管</w:t>
            </w:r>
          </w:p>
        </w:tc>
        <w:tc>
          <w:tcPr>
            <w:tcW w:w="1385" w:type="dxa"/>
          </w:tcPr>
          <w:p w14:paraId="42D5CFCD">
            <w:pPr>
              <w:jc w:val="left"/>
            </w:pPr>
            <w:r>
              <w:t>OCPB Directives on influencer marketing</w:t>
            </w:r>
          </w:p>
        </w:tc>
        <w:tc>
          <w:tcPr>
            <w:tcW w:w="1385" w:type="dxa"/>
          </w:tcPr>
          <w:p w14:paraId="30B6C5B6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0F3F3397">
            <w:pPr>
              <w:jc w:val="left"/>
            </w:pPr>
            <w:r>
              <w:t>☐ 待建立规范</w:t>
            </w:r>
          </w:p>
        </w:tc>
      </w:tr>
      <w:tr w14:paraId="287B7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52DB40F9">
            <w:pPr>
              <w:jc w:val="left"/>
            </w:pPr>
            <w:r>
              <w:t>5.4</w:t>
            </w:r>
          </w:p>
        </w:tc>
        <w:tc>
          <w:tcPr>
            <w:tcW w:w="1385" w:type="dxa"/>
          </w:tcPr>
          <w:p w14:paraId="6DFB0C1E">
            <w:pPr>
              <w:jc w:val="left"/>
            </w:pPr>
            <w:r>
              <w:t>促销限制</w:t>
            </w:r>
          </w:p>
        </w:tc>
        <w:tc>
          <w:tcPr>
            <w:tcW w:w="1385" w:type="dxa"/>
          </w:tcPr>
          <w:p w14:paraId="309DEFF9">
            <w:pPr>
              <w:jc w:val="left"/>
            </w:pPr>
            <w:r>
              <w:t>打折/促销活动须遵守促销法规定（如不得虚假标注原价、限时促销须有真实时间限制等）</w:t>
            </w:r>
          </w:p>
        </w:tc>
        <w:tc>
          <w:tcPr>
            <w:tcW w:w="1385" w:type="dxa"/>
          </w:tcPr>
          <w:p w14:paraId="0E82A4DD">
            <w:pPr>
              <w:jc w:val="left"/>
            </w:pPr>
            <w:r>
              <w:t>Sale by Discount and Premium Act</w:t>
            </w:r>
          </w:p>
        </w:tc>
        <w:tc>
          <w:tcPr>
            <w:tcW w:w="1385" w:type="dxa"/>
          </w:tcPr>
          <w:p w14:paraId="39D36649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1E44EB69">
            <w:pPr>
              <w:jc w:val="left"/>
            </w:pPr>
            <w:r>
              <w:t>☐ 已知悉</w:t>
            </w:r>
          </w:p>
        </w:tc>
      </w:tr>
      <w:tr w14:paraId="3D5C9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47CCE524">
            <w:pPr>
              <w:jc w:val="left"/>
            </w:pPr>
            <w:r>
              <w:t>5.5</w:t>
            </w:r>
          </w:p>
        </w:tc>
        <w:tc>
          <w:tcPr>
            <w:tcW w:w="1385" w:type="dxa"/>
          </w:tcPr>
          <w:p w14:paraId="4F0C3173">
            <w:pPr>
              <w:jc w:val="left"/>
            </w:pPr>
            <w:r>
              <w:t>价格标示</w:t>
            </w:r>
          </w:p>
        </w:tc>
        <w:tc>
          <w:tcPr>
            <w:tcW w:w="1385" w:type="dxa"/>
          </w:tcPr>
          <w:p w14:paraId="4CA6FCB2">
            <w:pPr>
              <w:jc w:val="left"/>
            </w:pPr>
            <w:r>
              <w:t>必须标明含VAT的完整价格。不得在标价之外另行加价</w:t>
            </w:r>
          </w:p>
        </w:tc>
        <w:tc>
          <w:tcPr>
            <w:tcW w:w="1385" w:type="dxa"/>
          </w:tcPr>
          <w:p w14:paraId="559BDFFA">
            <w:pPr>
              <w:jc w:val="left"/>
            </w:pPr>
            <w:r>
              <w:t>Price of Goods and Services Act B.E. 2542</w:t>
            </w:r>
          </w:p>
        </w:tc>
        <w:tc>
          <w:tcPr>
            <w:tcW w:w="1385" w:type="dxa"/>
          </w:tcPr>
          <w:p w14:paraId="7480889E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236FBBDB">
            <w:pPr>
              <w:jc w:val="left"/>
            </w:pPr>
            <w:r>
              <w:t>☐ 待实施</w:t>
            </w:r>
          </w:p>
        </w:tc>
      </w:tr>
    </w:tbl>
    <w:p w14:paraId="4F256F29"/>
    <w:p w14:paraId="09DA559A">
      <w:pPr>
        <w:pStyle w:val="169"/>
        <w:pBdr>
          <w:top w:val="single" w:color="CCCCCC" w:sz="8" w:space="0"/>
        </w:pBdr>
        <w:spacing w:after="240"/>
      </w:pPr>
    </w:p>
    <w:p w14:paraId="4D00977D">
      <w:pPr>
        <w:pStyle w:val="4"/>
      </w:pPr>
      <w:r>
        <w:t>六、劳动用工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0922A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1F13A929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1385" w:type="dxa"/>
            <w:shd w:val="clear" w:color="auto" w:fill="F2F2F2"/>
          </w:tcPr>
          <w:p w14:paraId="0A63AAB4">
            <w:pPr>
              <w:jc w:val="left"/>
            </w:pPr>
            <w:r>
              <w:rPr>
                <w:b/>
              </w:rPr>
              <w:t>事项</w:t>
            </w:r>
          </w:p>
        </w:tc>
        <w:tc>
          <w:tcPr>
            <w:tcW w:w="1385" w:type="dxa"/>
            <w:shd w:val="clear" w:color="auto" w:fill="F2F2F2"/>
          </w:tcPr>
          <w:p w14:paraId="7CD97360">
            <w:pPr>
              <w:jc w:val="left"/>
            </w:pPr>
            <w:r>
              <w:rPr>
                <w:b/>
              </w:rPr>
              <w:t>具体要求</w:t>
            </w:r>
          </w:p>
        </w:tc>
        <w:tc>
          <w:tcPr>
            <w:tcW w:w="1385" w:type="dxa"/>
            <w:shd w:val="clear" w:color="auto" w:fill="F2F2F2"/>
          </w:tcPr>
          <w:p w14:paraId="045AECAE">
            <w:pPr>
              <w:jc w:val="left"/>
            </w:pPr>
            <w:r>
              <w:rPr>
                <w:b/>
              </w:rPr>
              <w:t>法律依据</w:t>
            </w:r>
          </w:p>
        </w:tc>
        <w:tc>
          <w:tcPr>
            <w:tcW w:w="1385" w:type="dxa"/>
            <w:shd w:val="clear" w:color="auto" w:fill="F2F2F2"/>
          </w:tcPr>
          <w:p w14:paraId="01AB460A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1385" w:type="dxa"/>
            <w:shd w:val="clear" w:color="auto" w:fill="F2F2F2"/>
          </w:tcPr>
          <w:p w14:paraId="20A6817E">
            <w:pPr>
              <w:jc w:val="left"/>
            </w:pPr>
            <w:r>
              <w:rPr>
                <w:b/>
              </w:rPr>
              <w:t>状态</w:t>
            </w:r>
          </w:p>
        </w:tc>
      </w:tr>
      <w:tr w14:paraId="6BD5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03E5E633">
            <w:pPr>
              <w:jc w:val="left"/>
            </w:pPr>
            <w:r>
              <w:t>6.1</w:t>
            </w:r>
          </w:p>
        </w:tc>
        <w:tc>
          <w:tcPr>
            <w:tcW w:w="1385" w:type="dxa"/>
          </w:tcPr>
          <w:p w14:paraId="32D0F564">
            <w:pPr>
              <w:jc w:val="left"/>
            </w:pPr>
            <w:r>
              <w:t>外籍员工工作许可</w:t>
            </w:r>
          </w:p>
        </w:tc>
        <w:tc>
          <w:tcPr>
            <w:tcW w:w="1385" w:type="dxa"/>
          </w:tcPr>
          <w:p w14:paraId="25EE2DCC">
            <w:pPr>
              <w:jc w:val="left"/>
            </w:pPr>
            <w:r>
              <w:t>中国员工赴泰工作须申请工作许可证（Work Permit）。比例要求：每1名外国人最少雇佣4名泰籍员工+200万泰铢注册资本</w:t>
            </w:r>
          </w:p>
        </w:tc>
        <w:tc>
          <w:tcPr>
            <w:tcW w:w="1385" w:type="dxa"/>
          </w:tcPr>
          <w:p w14:paraId="1ADCFAD3">
            <w:pPr>
              <w:jc w:val="left"/>
            </w:pPr>
            <w:r>
              <w:t>Alien Working Act B.E. 2551</w:t>
            </w:r>
          </w:p>
        </w:tc>
        <w:tc>
          <w:tcPr>
            <w:tcW w:w="1385" w:type="dxa"/>
          </w:tcPr>
          <w:p w14:paraId="41BF0CC8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304EEF9E">
            <w:pPr>
              <w:jc w:val="left"/>
            </w:pPr>
            <w:r>
              <w:t>☐ 待办理</w:t>
            </w:r>
          </w:p>
        </w:tc>
      </w:tr>
      <w:tr w14:paraId="12AEB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2FDED2CC">
            <w:pPr>
              <w:jc w:val="left"/>
            </w:pPr>
            <w:r>
              <w:t>6.2</w:t>
            </w:r>
          </w:p>
        </w:tc>
        <w:tc>
          <w:tcPr>
            <w:tcW w:w="1385" w:type="dxa"/>
          </w:tcPr>
          <w:p w14:paraId="280B3B3F">
            <w:pPr>
              <w:jc w:val="left"/>
            </w:pPr>
            <w:r>
              <w:t>最低工资</w:t>
            </w:r>
          </w:p>
        </w:tc>
        <w:tc>
          <w:tcPr>
            <w:tcW w:w="1385" w:type="dxa"/>
          </w:tcPr>
          <w:p w14:paraId="60F96CE3">
            <w:pPr>
              <w:jc w:val="left"/>
            </w:pPr>
            <w:r>
              <w:t>2026年泰国最低日薪为337-400泰铢（按府分级：曼谷及主要旅游府400泰铢，其他府337-370泰铢不等）。须按员工所在府标准执行</w:t>
            </w:r>
          </w:p>
        </w:tc>
        <w:tc>
          <w:tcPr>
            <w:tcW w:w="1385" w:type="dxa"/>
          </w:tcPr>
          <w:p w14:paraId="228B942C">
            <w:pPr>
              <w:jc w:val="left"/>
            </w:pPr>
            <w:r>
              <w:t>Labour Protection Act B.E. 2541</w:t>
            </w:r>
          </w:p>
        </w:tc>
        <w:tc>
          <w:tcPr>
            <w:tcW w:w="1385" w:type="dxa"/>
          </w:tcPr>
          <w:p w14:paraId="45D4149F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7876F7E6">
            <w:pPr>
              <w:jc w:val="left"/>
            </w:pPr>
            <w:r>
              <w:t>☐ 已知悉</w:t>
            </w:r>
          </w:p>
        </w:tc>
      </w:tr>
      <w:tr w14:paraId="209B9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3B8CEB2A">
            <w:pPr>
              <w:jc w:val="left"/>
            </w:pPr>
            <w:r>
              <w:t>6.3</w:t>
            </w:r>
          </w:p>
        </w:tc>
        <w:tc>
          <w:tcPr>
            <w:tcW w:w="1385" w:type="dxa"/>
          </w:tcPr>
          <w:p w14:paraId="743AA19D">
            <w:pPr>
              <w:jc w:val="left"/>
            </w:pPr>
            <w:r>
              <w:t>社保缴纳</w:t>
            </w:r>
          </w:p>
        </w:tc>
        <w:tc>
          <w:tcPr>
            <w:tcW w:w="1385" w:type="dxa"/>
          </w:tcPr>
          <w:p w14:paraId="0F7607A3">
            <w:pPr>
              <w:jc w:val="left"/>
            </w:pPr>
            <w:r>
              <w:t>雇主须为员工缴纳社会保险（工资的5%，上限15%基数），员工同等缴纳</w:t>
            </w:r>
          </w:p>
        </w:tc>
        <w:tc>
          <w:tcPr>
            <w:tcW w:w="1385" w:type="dxa"/>
          </w:tcPr>
          <w:p w14:paraId="13CBCBEA">
            <w:pPr>
              <w:jc w:val="left"/>
            </w:pPr>
            <w:r>
              <w:t>Social Security Act B.E. 2533</w:t>
            </w:r>
          </w:p>
        </w:tc>
        <w:tc>
          <w:tcPr>
            <w:tcW w:w="1385" w:type="dxa"/>
          </w:tcPr>
          <w:p w14:paraId="035DC52F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131843D9">
            <w:pPr>
              <w:jc w:val="left"/>
            </w:pPr>
            <w:r>
              <w:t>☐ 待办理</w:t>
            </w:r>
          </w:p>
        </w:tc>
      </w:tr>
      <w:tr w14:paraId="665F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7FEA859D">
            <w:pPr>
              <w:jc w:val="left"/>
            </w:pPr>
            <w:r>
              <w:t>6.4</w:t>
            </w:r>
          </w:p>
        </w:tc>
        <w:tc>
          <w:tcPr>
            <w:tcW w:w="1385" w:type="dxa"/>
          </w:tcPr>
          <w:p w14:paraId="7DB4A64D">
            <w:pPr>
              <w:jc w:val="left"/>
            </w:pPr>
            <w:r>
              <w:t>劳动福利</w:t>
            </w:r>
          </w:p>
        </w:tc>
        <w:tc>
          <w:tcPr>
            <w:tcW w:w="1385" w:type="dxa"/>
          </w:tcPr>
          <w:p w14:paraId="6257B7AB">
            <w:pPr>
              <w:jc w:val="left"/>
            </w:pPr>
            <w:r>
              <w:t>法定福利包括：年假≥6天（工作满1年）、病假≥30天/年（有薪30天）、产假98天、每日工作不超过8小时/48小时/周</w:t>
            </w:r>
          </w:p>
        </w:tc>
        <w:tc>
          <w:tcPr>
            <w:tcW w:w="1385" w:type="dxa"/>
          </w:tcPr>
          <w:p w14:paraId="36462668">
            <w:pPr>
              <w:jc w:val="left"/>
            </w:pPr>
            <w:r>
              <w:t>Labour Protection Act B.E. 2541</w:t>
            </w:r>
          </w:p>
        </w:tc>
        <w:tc>
          <w:tcPr>
            <w:tcW w:w="1385" w:type="dxa"/>
          </w:tcPr>
          <w:p w14:paraId="27677B16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6184E7F1">
            <w:pPr>
              <w:jc w:val="left"/>
            </w:pPr>
            <w:r>
              <w:t>☐ 已知悉</w:t>
            </w:r>
          </w:p>
        </w:tc>
      </w:tr>
      <w:tr w14:paraId="5F4BF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55985FC2">
            <w:pPr>
              <w:jc w:val="left"/>
            </w:pPr>
            <w:r>
              <w:t>6.5</w:t>
            </w:r>
          </w:p>
        </w:tc>
        <w:tc>
          <w:tcPr>
            <w:tcW w:w="1385" w:type="dxa"/>
          </w:tcPr>
          <w:p w14:paraId="29523257">
            <w:pPr>
              <w:jc w:val="left"/>
            </w:pPr>
            <w:r>
              <w:t>遣散费</w:t>
            </w:r>
          </w:p>
        </w:tc>
        <w:tc>
          <w:tcPr>
            <w:tcW w:w="1385" w:type="dxa"/>
          </w:tcPr>
          <w:p w14:paraId="12745C83">
            <w:pPr>
              <w:jc w:val="left"/>
            </w:pPr>
            <w:r>
              <w:t>解雇员工须支付遣散费（按服务年限：120天-240天-300天-400天不等）</w:t>
            </w:r>
          </w:p>
        </w:tc>
        <w:tc>
          <w:tcPr>
            <w:tcW w:w="1385" w:type="dxa"/>
          </w:tcPr>
          <w:p w14:paraId="3E476203">
            <w:pPr>
              <w:jc w:val="left"/>
            </w:pPr>
            <w:r>
              <w:t>Labour Protection Act Section 118</w:t>
            </w:r>
          </w:p>
        </w:tc>
        <w:tc>
          <w:tcPr>
            <w:tcW w:w="1385" w:type="dxa"/>
          </w:tcPr>
          <w:p w14:paraId="0B9CA5E0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3FE0932A">
            <w:pPr>
              <w:jc w:val="left"/>
            </w:pPr>
            <w:r>
              <w:t>☐ 已知悉</w:t>
            </w:r>
          </w:p>
        </w:tc>
      </w:tr>
      <w:tr w14:paraId="765FE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7E4E3981">
            <w:pPr>
              <w:jc w:val="left"/>
            </w:pPr>
            <w:r>
              <w:t>6.6</w:t>
            </w:r>
          </w:p>
        </w:tc>
        <w:tc>
          <w:tcPr>
            <w:tcW w:w="1385" w:type="dxa"/>
          </w:tcPr>
          <w:p w14:paraId="14A4B5D3">
            <w:pPr>
              <w:jc w:val="left"/>
            </w:pPr>
            <w:r>
              <w:t>外籍员工限制职业</w:t>
            </w:r>
          </w:p>
        </w:tc>
        <w:tc>
          <w:tcPr>
            <w:tcW w:w="1385" w:type="dxa"/>
          </w:tcPr>
          <w:p w14:paraId="73DA419F">
            <w:pPr>
              <w:jc w:val="left"/>
            </w:pPr>
            <w:r>
              <w:t>某些职业禁止外国人从事（如法律事务、会计、建筑设计等）。电商运营一般不在限制清单内</w:t>
            </w:r>
          </w:p>
        </w:tc>
        <w:tc>
          <w:tcPr>
            <w:tcW w:w="1385" w:type="dxa"/>
          </w:tcPr>
          <w:p w14:paraId="4E8FBA1E">
            <w:pPr>
              <w:jc w:val="left"/>
            </w:pPr>
            <w:r>
              <w:t>Alien Working Act, Annex</w:t>
            </w:r>
          </w:p>
        </w:tc>
        <w:tc>
          <w:tcPr>
            <w:tcW w:w="1385" w:type="dxa"/>
          </w:tcPr>
          <w:p w14:paraId="773EB6BD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2DD24BAA">
            <w:pPr>
              <w:jc w:val="left"/>
            </w:pPr>
            <w:r>
              <w:t>☐ 已确认</w:t>
            </w:r>
          </w:p>
        </w:tc>
      </w:tr>
    </w:tbl>
    <w:p w14:paraId="4AF31A0A"/>
    <w:p w14:paraId="72B315EC">
      <w:pPr>
        <w:pStyle w:val="169"/>
        <w:pBdr>
          <w:top w:val="single" w:color="CCCCCC" w:sz="8" w:space="0"/>
        </w:pBdr>
        <w:spacing w:after="240"/>
      </w:pPr>
    </w:p>
    <w:p w14:paraId="786B51FE">
      <w:pPr>
        <w:pStyle w:val="4"/>
      </w:pPr>
      <w:r>
        <w:t>七、知识产权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426"/>
        <w:gridCol w:w="1385"/>
        <w:gridCol w:w="1385"/>
      </w:tblGrid>
      <w:tr w14:paraId="7938D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6D48BEA4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1385" w:type="dxa"/>
            <w:shd w:val="clear" w:color="auto" w:fill="F2F2F2"/>
          </w:tcPr>
          <w:p w14:paraId="5ECDA2DC">
            <w:pPr>
              <w:jc w:val="left"/>
            </w:pPr>
            <w:r>
              <w:rPr>
                <w:b/>
              </w:rPr>
              <w:t>事项</w:t>
            </w:r>
          </w:p>
        </w:tc>
        <w:tc>
          <w:tcPr>
            <w:tcW w:w="1385" w:type="dxa"/>
            <w:shd w:val="clear" w:color="auto" w:fill="F2F2F2"/>
          </w:tcPr>
          <w:p w14:paraId="2E6E8EC3">
            <w:pPr>
              <w:jc w:val="left"/>
            </w:pPr>
            <w:r>
              <w:rPr>
                <w:b/>
              </w:rPr>
              <w:t>具体要求</w:t>
            </w:r>
          </w:p>
        </w:tc>
        <w:tc>
          <w:tcPr>
            <w:tcW w:w="1385" w:type="dxa"/>
            <w:shd w:val="clear" w:color="auto" w:fill="F2F2F2"/>
          </w:tcPr>
          <w:p w14:paraId="0CCD4712">
            <w:pPr>
              <w:jc w:val="left"/>
            </w:pPr>
            <w:r>
              <w:rPr>
                <w:b/>
              </w:rPr>
              <w:t>法律依据</w:t>
            </w:r>
          </w:p>
        </w:tc>
        <w:tc>
          <w:tcPr>
            <w:tcW w:w="1385" w:type="dxa"/>
            <w:shd w:val="clear" w:color="auto" w:fill="F2F2F2"/>
          </w:tcPr>
          <w:p w14:paraId="73CF1089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1385" w:type="dxa"/>
            <w:shd w:val="clear" w:color="auto" w:fill="F2F2F2"/>
          </w:tcPr>
          <w:p w14:paraId="31C05F21">
            <w:pPr>
              <w:jc w:val="left"/>
            </w:pPr>
            <w:r>
              <w:rPr>
                <w:b/>
              </w:rPr>
              <w:t>状态</w:t>
            </w:r>
          </w:p>
        </w:tc>
      </w:tr>
      <w:tr w14:paraId="26D54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4CE3C5DC">
            <w:pPr>
              <w:jc w:val="left"/>
            </w:pPr>
            <w:r>
              <w:t>7.1</w:t>
            </w:r>
          </w:p>
        </w:tc>
        <w:tc>
          <w:tcPr>
            <w:tcW w:w="1385" w:type="dxa"/>
          </w:tcPr>
          <w:p w14:paraId="1E75AC3C">
            <w:pPr>
              <w:jc w:val="left"/>
            </w:pPr>
            <w:r>
              <w:t>商标注册（泰国）</w:t>
            </w:r>
          </w:p>
        </w:tc>
        <w:tc>
          <w:tcPr>
            <w:tcW w:w="1385" w:type="dxa"/>
          </w:tcPr>
          <w:p w14:paraId="32E318D0">
            <w:pPr>
              <w:jc w:val="left"/>
            </w:pPr>
            <w:r>
              <w:t>建议在泰国知识产权局（DIP）注册泰文+英文商标。泰国采"先申请"原则</w:t>
            </w:r>
          </w:p>
        </w:tc>
        <w:tc>
          <w:tcPr>
            <w:tcW w:w="1385" w:type="dxa"/>
          </w:tcPr>
          <w:p w14:paraId="68FBB757">
            <w:pPr>
              <w:jc w:val="left"/>
            </w:pPr>
            <w:r>
              <w:t>Trademark Act B.E. 2534 (as amended)</w:t>
            </w:r>
          </w:p>
        </w:tc>
        <w:tc>
          <w:tcPr>
            <w:tcW w:w="1385" w:type="dxa"/>
          </w:tcPr>
          <w:p w14:paraId="48295F74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2956D605">
            <w:pPr>
              <w:jc w:val="left"/>
            </w:pPr>
            <w:r>
              <w:t>☐ 待办理</w:t>
            </w:r>
          </w:p>
        </w:tc>
      </w:tr>
      <w:tr w14:paraId="2A876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18B31989">
            <w:pPr>
              <w:jc w:val="left"/>
            </w:pPr>
            <w:r>
              <w:t>7.2</w:t>
            </w:r>
          </w:p>
        </w:tc>
        <w:tc>
          <w:tcPr>
            <w:tcW w:w="1385" w:type="dxa"/>
          </w:tcPr>
          <w:p w14:paraId="07E74406">
            <w:pPr>
              <w:jc w:val="left"/>
            </w:pPr>
            <w:r>
              <w:t>商标许可备案</w:t>
            </w:r>
          </w:p>
        </w:tc>
        <w:tc>
          <w:tcPr>
            <w:tcW w:w="1385" w:type="dxa"/>
          </w:tcPr>
          <w:p w14:paraId="7F26D0BA">
            <w:pPr>
              <w:jc w:val="left"/>
            </w:pPr>
            <w:r>
              <w:t>如中国母公司将商标许可给泰国子公司使用，须在DIP进行许可备案</w:t>
            </w:r>
          </w:p>
        </w:tc>
        <w:tc>
          <w:tcPr>
            <w:tcW w:w="1385" w:type="dxa"/>
          </w:tcPr>
          <w:p w14:paraId="125F6D57">
            <w:pPr>
              <w:jc w:val="left"/>
            </w:pPr>
            <w:r>
              <w:t>Trademark Act Section 68</w:t>
            </w:r>
          </w:p>
        </w:tc>
        <w:tc>
          <w:tcPr>
            <w:tcW w:w="1385" w:type="dxa"/>
          </w:tcPr>
          <w:p w14:paraId="1C05B0A1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655797F3">
            <w:pPr>
              <w:jc w:val="left"/>
            </w:pPr>
            <w:r>
              <w:t>☐ 待办理</w:t>
            </w:r>
          </w:p>
        </w:tc>
      </w:tr>
      <w:tr w14:paraId="6C08C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1A6BE067">
            <w:pPr>
              <w:jc w:val="left"/>
            </w:pPr>
            <w:r>
              <w:t>7.3</w:t>
            </w:r>
          </w:p>
        </w:tc>
        <w:tc>
          <w:tcPr>
            <w:tcW w:w="1385" w:type="dxa"/>
          </w:tcPr>
          <w:p w14:paraId="486AB7D7">
            <w:pPr>
              <w:jc w:val="left"/>
            </w:pPr>
            <w:r>
              <w:t>专利/外观设计</w:t>
            </w:r>
          </w:p>
        </w:tc>
        <w:tc>
          <w:tcPr>
            <w:tcW w:w="1385" w:type="dxa"/>
          </w:tcPr>
          <w:p w14:paraId="0C34124C">
            <w:pPr>
              <w:jc w:val="left"/>
            </w:pPr>
            <w:r>
              <w:t>泰国保护发明专利（20年）和 petty patent（10年）。外观设计可注册（保护期10年）</w:t>
            </w:r>
          </w:p>
        </w:tc>
        <w:tc>
          <w:tcPr>
            <w:tcW w:w="1385" w:type="dxa"/>
          </w:tcPr>
          <w:p w14:paraId="29781EB3">
            <w:pPr>
              <w:jc w:val="left"/>
            </w:pPr>
            <w:r>
              <w:t>Patent Act B.E. 2522; Design Patent provisions</w:t>
            </w:r>
          </w:p>
        </w:tc>
        <w:tc>
          <w:tcPr>
            <w:tcW w:w="1385" w:type="dxa"/>
          </w:tcPr>
          <w:p w14:paraId="43339071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01FE58CF">
            <w:pPr>
              <w:jc w:val="left"/>
            </w:pPr>
            <w:r>
              <w:t>☐ 视情况</w:t>
            </w:r>
          </w:p>
        </w:tc>
      </w:tr>
      <w:tr w14:paraId="5AC34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311CECE1">
            <w:pPr>
              <w:jc w:val="left"/>
            </w:pPr>
            <w:r>
              <w:t>7.4</w:t>
            </w:r>
          </w:p>
        </w:tc>
        <w:tc>
          <w:tcPr>
            <w:tcW w:w="1385" w:type="dxa"/>
          </w:tcPr>
          <w:p w14:paraId="0C4C7389">
            <w:pPr>
              <w:jc w:val="left"/>
            </w:pPr>
            <w:r>
              <w:t>版权</w:t>
            </w:r>
          </w:p>
        </w:tc>
        <w:tc>
          <w:tcPr>
            <w:tcW w:w="1385" w:type="dxa"/>
          </w:tcPr>
          <w:p w14:paraId="5E9A8E38">
            <w:pPr>
              <w:jc w:val="left"/>
            </w:pPr>
            <w:r>
              <w:t>泰国自动保护版权（无需注册），但建议在DIP进行版权登记以方便维权</w:t>
            </w:r>
          </w:p>
        </w:tc>
        <w:tc>
          <w:tcPr>
            <w:tcW w:w="1385" w:type="dxa"/>
          </w:tcPr>
          <w:p w14:paraId="2475DACD">
            <w:pPr>
              <w:jc w:val="left"/>
            </w:pPr>
            <w:r>
              <w:t>Copyright Act B.E. 2537</w:t>
            </w:r>
          </w:p>
        </w:tc>
        <w:tc>
          <w:tcPr>
            <w:tcW w:w="1385" w:type="dxa"/>
          </w:tcPr>
          <w:p w14:paraId="09A7D705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12F4E058">
            <w:pPr>
              <w:jc w:val="left"/>
            </w:pPr>
            <w:r>
              <w:t>☐ 视情况</w:t>
            </w:r>
          </w:p>
        </w:tc>
      </w:tr>
      <w:tr w14:paraId="5C68A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60855ED3">
            <w:pPr>
              <w:jc w:val="left"/>
            </w:pPr>
            <w:r>
              <w:t>7.5</w:t>
            </w:r>
          </w:p>
        </w:tc>
        <w:tc>
          <w:tcPr>
            <w:tcW w:w="1385" w:type="dxa"/>
          </w:tcPr>
          <w:p w14:paraId="24A4439E">
            <w:pPr>
              <w:jc w:val="left"/>
            </w:pPr>
            <w:r>
              <w:t>域名保护</w:t>
            </w:r>
          </w:p>
        </w:tc>
        <w:tc>
          <w:tcPr>
            <w:tcW w:w="1385" w:type="dxa"/>
          </w:tcPr>
          <w:p w14:paraId="6E7A12A4">
            <w:pPr>
              <w:jc w:val="left"/>
            </w:pPr>
            <w:r>
              <w:t>建议注册.th和.co.th域名（须有泰国实体资格）。防止品牌被抢注</w:t>
            </w:r>
          </w:p>
        </w:tc>
        <w:tc>
          <w:tcPr>
            <w:tcW w:w="1385" w:type="dxa"/>
          </w:tcPr>
          <w:p w14:paraId="7A6184E0">
            <w:pPr>
              <w:jc w:val="left"/>
            </w:pPr>
            <w:r>
              <w:t>THNIC regulations</w:t>
            </w:r>
          </w:p>
        </w:tc>
        <w:tc>
          <w:tcPr>
            <w:tcW w:w="1385" w:type="dxa"/>
          </w:tcPr>
          <w:p w14:paraId="444BA54B">
            <w:pPr>
              <w:jc w:val="left"/>
            </w:pPr>
            <w:r>
              <w:t>★☆☆</w:t>
            </w:r>
          </w:p>
        </w:tc>
        <w:tc>
          <w:tcPr>
            <w:tcW w:w="1385" w:type="dxa"/>
          </w:tcPr>
          <w:p w14:paraId="4C8711E6">
            <w:pPr>
              <w:jc w:val="left"/>
            </w:pPr>
            <w:r>
              <w:t>☐ 视情况</w:t>
            </w:r>
          </w:p>
        </w:tc>
      </w:tr>
    </w:tbl>
    <w:p w14:paraId="55E35200"/>
    <w:p w14:paraId="3E91B2FD">
      <w:pPr>
        <w:pStyle w:val="169"/>
        <w:pBdr>
          <w:top w:val="single" w:color="CCCCCC" w:sz="8" w:space="0"/>
        </w:pBdr>
        <w:spacing w:after="240"/>
      </w:pPr>
    </w:p>
    <w:p w14:paraId="613D7EDC">
      <w:pPr>
        <w:pStyle w:val="4"/>
      </w:pPr>
      <w:r>
        <w:t>八、支付与外汇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1360"/>
        <w:gridCol w:w="1426"/>
        <w:gridCol w:w="1646"/>
        <w:gridCol w:w="1372"/>
        <w:gridCol w:w="1361"/>
      </w:tblGrid>
      <w:tr w14:paraId="3460D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7D5E5E21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1385" w:type="dxa"/>
            <w:shd w:val="clear" w:color="auto" w:fill="F2F2F2"/>
          </w:tcPr>
          <w:p w14:paraId="06043817">
            <w:pPr>
              <w:jc w:val="left"/>
            </w:pPr>
            <w:r>
              <w:rPr>
                <w:b/>
              </w:rPr>
              <w:t>事项</w:t>
            </w:r>
          </w:p>
        </w:tc>
        <w:tc>
          <w:tcPr>
            <w:tcW w:w="1385" w:type="dxa"/>
            <w:shd w:val="clear" w:color="auto" w:fill="F2F2F2"/>
          </w:tcPr>
          <w:p w14:paraId="201A6AF2">
            <w:pPr>
              <w:jc w:val="left"/>
            </w:pPr>
            <w:r>
              <w:rPr>
                <w:b/>
              </w:rPr>
              <w:t>具体要求</w:t>
            </w:r>
          </w:p>
        </w:tc>
        <w:tc>
          <w:tcPr>
            <w:tcW w:w="1385" w:type="dxa"/>
            <w:shd w:val="clear" w:color="auto" w:fill="F2F2F2"/>
          </w:tcPr>
          <w:p w14:paraId="79191D95">
            <w:pPr>
              <w:jc w:val="left"/>
            </w:pPr>
            <w:r>
              <w:rPr>
                <w:b/>
              </w:rPr>
              <w:t>法律依据</w:t>
            </w:r>
          </w:p>
        </w:tc>
        <w:tc>
          <w:tcPr>
            <w:tcW w:w="1385" w:type="dxa"/>
            <w:shd w:val="clear" w:color="auto" w:fill="F2F2F2"/>
          </w:tcPr>
          <w:p w14:paraId="51EA95C3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1385" w:type="dxa"/>
            <w:shd w:val="clear" w:color="auto" w:fill="F2F2F2"/>
          </w:tcPr>
          <w:p w14:paraId="4190A2F4">
            <w:pPr>
              <w:jc w:val="left"/>
            </w:pPr>
            <w:r>
              <w:rPr>
                <w:b/>
              </w:rPr>
              <w:t>状态</w:t>
            </w:r>
          </w:p>
        </w:tc>
      </w:tr>
      <w:tr w14:paraId="79595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52655B9D">
            <w:pPr>
              <w:jc w:val="left"/>
            </w:pPr>
            <w:r>
              <w:t>8.1</w:t>
            </w:r>
          </w:p>
        </w:tc>
        <w:tc>
          <w:tcPr>
            <w:tcW w:w="1385" w:type="dxa"/>
          </w:tcPr>
          <w:p w14:paraId="684D7667">
            <w:pPr>
              <w:jc w:val="left"/>
            </w:pPr>
            <w:r>
              <w:t>支付网关接入</w:t>
            </w:r>
          </w:p>
        </w:tc>
        <w:tc>
          <w:tcPr>
            <w:tcW w:w="1385" w:type="dxa"/>
          </w:tcPr>
          <w:p w14:paraId="53FE393D">
            <w:pPr>
              <w:jc w:val="left"/>
            </w:pPr>
            <w:r>
              <w:t>泰国主流支付方式：PromptPay（国家二维码支付）、TrueMoney、Rabbit LINE Pay、信用卡/借记卡。须接入当地支付网关或与第三方支付服务商合作</w:t>
            </w:r>
          </w:p>
        </w:tc>
        <w:tc>
          <w:tcPr>
            <w:tcW w:w="1385" w:type="dxa"/>
          </w:tcPr>
          <w:p w14:paraId="1EC2B349">
            <w:pPr>
              <w:jc w:val="left"/>
            </w:pPr>
            <w:r>
              <w:t>Bank of Thailand regulations</w:t>
            </w:r>
          </w:p>
        </w:tc>
        <w:tc>
          <w:tcPr>
            <w:tcW w:w="1385" w:type="dxa"/>
          </w:tcPr>
          <w:p w14:paraId="1CCA0669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3676F964">
            <w:pPr>
              <w:jc w:val="left"/>
            </w:pPr>
            <w:r>
              <w:t>☐ 待对接</w:t>
            </w:r>
          </w:p>
        </w:tc>
      </w:tr>
      <w:tr w14:paraId="46FA5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24021DB4">
            <w:pPr>
              <w:jc w:val="left"/>
            </w:pPr>
            <w:r>
              <w:t>8.2</w:t>
            </w:r>
          </w:p>
        </w:tc>
        <w:tc>
          <w:tcPr>
            <w:tcW w:w="1385" w:type="dxa"/>
          </w:tcPr>
          <w:p w14:paraId="67BD17DE">
            <w:pPr>
              <w:jc w:val="left"/>
            </w:pPr>
            <w:r>
              <w:t>外汇管制</w:t>
            </w:r>
          </w:p>
        </w:tc>
        <w:tc>
          <w:tcPr>
            <w:tcW w:w="1385" w:type="dxa"/>
          </w:tcPr>
          <w:p w14:paraId="798EBEE4">
            <w:pPr>
              <w:jc w:val="left"/>
            </w:pPr>
            <w:r>
              <w:t>收到外汇须在收到后按规定期限内结汇或存入外汇账户。大额跨境转账须向BOT报告</w:t>
            </w:r>
          </w:p>
        </w:tc>
        <w:tc>
          <w:tcPr>
            <w:tcW w:w="1385" w:type="dxa"/>
          </w:tcPr>
          <w:p w14:paraId="201B04D9">
            <w:pPr>
              <w:jc w:val="left"/>
            </w:pPr>
            <w:r>
              <w:t>Exchange Control Act; BOT notifications</w:t>
            </w:r>
          </w:p>
        </w:tc>
        <w:tc>
          <w:tcPr>
            <w:tcW w:w="1385" w:type="dxa"/>
          </w:tcPr>
          <w:p w14:paraId="200A10EF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003997A4">
            <w:pPr>
              <w:jc w:val="left"/>
            </w:pPr>
            <w:r>
              <w:t>☐ 已知悉</w:t>
            </w:r>
          </w:p>
        </w:tc>
      </w:tr>
      <w:tr w14:paraId="62182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1E0F2B9E">
            <w:pPr>
              <w:jc w:val="left"/>
            </w:pPr>
            <w:r>
              <w:t>8.3</w:t>
            </w:r>
          </w:p>
        </w:tc>
        <w:tc>
          <w:tcPr>
            <w:tcW w:w="1385" w:type="dxa"/>
          </w:tcPr>
          <w:p w14:paraId="08404551">
            <w:pPr>
              <w:jc w:val="left"/>
            </w:pPr>
            <w:r>
              <w:t>利润汇回</w:t>
            </w:r>
          </w:p>
        </w:tc>
        <w:tc>
          <w:tcPr>
            <w:tcW w:w="1385" w:type="dxa"/>
          </w:tcPr>
          <w:p w14:paraId="02EBCC65">
            <w:pPr>
              <w:jc w:val="left"/>
            </w:pPr>
            <w:r>
              <w:t>向母公司汇回利润（股息）须缴纳10%预扣税（中泰协定可能降低）。须确保有充足的已分配利润</w:t>
            </w:r>
          </w:p>
        </w:tc>
        <w:tc>
          <w:tcPr>
            <w:tcW w:w="1385" w:type="dxa"/>
          </w:tcPr>
          <w:p w14:paraId="7B9E2F32">
            <w:pPr>
              <w:jc w:val="left"/>
            </w:pPr>
            <w:r>
              <w:t>Revenue Code Section 50; Thailand-China DTA</w:t>
            </w:r>
          </w:p>
        </w:tc>
        <w:tc>
          <w:tcPr>
            <w:tcW w:w="1385" w:type="dxa"/>
          </w:tcPr>
          <w:p w14:paraId="7FBEEABF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5460E573">
            <w:pPr>
              <w:jc w:val="left"/>
            </w:pPr>
            <w:r>
              <w:t>☐ 已知悉</w:t>
            </w:r>
          </w:p>
        </w:tc>
      </w:tr>
      <w:tr w14:paraId="052F0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1B488D85">
            <w:pPr>
              <w:jc w:val="left"/>
            </w:pPr>
            <w:r>
              <w:t>8.4</w:t>
            </w:r>
          </w:p>
        </w:tc>
        <w:tc>
          <w:tcPr>
            <w:tcW w:w="1385" w:type="dxa"/>
          </w:tcPr>
          <w:p w14:paraId="0766494C">
            <w:pPr>
              <w:jc w:val="left"/>
            </w:pPr>
            <w:r>
              <w:t>反洗钱合规</w:t>
            </w:r>
          </w:p>
        </w:tc>
        <w:tc>
          <w:tcPr>
            <w:tcW w:w="1385" w:type="dxa"/>
          </w:tcPr>
          <w:p w14:paraId="55B9A509">
            <w:pPr>
              <w:jc w:val="left"/>
            </w:pPr>
            <w:r>
              <w:t>跨境电商须遵守反洗钱法规。大额交易（单笔≥200万泰铢）须向AMLO报告</w:t>
            </w:r>
          </w:p>
        </w:tc>
        <w:tc>
          <w:tcPr>
            <w:tcW w:w="1385" w:type="dxa"/>
          </w:tcPr>
          <w:p w14:paraId="6F63F274">
            <w:pPr>
              <w:jc w:val="left"/>
            </w:pPr>
            <w:r>
              <w:t>Anti-Money Laundering Act B.E. 2542</w:t>
            </w:r>
          </w:p>
        </w:tc>
        <w:tc>
          <w:tcPr>
            <w:tcW w:w="1385" w:type="dxa"/>
          </w:tcPr>
          <w:p w14:paraId="41917F90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3EFB3F8E">
            <w:pPr>
              <w:jc w:val="left"/>
            </w:pPr>
            <w:r>
              <w:t>☐ 待建立流程</w:t>
            </w:r>
          </w:p>
        </w:tc>
      </w:tr>
    </w:tbl>
    <w:p w14:paraId="6AFCE282"/>
    <w:p w14:paraId="37A2A4B7">
      <w:pPr>
        <w:pStyle w:val="169"/>
        <w:pBdr>
          <w:top w:val="single" w:color="CCCCCC" w:sz="8" w:space="0"/>
        </w:pBdr>
        <w:spacing w:after="240"/>
      </w:pPr>
    </w:p>
    <w:p w14:paraId="366284A8">
      <w:pPr>
        <w:pStyle w:val="4"/>
      </w:pPr>
      <w:r>
        <w:t>九、行业特定要求（电商）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426"/>
        <w:gridCol w:w="1536"/>
        <w:gridCol w:w="1385"/>
        <w:gridCol w:w="1385"/>
      </w:tblGrid>
      <w:tr w14:paraId="198BE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4C6AE5D7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1385" w:type="dxa"/>
            <w:shd w:val="clear" w:color="auto" w:fill="F2F2F2"/>
          </w:tcPr>
          <w:p w14:paraId="4AD142EC">
            <w:pPr>
              <w:jc w:val="left"/>
            </w:pPr>
            <w:r>
              <w:rPr>
                <w:b/>
              </w:rPr>
              <w:t>事项</w:t>
            </w:r>
          </w:p>
        </w:tc>
        <w:tc>
          <w:tcPr>
            <w:tcW w:w="1385" w:type="dxa"/>
            <w:shd w:val="clear" w:color="auto" w:fill="F2F2F2"/>
          </w:tcPr>
          <w:p w14:paraId="0DF7B480">
            <w:pPr>
              <w:jc w:val="left"/>
            </w:pPr>
            <w:r>
              <w:rPr>
                <w:b/>
              </w:rPr>
              <w:t>具体要求</w:t>
            </w:r>
          </w:p>
        </w:tc>
        <w:tc>
          <w:tcPr>
            <w:tcW w:w="1385" w:type="dxa"/>
            <w:shd w:val="clear" w:color="auto" w:fill="F2F2F2"/>
          </w:tcPr>
          <w:p w14:paraId="0664E99E">
            <w:pPr>
              <w:jc w:val="left"/>
            </w:pPr>
            <w:r>
              <w:rPr>
                <w:b/>
              </w:rPr>
              <w:t>法律依据</w:t>
            </w:r>
          </w:p>
        </w:tc>
        <w:tc>
          <w:tcPr>
            <w:tcW w:w="1385" w:type="dxa"/>
            <w:shd w:val="clear" w:color="auto" w:fill="F2F2F2"/>
          </w:tcPr>
          <w:p w14:paraId="31D77336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1385" w:type="dxa"/>
            <w:shd w:val="clear" w:color="auto" w:fill="F2F2F2"/>
          </w:tcPr>
          <w:p w14:paraId="2EB77E14">
            <w:pPr>
              <w:jc w:val="left"/>
            </w:pPr>
            <w:r>
              <w:rPr>
                <w:b/>
              </w:rPr>
              <w:t>状态</w:t>
            </w:r>
          </w:p>
        </w:tc>
      </w:tr>
      <w:tr w14:paraId="4FB0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4C04A0DD">
            <w:pPr>
              <w:jc w:val="left"/>
            </w:pPr>
            <w:r>
              <w:t>9.1</w:t>
            </w:r>
          </w:p>
        </w:tc>
        <w:tc>
          <w:tcPr>
            <w:tcW w:w="1385" w:type="dxa"/>
          </w:tcPr>
          <w:p w14:paraId="471EC4E9">
            <w:pPr>
              <w:jc w:val="left"/>
            </w:pPr>
            <w:r>
              <w:t>电商平台责任</w:t>
            </w:r>
          </w:p>
        </w:tc>
        <w:tc>
          <w:tcPr>
            <w:tcW w:w="1385" w:type="dxa"/>
          </w:tcPr>
          <w:p w14:paraId="69ACC0E0">
            <w:pPr>
              <w:jc w:val="left"/>
            </w:pPr>
            <w:r>
              <w:t>电商平台对平台内商家负有监管责任，须建立商家审核机制和假冒商品处理流程</w:t>
            </w:r>
          </w:p>
        </w:tc>
        <w:tc>
          <w:tcPr>
            <w:tcW w:w="1385" w:type="dxa"/>
          </w:tcPr>
          <w:p w14:paraId="03896EE1">
            <w:pPr>
              <w:jc w:val="left"/>
            </w:pPr>
            <w:r>
              <w:t>E-Commerce regulations; Consumer Protection laws</w:t>
            </w:r>
          </w:p>
        </w:tc>
        <w:tc>
          <w:tcPr>
            <w:tcW w:w="1385" w:type="dxa"/>
          </w:tcPr>
          <w:p w14:paraId="4DB49CFC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377F2D46">
            <w:pPr>
              <w:jc w:val="left"/>
            </w:pPr>
            <w:r>
              <w:t>☐ 待建立</w:t>
            </w:r>
          </w:p>
        </w:tc>
      </w:tr>
      <w:tr w14:paraId="35FC1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6547D73D">
            <w:pPr>
              <w:jc w:val="left"/>
            </w:pPr>
            <w:r>
              <w:t>9.2</w:t>
            </w:r>
          </w:p>
        </w:tc>
        <w:tc>
          <w:tcPr>
            <w:tcW w:w="1385" w:type="dxa"/>
          </w:tcPr>
          <w:p w14:paraId="6FEB79B0">
            <w:pPr>
              <w:jc w:val="left"/>
            </w:pPr>
            <w:r>
              <w:t>电子产品认证</w:t>
            </w:r>
          </w:p>
        </w:tc>
        <w:tc>
          <w:tcPr>
            <w:tcW w:w="1385" w:type="dxa"/>
          </w:tcPr>
          <w:p w14:paraId="76149B33">
            <w:pPr>
              <w:jc w:val="left"/>
            </w:pPr>
            <w:r>
              <w:t>销售电子产品须获得TISI（Thai Industrial Standards Institute）认证，部分为强制性认证</w:t>
            </w:r>
          </w:p>
        </w:tc>
        <w:tc>
          <w:tcPr>
            <w:tcW w:w="1385" w:type="dxa"/>
          </w:tcPr>
          <w:p w14:paraId="22A244EE">
            <w:pPr>
              <w:jc w:val="left"/>
            </w:pPr>
            <w:r>
              <w:t>Industrial Product Standards Act</w:t>
            </w:r>
          </w:p>
        </w:tc>
        <w:tc>
          <w:tcPr>
            <w:tcW w:w="1385" w:type="dxa"/>
          </w:tcPr>
          <w:p w14:paraId="5AE3EB0D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671FA5FB">
            <w:pPr>
              <w:jc w:val="left"/>
            </w:pPr>
            <w:r>
              <w:t>☐ 视品类</w:t>
            </w:r>
          </w:p>
        </w:tc>
      </w:tr>
      <w:tr w14:paraId="472A0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6C731156">
            <w:pPr>
              <w:jc w:val="left"/>
            </w:pPr>
            <w:r>
              <w:t>9.3</w:t>
            </w:r>
          </w:p>
        </w:tc>
        <w:tc>
          <w:tcPr>
            <w:tcW w:w="1385" w:type="dxa"/>
          </w:tcPr>
          <w:p w14:paraId="78374301">
            <w:pPr>
              <w:jc w:val="left"/>
            </w:pPr>
            <w:r>
              <w:t>食品药品</w:t>
            </w:r>
          </w:p>
        </w:tc>
        <w:tc>
          <w:tcPr>
            <w:tcW w:w="1385" w:type="dxa"/>
          </w:tcPr>
          <w:p w14:paraId="036622C7">
            <w:pPr>
              <w:jc w:val="left"/>
            </w:pPr>
            <w:r>
              <w:t>如销售食品/化妆品/保健品，须在Thai FDA注册产品并获得许可证</w:t>
            </w:r>
          </w:p>
        </w:tc>
        <w:tc>
          <w:tcPr>
            <w:tcW w:w="1385" w:type="dxa"/>
          </w:tcPr>
          <w:p w14:paraId="4BCDF974">
            <w:pPr>
              <w:jc w:val="left"/>
            </w:pPr>
            <w:r>
              <w:t>Food Act B.E. 2522; Cosmetic Act B.E. 2558</w:t>
            </w:r>
          </w:p>
        </w:tc>
        <w:tc>
          <w:tcPr>
            <w:tcW w:w="1385" w:type="dxa"/>
          </w:tcPr>
          <w:p w14:paraId="1FBBA8B5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6ED38904">
            <w:pPr>
              <w:jc w:val="left"/>
            </w:pPr>
            <w:r>
              <w:t>☐ 视品类</w:t>
            </w:r>
          </w:p>
        </w:tc>
      </w:tr>
      <w:tr w14:paraId="0F149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34616EC9">
            <w:pPr>
              <w:jc w:val="left"/>
            </w:pPr>
            <w:r>
              <w:t>9.4</w:t>
            </w:r>
          </w:p>
        </w:tc>
        <w:tc>
          <w:tcPr>
            <w:tcW w:w="1385" w:type="dxa"/>
          </w:tcPr>
          <w:p w14:paraId="79865055">
            <w:pPr>
              <w:jc w:val="left"/>
            </w:pPr>
            <w:r>
              <w:t>禁售品类</w:t>
            </w:r>
          </w:p>
        </w:tc>
        <w:tc>
          <w:tcPr>
            <w:tcW w:w="1385" w:type="dxa"/>
          </w:tcPr>
          <w:p w14:paraId="3BEBCFD6">
            <w:pPr>
              <w:jc w:val="left"/>
            </w:pPr>
            <w:r>
              <w:t>泰国禁止在线销售或限制销售的品类：处方药、电子烟/Vape（完全禁止）、赌博相关、部分武器仿制品等</w:t>
            </w:r>
          </w:p>
        </w:tc>
        <w:tc>
          <w:tcPr>
            <w:tcW w:w="1385" w:type="dxa"/>
          </w:tcPr>
          <w:p w14:paraId="574C207C">
            <w:pPr>
              <w:jc w:val="left"/>
            </w:pPr>
            <w:r>
              <w:t>Various laws</w:t>
            </w:r>
          </w:p>
        </w:tc>
        <w:tc>
          <w:tcPr>
            <w:tcW w:w="1385" w:type="dxa"/>
          </w:tcPr>
          <w:p w14:paraId="2D4E3729">
            <w:pPr>
              <w:jc w:val="left"/>
            </w:pPr>
            <w:r>
              <w:t>★★★</w:t>
            </w:r>
          </w:p>
        </w:tc>
        <w:tc>
          <w:tcPr>
            <w:tcW w:w="1385" w:type="dxa"/>
          </w:tcPr>
          <w:p w14:paraId="7DF6C28F">
            <w:pPr>
              <w:jc w:val="left"/>
            </w:pPr>
            <w:r>
              <w:t>☐ 已排查</w:t>
            </w:r>
          </w:p>
        </w:tc>
      </w:tr>
      <w:tr w14:paraId="4868E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2DA2CA94">
            <w:pPr>
              <w:jc w:val="left"/>
            </w:pPr>
            <w:r>
              <w:t>9.5</w:t>
            </w:r>
          </w:p>
        </w:tc>
        <w:tc>
          <w:tcPr>
            <w:tcW w:w="1385" w:type="dxa"/>
          </w:tcPr>
          <w:p w14:paraId="6D2A890C">
            <w:pPr>
              <w:jc w:val="left"/>
            </w:pPr>
            <w:r>
              <w:t>退货仓/退货地址</w:t>
            </w:r>
          </w:p>
        </w:tc>
        <w:tc>
          <w:tcPr>
            <w:tcW w:w="1385" w:type="dxa"/>
          </w:tcPr>
          <w:p w14:paraId="5F71D889">
            <w:pPr>
              <w:jc w:val="left"/>
            </w:pPr>
            <w:r>
              <w:t>须在泰国境内提供退货地址或指定退货代理人</w:t>
            </w:r>
          </w:p>
        </w:tc>
        <w:tc>
          <w:tcPr>
            <w:tcW w:w="1385" w:type="dxa"/>
          </w:tcPr>
          <w:p w14:paraId="47EE75E2">
            <w:pPr>
              <w:jc w:val="left"/>
            </w:pPr>
            <w:r>
              <w:t>Direct Sales Act</w:t>
            </w:r>
          </w:p>
        </w:tc>
        <w:tc>
          <w:tcPr>
            <w:tcW w:w="1385" w:type="dxa"/>
          </w:tcPr>
          <w:p w14:paraId="3FA8A83D">
            <w:pPr>
              <w:jc w:val="left"/>
            </w:pPr>
            <w:r>
              <w:t>★★☆</w:t>
            </w:r>
          </w:p>
        </w:tc>
        <w:tc>
          <w:tcPr>
            <w:tcW w:w="1385" w:type="dxa"/>
          </w:tcPr>
          <w:p w14:paraId="5F7AADA4">
            <w:pPr>
              <w:jc w:val="left"/>
            </w:pPr>
            <w:r>
              <w:t>☐ 待安排</w:t>
            </w:r>
          </w:p>
        </w:tc>
      </w:tr>
    </w:tbl>
    <w:p w14:paraId="07B5C6A4"/>
    <w:p w14:paraId="0FBCE93E">
      <w:pPr>
        <w:pStyle w:val="169"/>
        <w:pBdr>
          <w:top w:val="single" w:color="CCCCCC" w:sz="8" w:space="0"/>
        </w:pBdr>
        <w:spacing w:after="240"/>
      </w:pPr>
    </w:p>
    <w:p w14:paraId="1B820405">
      <w:pPr>
        <w:pStyle w:val="4"/>
      </w:pPr>
      <w:r>
        <w:t>十、时间节点汇总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192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0F26FB7B">
            <w:pPr>
              <w:jc w:val="left"/>
            </w:pPr>
            <w:r>
              <w:rPr>
                <w:b/>
              </w:rPr>
              <w:t>事项</w:t>
            </w:r>
          </w:p>
        </w:tc>
        <w:tc>
          <w:tcPr>
            <w:tcW w:w="2771" w:type="dxa"/>
            <w:shd w:val="clear" w:color="auto" w:fill="F2F2F2"/>
          </w:tcPr>
          <w:p w14:paraId="3FE8EA74">
            <w:pPr>
              <w:jc w:val="left"/>
            </w:pPr>
            <w:r>
              <w:rPr>
                <w:b/>
              </w:rPr>
              <w:t>时间节点</w:t>
            </w:r>
          </w:p>
        </w:tc>
        <w:tc>
          <w:tcPr>
            <w:tcW w:w="2771" w:type="dxa"/>
            <w:shd w:val="clear" w:color="auto" w:fill="F2F2F2"/>
          </w:tcPr>
          <w:p w14:paraId="4105BB7F">
            <w:pPr>
              <w:jc w:val="left"/>
            </w:pPr>
            <w:r>
              <w:rPr>
                <w:b/>
              </w:rPr>
              <w:t>备注</w:t>
            </w:r>
          </w:p>
        </w:tc>
      </w:tr>
      <w:tr w14:paraId="12D56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E143905">
            <w:pPr>
              <w:jc w:val="left"/>
            </w:pPr>
            <w:r>
              <w:t>CIT年度申报+TPDF提交</w:t>
            </w:r>
          </w:p>
        </w:tc>
        <w:tc>
          <w:tcPr>
            <w:tcW w:w="2771" w:type="dxa"/>
          </w:tcPr>
          <w:p w14:paraId="0C4E91F6">
            <w:pPr>
              <w:jc w:val="left"/>
            </w:pPr>
            <w:r>
              <w:t>会计年度结束后150天内（如12月31日截止→5月30日前）</w:t>
            </w:r>
          </w:p>
        </w:tc>
        <w:tc>
          <w:tcPr>
            <w:tcW w:w="2771" w:type="dxa"/>
          </w:tcPr>
          <w:p w14:paraId="2030A831">
            <w:pPr>
              <w:jc w:val="left"/>
            </w:pPr>
            <w:r>
              <w:t>所有年收入≥2亿泰铢企业</w:t>
            </w:r>
          </w:p>
        </w:tc>
      </w:tr>
      <w:tr w14:paraId="7BE5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9E3F7FE">
            <w:pPr>
              <w:jc w:val="left"/>
            </w:pPr>
            <w:r>
              <w:t>VAT月度申报</w:t>
            </w:r>
          </w:p>
        </w:tc>
        <w:tc>
          <w:tcPr>
            <w:tcW w:w="2771" w:type="dxa"/>
          </w:tcPr>
          <w:p w14:paraId="75969A81">
            <w:pPr>
              <w:jc w:val="left"/>
            </w:pPr>
            <w:r>
              <w:t>每月15日前提交上月VAT申报</w:t>
            </w:r>
          </w:p>
        </w:tc>
        <w:tc>
          <w:tcPr>
            <w:tcW w:w="2771" w:type="dxa"/>
          </w:tcPr>
          <w:p w14:paraId="4D07995A">
            <w:pPr>
              <w:jc w:val="left"/>
            </w:pPr>
            <w:r>
              <w:t>已注册VAT的企业</w:t>
            </w:r>
          </w:p>
        </w:tc>
      </w:tr>
      <w:tr w14:paraId="4040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DABF11B">
            <w:pPr>
              <w:jc w:val="left"/>
            </w:pPr>
            <w:r>
              <w:t>Local File提交</w:t>
            </w:r>
          </w:p>
        </w:tc>
        <w:tc>
          <w:tcPr>
            <w:tcW w:w="2771" w:type="dxa"/>
          </w:tcPr>
          <w:p w14:paraId="78AC23F9">
            <w:pPr>
              <w:jc w:val="left"/>
            </w:pPr>
            <w:r>
              <w:t>收到TRD书面要求后60天内（首次可延长至180天）</w:t>
            </w:r>
          </w:p>
        </w:tc>
        <w:tc>
          <w:tcPr>
            <w:tcW w:w="2771" w:type="dxa"/>
          </w:tcPr>
          <w:p w14:paraId="647F522C">
            <w:pPr>
              <w:jc w:val="left"/>
            </w:pPr>
            <w:r>
              <w:t>不主动提交，但须随时备妥</w:t>
            </w:r>
          </w:p>
        </w:tc>
      </w:tr>
      <w:tr w14:paraId="3C8A3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535D750">
            <w:pPr>
              <w:jc w:val="left"/>
            </w:pPr>
            <w:r>
              <w:t>预扣税申报</w:t>
            </w:r>
          </w:p>
        </w:tc>
        <w:tc>
          <w:tcPr>
            <w:tcW w:w="2771" w:type="dxa"/>
          </w:tcPr>
          <w:p w14:paraId="645D6B58">
            <w:pPr>
              <w:jc w:val="left"/>
            </w:pPr>
            <w:r>
              <w:t>支付后7天内向TRD缴纳</w:t>
            </w:r>
          </w:p>
        </w:tc>
        <w:tc>
          <w:tcPr>
            <w:tcW w:w="2771" w:type="dxa"/>
          </w:tcPr>
          <w:p w14:paraId="456E0BB3">
            <w:pPr>
              <w:jc w:val="left"/>
            </w:pPr>
            <w:r>
              <w:t>向境外支付服务费/特许权使用费/利息等</w:t>
            </w:r>
          </w:p>
        </w:tc>
      </w:tr>
      <w:tr w14:paraId="6F8FD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6D22B53">
            <w:pPr>
              <w:jc w:val="left"/>
            </w:pPr>
            <w:r>
              <w:t>PDPA合规</w:t>
            </w:r>
          </w:p>
        </w:tc>
        <w:tc>
          <w:tcPr>
            <w:tcW w:w="2771" w:type="dxa"/>
          </w:tcPr>
          <w:p w14:paraId="053114E1">
            <w:pPr>
              <w:jc w:val="left"/>
            </w:pPr>
            <w:r>
              <w:t>持续合规义务</w:t>
            </w:r>
          </w:p>
        </w:tc>
        <w:tc>
          <w:tcPr>
            <w:tcW w:w="2771" w:type="dxa"/>
          </w:tcPr>
          <w:p w14:paraId="76100396">
            <w:pPr>
              <w:jc w:val="left"/>
            </w:pPr>
            <w:r>
              <w:t>已生效</w:t>
            </w:r>
          </w:p>
        </w:tc>
      </w:tr>
      <w:tr w14:paraId="59CD0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C9FE2A0">
            <w:pPr>
              <w:jc w:val="left"/>
            </w:pPr>
            <w:r>
              <w:t>商标注册</w:t>
            </w:r>
          </w:p>
        </w:tc>
        <w:tc>
          <w:tcPr>
            <w:tcW w:w="2771" w:type="dxa"/>
          </w:tcPr>
          <w:p w14:paraId="0E24A29A">
            <w:pPr>
              <w:jc w:val="left"/>
            </w:pPr>
            <w:r>
              <w:t>建议尽早在进入泰国市场前完成</w:t>
            </w:r>
          </w:p>
        </w:tc>
        <w:tc>
          <w:tcPr>
            <w:tcW w:w="2771" w:type="dxa"/>
          </w:tcPr>
          <w:p w14:paraId="6FE26B28">
            <w:pPr>
              <w:jc w:val="left"/>
            </w:pPr>
            <w:r>
              <w:t>先申请原则</w:t>
            </w:r>
          </w:p>
        </w:tc>
      </w:tr>
      <w:tr w14:paraId="54083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B025174">
            <w:pPr>
              <w:jc w:val="left"/>
            </w:pPr>
            <w:r>
              <w:t>工作许可</w:t>
            </w:r>
          </w:p>
        </w:tc>
        <w:tc>
          <w:tcPr>
            <w:tcW w:w="2771" w:type="dxa"/>
          </w:tcPr>
          <w:p w14:paraId="3ACF5951">
            <w:pPr>
              <w:jc w:val="left"/>
            </w:pPr>
            <w:r>
              <w:t>入职前完成</w:t>
            </w:r>
          </w:p>
        </w:tc>
        <w:tc>
          <w:tcPr>
            <w:tcW w:w="2771" w:type="dxa"/>
          </w:tcPr>
          <w:p w14:paraId="5FDE9593">
            <w:pPr>
              <w:jc w:val="left"/>
            </w:pPr>
            <w:r>
              <w:t>外籍员工</w:t>
            </w:r>
          </w:p>
        </w:tc>
      </w:tr>
    </w:tbl>
    <w:p w14:paraId="13B69FF5"/>
    <w:p w14:paraId="20DBEECE">
      <w:pPr>
        <w:pStyle w:val="169"/>
        <w:pBdr>
          <w:top w:val="single" w:color="CCCCCC" w:sz="8" w:space="0"/>
        </w:pBdr>
        <w:spacing w:after="240"/>
      </w:pPr>
    </w:p>
    <w:p w14:paraId="35592AB1">
      <w:pPr>
        <w:pStyle w:val="4"/>
      </w:pPr>
      <w:r>
        <w:t>法律依据速查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D8AE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494530F0">
            <w:pPr>
              <w:jc w:val="left"/>
            </w:pPr>
            <w:r>
              <w:rPr>
                <w:b/>
              </w:rPr>
              <w:t>缩写</w:t>
            </w:r>
          </w:p>
        </w:tc>
        <w:tc>
          <w:tcPr>
            <w:tcW w:w="2771" w:type="dxa"/>
            <w:shd w:val="clear" w:color="auto" w:fill="F2F2F2"/>
          </w:tcPr>
          <w:p w14:paraId="11B49636">
            <w:pPr>
              <w:jc w:val="left"/>
            </w:pPr>
            <w:r>
              <w:rPr>
                <w:b/>
              </w:rPr>
              <w:t>全称</w:t>
            </w:r>
          </w:p>
        </w:tc>
        <w:tc>
          <w:tcPr>
            <w:tcW w:w="2771" w:type="dxa"/>
            <w:shd w:val="clear" w:color="auto" w:fill="F2F2F2"/>
          </w:tcPr>
          <w:p w14:paraId="391D6B13">
            <w:pPr>
              <w:jc w:val="left"/>
            </w:pPr>
            <w:r>
              <w:rPr>
                <w:b/>
              </w:rPr>
              <w:t>中文</w:t>
            </w:r>
          </w:p>
        </w:tc>
      </w:tr>
      <w:tr w14:paraId="02628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796314D">
            <w:pPr>
              <w:jc w:val="left"/>
            </w:pPr>
            <w:r>
              <w:t>TRD</w:t>
            </w:r>
          </w:p>
        </w:tc>
        <w:tc>
          <w:tcPr>
            <w:tcW w:w="2771" w:type="dxa"/>
          </w:tcPr>
          <w:p w14:paraId="2B525BD2">
            <w:pPr>
              <w:jc w:val="left"/>
            </w:pPr>
            <w:r>
              <w:t>Thai Revenue Department</w:t>
            </w:r>
          </w:p>
        </w:tc>
        <w:tc>
          <w:tcPr>
            <w:tcW w:w="2771" w:type="dxa"/>
          </w:tcPr>
          <w:p w14:paraId="58B4E9F1">
            <w:pPr>
              <w:jc w:val="left"/>
            </w:pPr>
            <w:r>
              <w:t>泰国税务局</w:t>
            </w:r>
          </w:p>
        </w:tc>
      </w:tr>
      <w:tr w14:paraId="1CDC9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4C1505">
            <w:pPr>
              <w:jc w:val="left"/>
            </w:pPr>
            <w:r>
              <w:t>DBD</w:t>
            </w:r>
          </w:p>
        </w:tc>
        <w:tc>
          <w:tcPr>
            <w:tcW w:w="2771" w:type="dxa"/>
          </w:tcPr>
          <w:p w14:paraId="1E345F46">
            <w:pPr>
              <w:jc w:val="left"/>
            </w:pPr>
            <w:r>
              <w:t>Department of Business Development</w:t>
            </w:r>
          </w:p>
        </w:tc>
        <w:tc>
          <w:tcPr>
            <w:tcW w:w="2771" w:type="dxa"/>
          </w:tcPr>
          <w:p w14:paraId="6BE9FCF8">
            <w:pPr>
              <w:jc w:val="left"/>
            </w:pPr>
            <w:r>
              <w:t>商业发展厅</w:t>
            </w:r>
          </w:p>
        </w:tc>
      </w:tr>
      <w:tr w14:paraId="291E8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9B6EECE">
            <w:pPr>
              <w:jc w:val="left"/>
            </w:pPr>
            <w:r>
              <w:t>DIP</w:t>
            </w:r>
          </w:p>
        </w:tc>
        <w:tc>
          <w:tcPr>
            <w:tcW w:w="2771" w:type="dxa"/>
          </w:tcPr>
          <w:p w14:paraId="1C8F3361">
            <w:pPr>
              <w:jc w:val="left"/>
            </w:pPr>
            <w:r>
              <w:t>Department of Intellectual Property</w:t>
            </w:r>
          </w:p>
        </w:tc>
        <w:tc>
          <w:tcPr>
            <w:tcW w:w="2771" w:type="dxa"/>
          </w:tcPr>
          <w:p w14:paraId="225A4248">
            <w:pPr>
              <w:jc w:val="left"/>
            </w:pPr>
            <w:r>
              <w:t>知识产权局</w:t>
            </w:r>
          </w:p>
        </w:tc>
      </w:tr>
      <w:tr w14:paraId="6448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9EE4179">
            <w:pPr>
              <w:jc w:val="left"/>
            </w:pPr>
            <w:r>
              <w:t>BOI</w:t>
            </w:r>
          </w:p>
        </w:tc>
        <w:tc>
          <w:tcPr>
            <w:tcW w:w="2771" w:type="dxa"/>
          </w:tcPr>
          <w:p w14:paraId="1E71DB6D">
            <w:pPr>
              <w:jc w:val="left"/>
            </w:pPr>
            <w:r>
              <w:t>Board of Investment</w:t>
            </w:r>
          </w:p>
        </w:tc>
        <w:tc>
          <w:tcPr>
            <w:tcW w:w="2771" w:type="dxa"/>
          </w:tcPr>
          <w:p w14:paraId="58FF9724">
            <w:pPr>
              <w:jc w:val="left"/>
            </w:pPr>
            <w:r>
              <w:t>投资促进委员会</w:t>
            </w:r>
          </w:p>
        </w:tc>
      </w:tr>
      <w:tr w14:paraId="7A372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DD7A532">
            <w:pPr>
              <w:jc w:val="left"/>
            </w:pPr>
            <w:r>
              <w:t>FDA/Thai FDA</w:t>
            </w:r>
          </w:p>
        </w:tc>
        <w:tc>
          <w:tcPr>
            <w:tcW w:w="2771" w:type="dxa"/>
          </w:tcPr>
          <w:p w14:paraId="6F386B88">
            <w:pPr>
              <w:jc w:val="left"/>
            </w:pPr>
            <w:r>
              <w:t>Food and Drug Administration</w:t>
            </w:r>
          </w:p>
        </w:tc>
        <w:tc>
          <w:tcPr>
            <w:tcW w:w="2771" w:type="dxa"/>
          </w:tcPr>
          <w:p w14:paraId="2D402D2E">
            <w:pPr>
              <w:jc w:val="left"/>
            </w:pPr>
            <w:r>
              <w:t>食品药品管理局</w:t>
            </w:r>
          </w:p>
        </w:tc>
      </w:tr>
      <w:tr w14:paraId="0ED49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EACEC82">
            <w:pPr>
              <w:jc w:val="left"/>
            </w:pPr>
            <w:r>
              <w:t>TISI</w:t>
            </w:r>
          </w:p>
        </w:tc>
        <w:tc>
          <w:tcPr>
            <w:tcW w:w="2771" w:type="dxa"/>
          </w:tcPr>
          <w:p w14:paraId="6D7AA4DB">
            <w:pPr>
              <w:jc w:val="left"/>
            </w:pPr>
            <w:r>
              <w:t>Thai Industrial Standards Institute</w:t>
            </w:r>
          </w:p>
        </w:tc>
        <w:tc>
          <w:tcPr>
            <w:tcW w:w="2771" w:type="dxa"/>
          </w:tcPr>
          <w:p w14:paraId="7EB92274">
            <w:pPr>
              <w:jc w:val="left"/>
            </w:pPr>
            <w:r>
              <w:t>泰国工业标准协会</w:t>
            </w:r>
          </w:p>
        </w:tc>
      </w:tr>
      <w:tr w14:paraId="18EFE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8C85A09">
            <w:pPr>
              <w:jc w:val="left"/>
            </w:pPr>
            <w:r>
              <w:t>PDPA</w:t>
            </w:r>
          </w:p>
        </w:tc>
        <w:tc>
          <w:tcPr>
            <w:tcW w:w="2771" w:type="dxa"/>
          </w:tcPr>
          <w:p w14:paraId="225AB10A">
            <w:pPr>
              <w:jc w:val="left"/>
            </w:pPr>
            <w:r>
              <w:t>Personal Data Protection Act</w:t>
            </w:r>
          </w:p>
        </w:tc>
        <w:tc>
          <w:tcPr>
            <w:tcW w:w="2771" w:type="dxa"/>
          </w:tcPr>
          <w:p w14:paraId="2D8FEAC8">
            <w:pPr>
              <w:jc w:val="left"/>
            </w:pPr>
            <w:r>
              <w:t>个人数据保护法</w:t>
            </w:r>
          </w:p>
        </w:tc>
      </w:tr>
      <w:tr w14:paraId="7C2E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3BCE7CB">
            <w:pPr>
              <w:jc w:val="left"/>
            </w:pPr>
            <w:r>
              <w:t>PDPC</w:t>
            </w:r>
          </w:p>
        </w:tc>
        <w:tc>
          <w:tcPr>
            <w:tcW w:w="2771" w:type="dxa"/>
          </w:tcPr>
          <w:p w14:paraId="54F49E5C">
            <w:pPr>
              <w:jc w:val="left"/>
            </w:pPr>
            <w:r>
              <w:t>Personal Data Protection Committee</w:t>
            </w:r>
          </w:p>
        </w:tc>
        <w:tc>
          <w:tcPr>
            <w:tcW w:w="2771" w:type="dxa"/>
          </w:tcPr>
          <w:p w14:paraId="1CC9E649">
            <w:pPr>
              <w:jc w:val="left"/>
            </w:pPr>
            <w:r>
              <w:t>个人数据保护委员会</w:t>
            </w:r>
          </w:p>
        </w:tc>
      </w:tr>
      <w:tr w14:paraId="164C6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8D2EFDD">
            <w:pPr>
              <w:jc w:val="left"/>
            </w:pPr>
            <w:r>
              <w:t>OCPB</w:t>
            </w:r>
          </w:p>
        </w:tc>
        <w:tc>
          <w:tcPr>
            <w:tcW w:w="2771" w:type="dxa"/>
          </w:tcPr>
          <w:p w14:paraId="36EA3843">
            <w:pPr>
              <w:jc w:val="left"/>
            </w:pPr>
            <w:r>
              <w:t>Office of the Consumer Protection Board</w:t>
            </w:r>
          </w:p>
        </w:tc>
        <w:tc>
          <w:tcPr>
            <w:tcW w:w="2771" w:type="dxa"/>
          </w:tcPr>
          <w:p w14:paraId="19821FE3">
            <w:pPr>
              <w:jc w:val="left"/>
            </w:pPr>
            <w:r>
              <w:t>消费者保护委员会</w:t>
            </w:r>
          </w:p>
        </w:tc>
      </w:tr>
      <w:tr w14:paraId="574E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4A977A1">
            <w:pPr>
              <w:jc w:val="left"/>
            </w:pPr>
            <w:r>
              <w:t>BOT</w:t>
            </w:r>
          </w:p>
        </w:tc>
        <w:tc>
          <w:tcPr>
            <w:tcW w:w="2771" w:type="dxa"/>
          </w:tcPr>
          <w:p w14:paraId="2D6D0C42">
            <w:pPr>
              <w:jc w:val="left"/>
            </w:pPr>
            <w:r>
              <w:t>Bank of Thailand</w:t>
            </w:r>
          </w:p>
        </w:tc>
        <w:tc>
          <w:tcPr>
            <w:tcW w:w="2771" w:type="dxa"/>
          </w:tcPr>
          <w:p w14:paraId="2A8C0899">
            <w:pPr>
              <w:jc w:val="left"/>
            </w:pPr>
            <w:r>
              <w:t>泰国央行</w:t>
            </w:r>
          </w:p>
        </w:tc>
      </w:tr>
      <w:tr w14:paraId="754E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031903A">
            <w:pPr>
              <w:jc w:val="left"/>
            </w:pPr>
            <w:r>
              <w:t>AMLO</w:t>
            </w:r>
          </w:p>
        </w:tc>
        <w:tc>
          <w:tcPr>
            <w:tcW w:w="2771" w:type="dxa"/>
          </w:tcPr>
          <w:p w14:paraId="47AAD0E7">
            <w:pPr>
              <w:jc w:val="left"/>
            </w:pPr>
            <w:r>
              <w:t>Anti-Money Laundering Office</w:t>
            </w:r>
          </w:p>
        </w:tc>
        <w:tc>
          <w:tcPr>
            <w:tcW w:w="2771" w:type="dxa"/>
          </w:tcPr>
          <w:p w14:paraId="59E3817D">
            <w:pPr>
              <w:jc w:val="left"/>
            </w:pPr>
            <w:r>
              <w:t>反洗钱办公室</w:t>
            </w:r>
          </w:p>
        </w:tc>
      </w:tr>
      <w:tr w14:paraId="3C1F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8FCC78D">
            <w:pPr>
              <w:jc w:val="left"/>
            </w:pPr>
            <w:r>
              <w:t>THAC</w:t>
            </w:r>
          </w:p>
        </w:tc>
        <w:tc>
          <w:tcPr>
            <w:tcW w:w="2771" w:type="dxa"/>
          </w:tcPr>
          <w:p w14:paraId="6234737E">
            <w:pPr>
              <w:jc w:val="left"/>
            </w:pPr>
            <w:r>
              <w:t>Thailand Arbitration Center</w:t>
            </w:r>
          </w:p>
        </w:tc>
        <w:tc>
          <w:tcPr>
            <w:tcW w:w="2771" w:type="dxa"/>
          </w:tcPr>
          <w:p w14:paraId="422EAC05">
            <w:pPr>
              <w:jc w:val="left"/>
            </w:pPr>
            <w:r>
              <w:t>泰国仲裁中心</w:t>
            </w:r>
          </w:p>
        </w:tc>
      </w:tr>
      <w:tr w14:paraId="75810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225D10D">
            <w:pPr>
              <w:jc w:val="left"/>
            </w:pPr>
            <w:r>
              <w:t>SET</w:t>
            </w:r>
          </w:p>
        </w:tc>
        <w:tc>
          <w:tcPr>
            <w:tcW w:w="2771" w:type="dxa"/>
          </w:tcPr>
          <w:p w14:paraId="05043E28">
            <w:pPr>
              <w:jc w:val="left"/>
            </w:pPr>
            <w:r>
              <w:t>Stock Exchange of Thailand</w:t>
            </w:r>
          </w:p>
        </w:tc>
        <w:tc>
          <w:tcPr>
            <w:tcW w:w="2771" w:type="dxa"/>
          </w:tcPr>
          <w:p w14:paraId="0C2FA6D9">
            <w:pPr>
              <w:jc w:val="left"/>
            </w:pPr>
            <w:r>
              <w:t>泰国证券交易所</w:t>
            </w:r>
          </w:p>
        </w:tc>
      </w:tr>
      <w:tr w14:paraId="319BA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05A2324">
            <w:pPr>
              <w:jc w:val="left"/>
            </w:pPr>
            <w:r>
              <w:t>DTA</w:t>
            </w:r>
          </w:p>
        </w:tc>
        <w:tc>
          <w:tcPr>
            <w:tcW w:w="2771" w:type="dxa"/>
          </w:tcPr>
          <w:p w14:paraId="38F8F377">
            <w:pPr>
              <w:jc w:val="left"/>
            </w:pPr>
            <w:r>
              <w:t>Double Taxation Agreement</w:t>
            </w:r>
          </w:p>
        </w:tc>
        <w:tc>
          <w:tcPr>
            <w:tcW w:w="2771" w:type="dxa"/>
          </w:tcPr>
          <w:p w14:paraId="32659DFA">
            <w:pPr>
              <w:jc w:val="left"/>
            </w:pPr>
            <w:r>
              <w:t>双边税收协定</w:t>
            </w:r>
          </w:p>
        </w:tc>
      </w:tr>
      <w:tr w14:paraId="2F422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A5B71A7">
            <w:pPr>
              <w:jc w:val="left"/>
            </w:pPr>
            <w:r>
              <w:t>FBA</w:t>
            </w:r>
          </w:p>
        </w:tc>
        <w:tc>
          <w:tcPr>
            <w:tcW w:w="2771" w:type="dxa"/>
          </w:tcPr>
          <w:p w14:paraId="44D628DB">
            <w:pPr>
              <w:jc w:val="left"/>
            </w:pPr>
            <w:r>
              <w:t>Foreign Business Act</w:t>
            </w:r>
          </w:p>
        </w:tc>
        <w:tc>
          <w:tcPr>
            <w:tcW w:w="2771" w:type="dxa"/>
          </w:tcPr>
          <w:p w14:paraId="32D95067">
            <w:pPr>
              <w:jc w:val="left"/>
            </w:pPr>
            <w:r>
              <w:t>外国人经营法</w:t>
            </w:r>
          </w:p>
        </w:tc>
      </w:tr>
    </w:tbl>
    <w:p w14:paraId="273C58AF"/>
    <w:p w14:paraId="705A9D7C">
      <w:pPr>
        <w:pStyle w:val="169"/>
        <w:pBdr>
          <w:top w:val="single" w:color="CCCCCC" w:sz="8" w:space="0"/>
        </w:pBdr>
        <w:spacing w:after="240"/>
      </w:pPr>
    </w:p>
    <w:p w14:paraId="5DF12013">
      <w:pPr>
        <w:pStyle w:val="4"/>
      </w:pPr>
      <w:r>
        <w:t>关键法条索引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5504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37C1CF01">
            <w:pPr>
              <w:jc w:val="left"/>
            </w:pPr>
            <w:r>
              <w:rPr>
                <w:b/>
              </w:rPr>
              <w:t>法条</w:t>
            </w:r>
          </w:p>
        </w:tc>
        <w:tc>
          <w:tcPr>
            <w:tcW w:w="2771" w:type="dxa"/>
            <w:shd w:val="clear" w:color="auto" w:fill="F2F2F2"/>
          </w:tcPr>
          <w:p w14:paraId="3021E573">
            <w:pPr>
              <w:jc w:val="left"/>
            </w:pPr>
            <w:r>
              <w:rPr>
                <w:b/>
              </w:rPr>
              <w:t>内容</w:t>
            </w:r>
          </w:p>
        </w:tc>
        <w:tc>
          <w:tcPr>
            <w:tcW w:w="2771" w:type="dxa"/>
            <w:shd w:val="clear" w:color="auto" w:fill="F2F2F2"/>
          </w:tcPr>
          <w:p w14:paraId="05E8FE03">
            <w:pPr>
              <w:jc w:val="left"/>
            </w:pPr>
            <w:r>
              <w:rPr>
                <w:b/>
              </w:rPr>
              <w:t>关联清单序号</w:t>
            </w:r>
          </w:p>
        </w:tc>
      </w:tr>
      <w:tr w14:paraId="3BB65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5A8959F">
            <w:pPr>
              <w:jc w:val="left"/>
            </w:pPr>
            <w:r>
              <w:t>Revenue Code Section 71 bis</w:t>
            </w:r>
          </w:p>
        </w:tc>
        <w:tc>
          <w:tcPr>
            <w:tcW w:w="2771" w:type="dxa"/>
          </w:tcPr>
          <w:p w14:paraId="6A621F67">
            <w:pPr>
              <w:jc w:val="left"/>
            </w:pPr>
            <w:r>
              <w:t>独立交易原则（Arm's Length Principle）</w:t>
            </w:r>
          </w:p>
        </w:tc>
        <w:tc>
          <w:tcPr>
            <w:tcW w:w="2771" w:type="dxa"/>
          </w:tcPr>
          <w:p w14:paraId="526A5937">
            <w:pPr>
              <w:jc w:val="left"/>
            </w:pPr>
            <w:r>
              <w:t>2.5, 2.6</w:t>
            </w:r>
          </w:p>
        </w:tc>
      </w:tr>
      <w:tr w14:paraId="348FA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6424EC">
            <w:pPr>
              <w:jc w:val="left"/>
            </w:pPr>
            <w:r>
              <w:t>Revenue Code Section 71 ter</w:t>
            </w:r>
          </w:p>
        </w:tc>
        <w:tc>
          <w:tcPr>
            <w:tcW w:w="2771" w:type="dxa"/>
          </w:tcPr>
          <w:p w14:paraId="2A6F99DC">
            <w:pPr>
              <w:jc w:val="left"/>
            </w:pPr>
            <w:r>
              <w:t>TP Disclosure Form和Local File要求</w:t>
            </w:r>
          </w:p>
        </w:tc>
        <w:tc>
          <w:tcPr>
            <w:tcW w:w="2771" w:type="dxa"/>
          </w:tcPr>
          <w:p w14:paraId="180C0489">
            <w:pPr>
              <w:jc w:val="left"/>
            </w:pPr>
            <w:r>
              <w:t>2.5</w:t>
            </w:r>
          </w:p>
        </w:tc>
      </w:tr>
      <w:tr w14:paraId="50793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F66FBFE">
            <w:pPr>
              <w:jc w:val="left"/>
            </w:pPr>
            <w:r>
              <w:t>Revenue Code Section 50</w:t>
            </w:r>
          </w:p>
        </w:tc>
        <w:tc>
          <w:tcPr>
            <w:tcW w:w="2771" w:type="dxa"/>
          </w:tcPr>
          <w:p w14:paraId="41081961">
            <w:pPr>
              <w:jc w:val="left"/>
            </w:pPr>
            <w:r>
              <w:t>预扣税</w:t>
            </w:r>
          </w:p>
        </w:tc>
        <w:tc>
          <w:tcPr>
            <w:tcW w:w="2771" w:type="dxa"/>
          </w:tcPr>
          <w:p w14:paraId="0A3282E4">
            <w:pPr>
              <w:jc w:val="left"/>
            </w:pPr>
            <w:r>
              <w:t>2.3, 8.3</w:t>
            </w:r>
          </w:p>
        </w:tc>
      </w:tr>
      <w:tr w14:paraId="3C7B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CD1EFFE">
            <w:pPr>
              <w:jc w:val="left"/>
            </w:pPr>
            <w:r>
              <w:t>Revenue Code Section 85/4</w:t>
            </w:r>
          </w:p>
        </w:tc>
        <w:tc>
          <w:tcPr>
            <w:tcW w:w="2771" w:type="dxa"/>
          </w:tcPr>
          <w:p w14:paraId="1327D7CA">
            <w:pPr>
              <w:jc w:val="left"/>
            </w:pPr>
            <w:r>
              <w:t>VAT注册门槛</w:t>
            </w:r>
          </w:p>
        </w:tc>
        <w:tc>
          <w:tcPr>
            <w:tcW w:w="2771" w:type="dxa"/>
          </w:tcPr>
          <w:p w14:paraId="75B7164C">
            <w:pPr>
              <w:jc w:val="left"/>
            </w:pPr>
            <w:r>
              <w:t>2.1</w:t>
            </w:r>
          </w:p>
        </w:tc>
      </w:tr>
      <w:tr w14:paraId="23B12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B5AECC7">
            <w:pPr>
              <w:jc w:val="left"/>
            </w:pPr>
            <w:r>
              <w:t>Revenue Code Section 83/10-13</w:t>
            </w:r>
          </w:p>
        </w:tc>
        <w:tc>
          <w:tcPr>
            <w:tcW w:w="2771" w:type="dxa"/>
          </w:tcPr>
          <w:p w14:paraId="18326AE2">
            <w:pPr>
              <w:jc w:val="left"/>
            </w:pPr>
            <w:r>
              <w:t>外国电子平台VAT义务</w:t>
            </w:r>
          </w:p>
        </w:tc>
        <w:tc>
          <w:tcPr>
            <w:tcW w:w="2771" w:type="dxa"/>
          </w:tcPr>
          <w:p w14:paraId="562CC717">
            <w:pPr>
              <w:jc w:val="left"/>
            </w:pPr>
            <w:r>
              <w:t>2.8</w:t>
            </w:r>
          </w:p>
        </w:tc>
      </w:tr>
      <w:tr w14:paraId="75E5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0AFD3C7">
            <w:pPr>
              <w:jc w:val="left"/>
            </w:pPr>
            <w:r>
              <w:t>Notification No. 407 (B.E. 2564)</w:t>
            </w:r>
          </w:p>
        </w:tc>
        <w:tc>
          <w:tcPr>
            <w:tcW w:w="2771" w:type="dxa"/>
          </w:tcPr>
          <w:p w14:paraId="0F59242D">
            <w:pPr>
              <w:jc w:val="left"/>
            </w:pPr>
            <w:r>
              <w:t>Local File内容要求和格式</w:t>
            </w:r>
          </w:p>
        </w:tc>
        <w:tc>
          <w:tcPr>
            <w:tcW w:w="2771" w:type="dxa"/>
          </w:tcPr>
          <w:p w14:paraId="10DA308A">
            <w:pPr>
              <w:jc w:val="left"/>
            </w:pPr>
            <w:r>
              <w:t>2.5</w:t>
            </w:r>
          </w:p>
        </w:tc>
      </w:tr>
      <w:tr w14:paraId="5BB4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9D6BAB5">
            <w:pPr>
              <w:jc w:val="left"/>
            </w:pPr>
            <w:r>
              <w:t>Notification No. 400 (B.E. 2564)</w:t>
            </w:r>
          </w:p>
        </w:tc>
        <w:tc>
          <w:tcPr>
            <w:tcW w:w="2771" w:type="dxa"/>
          </w:tcPr>
          <w:p w14:paraId="7852299D">
            <w:pPr>
              <w:jc w:val="left"/>
            </w:pPr>
            <w:r>
              <w:t>TP Disclosure Form要求</w:t>
            </w:r>
          </w:p>
        </w:tc>
        <w:tc>
          <w:tcPr>
            <w:tcW w:w="2771" w:type="dxa"/>
          </w:tcPr>
          <w:p w14:paraId="742279E4">
            <w:pPr>
              <w:jc w:val="left"/>
            </w:pPr>
            <w:r>
              <w:t>2.6</w:t>
            </w:r>
          </w:p>
        </w:tc>
      </w:tr>
      <w:tr w14:paraId="3995F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EB108F4">
            <w:pPr>
              <w:jc w:val="left"/>
            </w:pPr>
            <w:r>
              <w:t>Notification No. 408 (B.E. 2564)</w:t>
            </w:r>
          </w:p>
        </w:tc>
        <w:tc>
          <w:tcPr>
            <w:tcW w:w="2771" w:type="dxa"/>
          </w:tcPr>
          <w:p w14:paraId="294854F9">
            <w:pPr>
              <w:jc w:val="left"/>
            </w:pPr>
            <w:r>
              <w:t>CbCR要求</w:t>
            </w:r>
          </w:p>
        </w:tc>
        <w:tc>
          <w:tcPr>
            <w:tcW w:w="2771" w:type="dxa"/>
          </w:tcPr>
          <w:p w14:paraId="7D1BE3C3">
            <w:pPr>
              <w:jc w:val="left"/>
            </w:pPr>
            <w:r>
              <w:t>2.5</w:t>
            </w:r>
          </w:p>
        </w:tc>
      </w:tr>
      <w:tr w14:paraId="3BD8E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2A278E2">
            <w:pPr>
              <w:jc w:val="left"/>
            </w:pPr>
            <w:r>
              <w:t>Ministerial Regulation No. 369</w:t>
            </w:r>
          </w:p>
        </w:tc>
        <w:tc>
          <w:tcPr>
            <w:tcW w:w="2771" w:type="dxa"/>
          </w:tcPr>
          <w:p w14:paraId="4BE3CF9E">
            <w:pPr>
              <w:jc w:val="left"/>
            </w:pPr>
            <w:r>
              <w:t>TP规则实施细则</w:t>
            </w:r>
          </w:p>
        </w:tc>
        <w:tc>
          <w:tcPr>
            <w:tcW w:w="2771" w:type="dxa"/>
          </w:tcPr>
          <w:p w14:paraId="3278FA32">
            <w:pPr>
              <w:jc w:val="left"/>
            </w:pPr>
            <w:r>
              <w:t>2.5</w:t>
            </w:r>
          </w:p>
        </w:tc>
      </w:tr>
      <w:tr w14:paraId="77CF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E33977C">
            <w:pPr>
              <w:jc w:val="left"/>
            </w:pPr>
            <w:r>
              <w:t>PDPA Sections 19-20</w:t>
            </w:r>
          </w:p>
        </w:tc>
        <w:tc>
          <w:tcPr>
            <w:tcW w:w="2771" w:type="dxa"/>
          </w:tcPr>
          <w:p w14:paraId="7BF65175">
            <w:pPr>
              <w:jc w:val="left"/>
            </w:pPr>
            <w:r>
              <w:t>同意机制</w:t>
            </w:r>
          </w:p>
        </w:tc>
        <w:tc>
          <w:tcPr>
            <w:tcW w:w="2771" w:type="dxa"/>
          </w:tcPr>
          <w:p w14:paraId="78F1D2F8">
            <w:pPr>
              <w:jc w:val="left"/>
            </w:pPr>
            <w:r>
              <w:t>3.4, 3.5</w:t>
            </w:r>
          </w:p>
        </w:tc>
      </w:tr>
      <w:tr w14:paraId="3C9FF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277DA72">
            <w:pPr>
              <w:jc w:val="left"/>
            </w:pPr>
            <w:r>
              <w:t>PDPA Sections 28-29</w:t>
            </w:r>
          </w:p>
        </w:tc>
        <w:tc>
          <w:tcPr>
            <w:tcW w:w="2771" w:type="dxa"/>
          </w:tcPr>
          <w:p w14:paraId="5459ACFE">
            <w:pPr>
              <w:jc w:val="left"/>
            </w:pPr>
            <w:r>
              <w:t>跨境数据传输</w:t>
            </w:r>
          </w:p>
        </w:tc>
        <w:tc>
          <w:tcPr>
            <w:tcW w:w="2771" w:type="dxa"/>
          </w:tcPr>
          <w:p w14:paraId="59B49C79">
            <w:pPr>
              <w:jc w:val="left"/>
            </w:pPr>
            <w:r>
              <w:t>3.6</w:t>
            </w:r>
          </w:p>
        </w:tc>
      </w:tr>
      <w:tr w14:paraId="7F9D5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0BB4B5E">
            <w:pPr>
              <w:jc w:val="left"/>
            </w:pPr>
            <w:r>
              <w:t>PDPA Section 37</w:t>
            </w:r>
          </w:p>
        </w:tc>
        <w:tc>
          <w:tcPr>
            <w:tcW w:w="2771" w:type="dxa"/>
          </w:tcPr>
          <w:p w14:paraId="0AFA2CD5">
            <w:pPr>
              <w:jc w:val="left"/>
            </w:pPr>
            <w:r>
              <w:t>数据泄露通知</w:t>
            </w:r>
          </w:p>
        </w:tc>
        <w:tc>
          <w:tcPr>
            <w:tcW w:w="2771" w:type="dxa"/>
          </w:tcPr>
          <w:p w14:paraId="1129632C">
            <w:pPr>
              <w:jc w:val="left"/>
            </w:pPr>
            <w:r>
              <w:t>3.7</w:t>
            </w:r>
          </w:p>
        </w:tc>
      </w:tr>
      <w:tr w14:paraId="53B8C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61F604B">
            <w:pPr>
              <w:jc w:val="left"/>
            </w:pPr>
            <w:r>
              <w:t>PDPA Section 39-40</w:t>
            </w:r>
          </w:p>
        </w:tc>
        <w:tc>
          <w:tcPr>
            <w:tcW w:w="2771" w:type="dxa"/>
          </w:tcPr>
          <w:p w14:paraId="13CDDDCA">
            <w:pPr>
              <w:jc w:val="left"/>
            </w:pPr>
            <w:r>
              <w:t>处理记录和DPO</w:t>
            </w:r>
          </w:p>
        </w:tc>
        <w:tc>
          <w:tcPr>
            <w:tcW w:w="2771" w:type="dxa"/>
          </w:tcPr>
          <w:p w14:paraId="1EA0EA2C">
            <w:pPr>
              <w:jc w:val="left"/>
            </w:pPr>
            <w:r>
              <w:t>3.2, 3.3</w:t>
            </w:r>
          </w:p>
        </w:tc>
      </w:tr>
      <w:tr w14:paraId="55902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BC14B7A">
            <w:pPr>
              <w:jc w:val="left"/>
            </w:pPr>
            <w:r>
              <w:t>Trademark Act Section 68</w:t>
            </w:r>
          </w:p>
        </w:tc>
        <w:tc>
          <w:tcPr>
            <w:tcW w:w="2771" w:type="dxa"/>
          </w:tcPr>
          <w:p w14:paraId="408B668F">
            <w:pPr>
              <w:jc w:val="left"/>
            </w:pPr>
            <w:r>
              <w:t>商标许可备案</w:t>
            </w:r>
          </w:p>
        </w:tc>
        <w:tc>
          <w:tcPr>
            <w:tcW w:w="2771" w:type="dxa"/>
          </w:tcPr>
          <w:p w14:paraId="052445ED">
            <w:pPr>
              <w:jc w:val="left"/>
            </w:pPr>
            <w:r>
              <w:t>7.2</w:t>
            </w:r>
          </w:p>
        </w:tc>
      </w:tr>
      <w:tr w14:paraId="39A2D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ABAF1AA">
            <w:pPr>
              <w:jc w:val="left"/>
            </w:pPr>
            <w:r>
              <w:t>Foreign Business Act Annex 3</w:t>
            </w:r>
          </w:p>
        </w:tc>
        <w:tc>
          <w:tcPr>
            <w:tcW w:w="2771" w:type="dxa"/>
          </w:tcPr>
          <w:p w14:paraId="44DB87DD">
            <w:pPr>
              <w:jc w:val="left"/>
            </w:pPr>
            <w:r>
              <w:t>外国人受限业务清单</w:t>
            </w:r>
          </w:p>
        </w:tc>
        <w:tc>
          <w:tcPr>
            <w:tcW w:w="2771" w:type="dxa"/>
          </w:tcPr>
          <w:p w14:paraId="52AD5B5C">
            <w:pPr>
              <w:jc w:val="left"/>
            </w:pPr>
            <w:r>
              <w:t>1.6</w:t>
            </w:r>
          </w:p>
        </w:tc>
      </w:tr>
    </w:tbl>
    <w:p w14:paraId="4D349C63">
      <w:pPr>
        <w:pStyle w:val="164"/>
        <w:pBdr>
          <w:left w:val="single" w:color="CCCCCC" w:sz="24" w:space="0"/>
        </w:pBdr>
        <w:shd w:val="clear" w:fill="F8F8F8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D2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qFormat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qFormat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qFormat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qFormat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qFormat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1225</Words>
  <Characters>1872</Characters>
  <Lines>0</Lines>
  <Paragraphs>0</Paragraphs>
  <TotalTime>0</TotalTime>
  <ScaleCrop>false</ScaleCrop>
  <LinksUpToDate>false</LinksUpToDate>
  <CharactersWithSpaces>1981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Breatheyn</cp:lastModifiedBy>
  <dcterms:modified xsi:type="dcterms:W3CDTF">2026-07-17T08:48:12Z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2046611973749692_0-data_volume/7647035894364504320-generated/20260717/17615c2d-5a46-4dc1-9fef-f54712d4f6c2/03-合规检查清单（泰国）.md.docx","ReservedCode1":"","ContentPropagator":"001191110102MACQD9K64028705","PropagateID":"2046611973749692#1784278063303","ReservedCode2":""}</vt:lpwstr>
  </property>
  <property fmtid="{D5CDD505-2E9C-101B-9397-08002B2CF9AE}" pid="3" name="KSOTemplateDocerSaveRecord">
    <vt:lpwstr>eyJoZGlkIjoiODNhMzk5OWNkYjNlZjkzYzBhY2U0NTlkMTgzMDY0NmUiLCJ1c2VySWQiOiI4NjgwMTI4MTQifQ==</vt:lpwstr>
  </property>
  <property fmtid="{D5CDD505-2E9C-101B-9397-08002B2CF9AE}" pid="4" name="KSOProductBuildVer">
    <vt:lpwstr>2052-12.1.0.26895</vt:lpwstr>
  </property>
  <property fmtid="{D5CDD505-2E9C-101B-9397-08002B2CF9AE}" pid="5" name="ICV">
    <vt:lpwstr>F55318DA8C194B658F8806BCFB2C94DE_12</vt:lpwstr>
  </property>
</Properties>
</file>