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BC6C16">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BC6C16">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 xml:space="preserve">thin the content and it needs </w:t>
      </w:r>
      <w:proofErr w:type="gramStart"/>
      <w:r w:rsidR="00AF2944">
        <w:t>a</w:t>
      </w:r>
      <w:r>
        <w:t xml:space="preserve"> double quotas</w:t>
      </w:r>
      <w:proofErr w:type="gramEnd"/>
      <w:r>
        <w:t xml:space="preserve">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proofErr w:type="gramStart"/>
      <w:r w:rsidRPr="002322D7">
        <w:rPr>
          <w:rFonts w:ascii="Courier New" w:hAnsi="Courier New" w:cs="Courier New"/>
        </w:rPr>
        <w:t>context.json</w:t>
      </w:r>
      <w:proofErr w:type="gramEnd"/>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5AF9">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5AF9">
            <w:pPr>
              <w:pStyle w:val="TabellenInhalt"/>
            </w:pPr>
            <w:r>
              <w:t>Choose here thet JSONDoc* component which current processing node should be the starting point to read.</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00C93D9A" w:rsidR="003D10FA" w:rsidRDefault="003D10FA" w:rsidP="007D5AF9">
            <w:pPr>
              <w:pStyle w:val="TabellenInhalt"/>
            </w:pPr>
            <w:r w:rsidRPr="003D10FA">
              <w:t>Take the values from the referenced 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103F1E32" w:rsidR="003D10FA" w:rsidRDefault="003D10FA" w:rsidP="007D5AF9">
            <w:pPr>
              <w:pStyle w:val="TabellenInhalt"/>
            </w:pPr>
            <w:r>
              <w:t>If you want to read the json object from the parent component (because of other attribute set etc.) check this option.</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5AF9">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5AF9">
            <w:pPr>
              <w:pStyle w:val="TabellenInhalt"/>
            </w:pPr>
            <w:r>
              <w:t>This is the path to the json document which surfes as loop element.</w:t>
            </w:r>
          </w:p>
          <w:p w14:paraId="7708D0C8" w14:textId="22FACBB6" w:rsidR="00350141" w:rsidRDefault="00350141" w:rsidP="007D5AF9">
            <w:pPr>
              <w:pStyle w:val="TabellenInhalt"/>
            </w:pPr>
            <w:r>
              <w:t>You can set here an absolute json-path or a relative attribute path.</w:t>
            </w:r>
          </w:p>
          <w:p w14:paraId="0A65B872" w14:textId="77777777" w:rsidR="00350141" w:rsidRDefault="00350141" w:rsidP="007D5AF9">
            <w:pPr>
              <w:pStyle w:val="TabellenInhalt"/>
            </w:pPr>
            <w:r w:rsidRPr="000C7EE8">
              <w:rPr>
                <w:b/>
              </w:rPr>
              <w:t>If the path starts with an $ the path will be parsed with the original json-path methology</w:t>
            </w:r>
            <w:r>
              <w:t>.</w:t>
            </w:r>
          </w:p>
          <w:p w14:paraId="6DD5E06F" w14:textId="5626B0A0" w:rsidR="00350141" w:rsidRDefault="00350141" w:rsidP="007D5AF9">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5AF9">
            <w:pPr>
              <w:pStyle w:val="TabellenInhalt"/>
            </w:pPr>
          </w:p>
          <w:p w14:paraId="283E869D" w14:textId="582B3745" w:rsidR="00350141" w:rsidRDefault="00597C6C" w:rsidP="007D5AF9">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r w:rsidR="003D10FA">
              <w:t xml:space="preserve"> You could also simply check the option above!</w:t>
            </w:r>
          </w:p>
          <w:p w14:paraId="08B0B8CC" w14:textId="77777777" w:rsidR="00597C6C" w:rsidRDefault="00597C6C" w:rsidP="007D5AF9">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5AF9">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5AF9">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5AF9">
            <w:pPr>
              <w:pStyle w:val="TabellenInhalt"/>
            </w:pPr>
            <w:r>
              <w:t>Configure here the attributes you want to read from the json objects.</w:t>
            </w:r>
          </w:p>
          <w:p w14:paraId="41949D40" w14:textId="77777777" w:rsidR="00A23B0E" w:rsidRDefault="00A23B0E" w:rsidP="007D5AF9">
            <w:pPr>
              <w:pStyle w:val="TabellenInhalt"/>
            </w:pPr>
            <w:r w:rsidRPr="00A23B0E">
              <w:rPr>
                <w:b/>
              </w:rPr>
              <w:t>Column:</w:t>
            </w:r>
            <w:r>
              <w:t xml:space="preserve"> the schema column</w:t>
            </w:r>
          </w:p>
          <w:p w14:paraId="18E50DB4" w14:textId="77777777" w:rsidR="009A155C" w:rsidRDefault="00A23B0E" w:rsidP="007D5AF9">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0AC2B62F" w14:textId="264B6079" w:rsidR="00A23B0E" w:rsidRDefault="009A155C" w:rsidP="007D5AF9">
            <w:pPr>
              <w:pStyle w:val="TabellenInhalt"/>
            </w:pPr>
            <w:r>
              <w:t>If this expression results in an empty or null name, the schema name will be used instead.</w:t>
            </w:r>
          </w:p>
          <w:p w14:paraId="7A9A7F2D" w14:textId="77777777" w:rsidR="00A23B0E" w:rsidRDefault="00A23B0E" w:rsidP="007D5AF9">
            <w:pPr>
              <w:pStyle w:val="TabellenInhalt"/>
            </w:pPr>
            <w:r w:rsidRPr="00A23B0E">
              <w:rPr>
                <w:b/>
              </w:rPr>
              <w:t>Use Column:</w:t>
            </w:r>
            <w:r>
              <w:t xml:space="preserve"> Decide here which column you want to fill from the json object.</w:t>
            </w:r>
          </w:p>
          <w:p w14:paraId="05F064CB" w14:textId="47281D37" w:rsidR="00597C6C" w:rsidRDefault="00597C6C" w:rsidP="007D5AF9">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5AF9">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5AF9">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5AF9">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5AF9">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00969611" w14:textId="77777777" w:rsidR="009A155C" w:rsidRDefault="009A155C" w:rsidP="00F17AA1">
      <w:pPr>
        <w:pStyle w:val="Heading2"/>
      </w:pPr>
    </w:p>
    <w:p w14:paraId="2AB279AD" w14:textId="77777777" w:rsidR="00DF4FC0" w:rsidRPr="00DF4FC0" w:rsidRDefault="00DF4FC0" w:rsidP="00DF4FC0">
      <w:pPr>
        <w:pStyle w:val="BodyText"/>
      </w:pPr>
    </w:p>
    <w:p w14:paraId="57A7A409" w14:textId="77777777" w:rsidR="00F17AA1" w:rsidRDefault="00F17AA1" w:rsidP="00F17AA1">
      <w:pPr>
        <w:pStyle w:val="Heading2"/>
      </w:pPr>
      <w:r>
        <w:lastRenderedPageBreak/>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617E619" w14:textId="77777777" w:rsidTr="009A155C">
        <w:tc>
          <w:tcPr>
            <w:tcW w:w="316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9A155C" w14:paraId="56B1ED1C" w14:textId="77777777" w:rsidTr="009A155C">
        <w:tc>
          <w:tcPr>
            <w:tcW w:w="3167"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9A155C" w14:paraId="44D39EDF" w14:textId="77777777" w:rsidTr="009A155C">
        <w:tc>
          <w:tcPr>
            <w:tcW w:w="3167" w:type="dxa"/>
            <w:tcBorders>
              <w:left w:val="single" w:sz="1" w:space="0" w:color="000000"/>
              <w:bottom w:val="single" w:sz="4" w:space="0" w:color="000000"/>
            </w:tcBorders>
            <w:shd w:val="clear" w:color="auto" w:fill="auto"/>
          </w:tcPr>
          <w:p w14:paraId="02E223E4" w14:textId="77777777" w:rsidR="00F17AA1" w:rsidRDefault="00F17AA1" w:rsidP="006712D2">
            <w:pPr>
              <w:pStyle w:val="TabellenInhalt"/>
            </w:pPr>
            <w:r>
              <w:t>CURRENT_NODE</w:t>
            </w:r>
          </w:p>
        </w:tc>
        <w:tc>
          <w:tcPr>
            <w:tcW w:w="6471"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9A155C" w14:paraId="11FAC93C"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r w:rsidR="009A155C" w14:paraId="1CF3B67D"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7D10AFF" w14:textId="155BDF6A" w:rsidR="009A155C" w:rsidRDefault="009A155C" w:rsidP="006712D2">
            <w:pPr>
              <w:pStyle w:val="TabellenInhalt"/>
            </w:pPr>
            <w:r>
              <w:t>NB_NOT_NULL_ATTRIBUTES</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99FA7C3" w14:textId="2C07B244" w:rsidR="009A155C" w:rsidRDefault="009A155C" w:rsidP="00F17AA1">
            <w:pPr>
              <w:pStyle w:val="TabellenInhalt"/>
            </w:pPr>
            <w:r>
              <w:t>The number of attributes which are not missing and not null in the current node</w:t>
            </w:r>
          </w:p>
        </w:tc>
      </w:tr>
      <w:tr w:rsidR="00DF4FC0" w14:paraId="68C28A94"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36893398" w14:textId="1ADB0256" w:rsidR="00DF4FC0" w:rsidRDefault="00DF4FC0" w:rsidP="006712D2">
            <w:pPr>
              <w:pStyle w:val="TabellenInhalt"/>
            </w:pPr>
            <w:r>
              <w:t>CURRENT_PATH</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488D1DF1" w14:textId="5EF55A15" w:rsidR="00DF4FC0" w:rsidRDefault="00DF4FC0" w:rsidP="00F17AA1">
            <w:pPr>
              <w:pStyle w:val="TabellenInhalt"/>
            </w:pPr>
            <w:r>
              <w:t>The JSON-Path to the current node as String</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52A003E3" w14:textId="77777777" w:rsidR="00BC6C16" w:rsidRDefault="00BC6C16"/>
    <w:p w14:paraId="5FC1FCF2" w14:textId="77777777" w:rsidR="00BC6C16" w:rsidRDefault="00BC6C16"/>
    <w:p w14:paraId="2FEE4FBB" w14:textId="0953B83B" w:rsidR="00043086" w:rsidRDefault="00043086" w:rsidP="00043086">
      <w:pPr>
        <w:pStyle w:val="Heading1"/>
      </w:pPr>
      <w:bookmarkStart w:id="1" w:name="_GoBack"/>
      <w:bookmarkEnd w:id="1"/>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77777777" w:rsidR="00F70580" w:rsidRDefault="00F70580" w:rsidP="006712D2">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6712D2">
            <w:pPr>
              <w:pStyle w:val="TabellenInhalt"/>
            </w:pPr>
            <w:r>
              <w:t>Choose here thet JSONDoc* component which current processing node should be the starting point to read.</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6712D2">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6712D2">
            <w:pPr>
              <w:pStyle w:val="TabellenInhalt"/>
            </w:pPr>
            <w:r>
              <w:t xml:space="preserve">This is the path (in dot-notation) to the current element you want to create and write. </w:t>
            </w:r>
          </w:p>
          <w:p w14:paraId="4A303B5E" w14:textId="2B5DF883" w:rsidR="00F70580" w:rsidRDefault="00F70580" w:rsidP="006712D2">
            <w:pPr>
              <w:pStyle w:val="TabellenInhalt"/>
            </w:pPr>
            <w:r>
              <w:t>The last part of the path is the attribute under which the nodes are created or be written.</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6712D2">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6712D2">
            <w:pPr>
              <w:pStyle w:val="TabellenInhalt"/>
            </w:pPr>
            <w:r>
              <w:t>Setup here which kind of output structure you want:</w:t>
            </w:r>
          </w:p>
          <w:p w14:paraId="2C256983" w14:textId="77777777" w:rsidR="00F70580" w:rsidRDefault="00F70580" w:rsidP="006712D2">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6712D2">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6712D2">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6712D2">
            <w:pPr>
              <w:pStyle w:val="TabellenInhalt"/>
            </w:pPr>
            <w:r>
              <w:t>Configure here the attributes you want to read from the json objects.</w:t>
            </w:r>
          </w:p>
          <w:p w14:paraId="330B813E" w14:textId="77777777" w:rsidR="00F70580" w:rsidRDefault="00F70580" w:rsidP="006712D2">
            <w:pPr>
              <w:pStyle w:val="TabellenInhalt"/>
            </w:pPr>
            <w:r w:rsidRPr="00A23B0E">
              <w:rPr>
                <w:b/>
              </w:rPr>
              <w:t>Column:</w:t>
            </w:r>
            <w:r>
              <w:t xml:space="preserve"> the schema column</w:t>
            </w:r>
          </w:p>
          <w:p w14:paraId="5B6A002A" w14:textId="77777777" w:rsidR="00F70580" w:rsidRDefault="00F70580" w:rsidP="006712D2">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5762385F" w14:textId="62772FAC" w:rsidR="009A155C" w:rsidRDefault="009A155C" w:rsidP="006712D2">
            <w:pPr>
              <w:pStyle w:val="TabellenInhalt"/>
            </w:pPr>
            <w:r>
              <w:t>If this expression results in an empty or null name, the schema name will be used instead.</w:t>
            </w:r>
          </w:p>
          <w:p w14:paraId="1FACC24A" w14:textId="77777777" w:rsidR="00F70580" w:rsidRDefault="00F70580" w:rsidP="006712D2">
            <w:pPr>
              <w:pStyle w:val="TabellenInhalt"/>
            </w:pPr>
            <w:r w:rsidRPr="00A23B0E">
              <w:rPr>
                <w:b/>
              </w:rPr>
              <w:t>Use Column:</w:t>
            </w:r>
            <w:r>
              <w:t xml:space="preserve"> Decide here which column you want to fill from the json object.</w:t>
            </w:r>
          </w:p>
          <w:p w14:paraId="408E0DB9" w14:textId="3AB2391E" w:rsidR="00651EE0" w:rsidRDefault="00651EE0" w:rsidP="006712D2">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6712D2">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6712D2">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77777777" w:rsidR="00F46D4D" w:rsidRDefault="00F46D4D"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r w:rsidR="00F52208" w14:paraId="20807DAB"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26EC4C04" w14:textId="436676E0" w:rsidR="00F52208" w:rsidRDefault="00DF4FC0" w:rsidP="006712D2">
            <w:pPr>
              <w:pStyle w:val="TabellenInhalt"/>
            </w:pPr>
            <w:r>
              <w:t>CURRENT_PATH</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522CECAD" w14:textId="382EE13B" w:rsidR="00F52208" w:rsidRDefault="00DF4FC0" w:rsidP="00F46D4D">
            <w:pPr>
              <w:pStyle w:val="TabellenInhalt"/>
            </w:pPr>
            <w:r>
              <w:t>The path to the current node as JSON-Path String</w:t>
            </w:r>
          </w:p>
        </w:tc>
      </w:tr>
    </w:tbl>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w:t>
      </w:r>
      <w:proofErr w:type="gramStart"/>
      <w:r>
        <w:t>one.level</w:t>
      </w:r>
      <w:proofErr w:type="gramEnd"/>
      <w:r>
        <w:t>-two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3">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w:t>
      </w:r>
      <w:proofErr w:type="gramStart"/>
      <w:r>
        <w:rPr>
          <w:rFonts w:ascii="Courier" w:hAnsi="Courier" w:cs="Courier"/>
        </w:rPr>
        <w:t>" :</w:t>
      </w:r>
      <w:proofErr w:type="gramEnd"/>
      <w:r>
        <w:rPr>
          <w:rFonts w:ascii="Courier" w:hAnsi="Courier" w:cs="Courier"/>
        </w:rPr>
        <w:t xml:space="preserve">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w:t>
      </w:r>
      <w:proofErr w:type="gramStart"/>
      <w:r>
        <w:rPr>
          <w:rFonts w:ascii="Courier" w:hAnsi="Courier" w:cs="Courier"/>
        </w:rPr>
        <w:t>" :</w:t>
      </w:r>
      <w:proofErr w:type="gramEnd"/>
      <w:r>
        <w:rPr>
          <w:rFonts w:ascii="Courier" w:hAnsi="Courier" w:cs="Courier"/>
        </w:rPr>
        <w:t xml:space="preserve">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w:t>
      </w:r>
      <w:proofErr w:type="gramStart"/>
      <w:r>
        <w:rPr>
          <w:rFonts w:ascii="Courier" w:hAnsi="Courier" w:cs="Courier"/>
        </w:rPr>
        <w:t>" :</w:t>
      </w:r>
      <w:proofErr w:type="gramEnd"/>
      <w:r>
        <w:rPr>
          <w:rFonts w:ascii="Courier" w:hAnsi="Courier" w:cs="Courier"/>
        </w:rPr>
        <w:t xml:space="preserve">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w:t>
      </w:r>
      <w:proofErr w:type="gramStart"/>
      <w:r>
        <w:rPr>
          <w:rFonts w:ascii="Courier" w:hAnsi="Courier" w:cs="Courier"/>
        </w:rPr>
        <w:t>" :</w:t>
      </w:r>
      <w:proofErr w:type="gramEnd"/>
      <w:r>
        <w:rPr>
          <w:rFonts w:ascii="Courier" w:hAnsi="Courier" w:cs="Courier"/>
        </w:rPr>
        <w:t xml:space="preserve">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1ABA81CD" w:rsidR="00B37586" w:rsidRDefault="00B37586" w:rsidP="006712D2">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6712D2">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6712D2">
            <w:pPr>
              <w:pStyle w:val="TabellenInhalt"/>
            </w:pPr>
            <w:r>
              <w:t>With this option and the file chooser setup the output file in which the conent will be written. The charset is UTF-8 and it uses UNIX style line breaks.</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6712D2">
            <w:pPr>
              <w:pStyle w:val="TabellenInhalt"/>
            </w:pPr>
            <w:r>
              <w:t xml:space="preserve">If there is an output flow, choose here the column in which the content </w:t>
            </w:r>
            <w:proofErr w:type="gramStart"/>
            <w:r>
              <w:t>have</w:t>
            </w:r>
            <w:proofErr w:type="gramEnd"/>
            <w:r>
              <w:t xml:space="preserve"> to set as value.</w:t>
            </w:r>
          </w:p>
          <w:p w14:paraId="22546EB9" w14:textId="2FE4D97C" w:rsidR="00425390" w:rsidRDefault="00425390" w:rsidP="006712D2">
            <w:pPr>
              <w:pStyle w:val="TabellenInhalt"/>
            </w:pPr>
            <w:r>
              <w:t>As column type String is needed.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6712D2">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6712D2">
            <w:pPr>
              <w:pStyle w:val="TabellenInhalt"/>
            </w:pPr>
            <w:r>
              <w:t>Empty values and arrays will be filtered out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r w:rsidR="00425390" w14:paraId="354D38F9"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6712D2">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6712D2">
            <w:pPr>
              <w:pStyle w:val="TabellenInhalt"/>
            </w:pPr>
            <w:r>
              <w:t>The String content of the json document.</w:t>
            </w:r>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203BD1"/>
    <w:rsid w:val="002322D7"/>
    <w:rsid w:val="0026755E"/>
    <w:rsid w:val="002E0D2C"/>
    <w:rsid w:val="0034417D"/>
    <w:rsid w:val="00350141"/>
    <w:rsid w:val="00354582"/>
    <w:rsid w:val="003C5E52"/>
    <w:rsid w:val="003D10FA"/>
    <w:rsid w:val="0040726A"/>
    <w:rsid w:val="00425390"/>
    <w:rsid w:val="00462B85"/>
    <w:rsid w:val="00476C21"/>
    <w:rsid w:val="004967D5"/>
    <w:rsid w:val="004B5DE2"/>
    <w:rsid w:val="004C5E67"/>
    <w:rsid w:val="004D14F9"/>
    <w:rsid w:val="004E7A38"/>
    <w:rsid w:val="005852C6"/>
    <w:rsid w:val="00597C6C"/>
    <w:rsid w:val="005B186F"/>
    <w:rsid w:val="00631613"/>
    <w:rsid w:val="00632F50"/>
    <w:rsid w:val="00651EE0"/>
    <w:rsid w:val="00665C6B"/>
    <w:rsid w:val="006D72C7"/>
    <w:rsid w:val="006E5BF8"/>
    <w:rsid w:val="00747D43"/>
    <w:rsid w:val="007A0B4F"/>
    <w:rsid w:val="007F3544"/>
    <w:rsid w:val="00815E48"/>
    <w:rsid w:val="008455BD"/>
    <w:rsid w:val="0085151D"/>
    <w:rsid w:val="008A32C3"/>
    <w:rsid w:val="00905276"/>
    <w:rsid w:val="00957CA2"/>
    <w:rsid w:val="009A155C"/>
    <w:rsid w:val="009D3885"/>
    <w:rsid w:val="009F6EEC"/>
    <w:rsid w:val="00A21161"/>
    <w:rsid w:val="00A23B0E"/>
    <w:rsid w:val="00AA412A"/>
    <w:rsid w:val="00AC0E1C"/>
    <w:rsid w:val="00AF2944"/>
    <w:rsid w:val="00B37586"/>
    <w:rsid w:val="00B665B2"/>
    <w:rsid w:val="00BC6C16"/>
    <w:rsid w:val="00BD050F"/>
    <w:rsid w:val="00BD0ADD"/>
    <w:rsid w:val="00C73B6C"/>
    <w:rsid w:val="00C9339E"/>
    <w:rsid w:val="00CD0330"/>
    <w:rsid w:val="00D72EA4"/>
    <w:rsid w:val="00DB588A"/>
    <w:rsid w:val="00DF4FC0"/>
    <w:rsid w:val="00E02C20"/>
    <w:rsid w:val="00E25A7C"/>
    <w:rsid w:val="00E371F8"/>
    <w:rsid w:val="00E61F4D"/>
    <w:rsid w:val="00E71B76"/>
    <w:rsid w:val="00EB0081"/>
    <w:rsid w:val="00EB7EAE"/>
    <w:rsid w:val="00ED7A22"/>
    <w:rsid w:val="00F007D6"/>
    <w:rsid w:val="00F17AA1"/>
    <w:rsid w:val="00F4327F"/>
    <w:rsid w:val="00F46D4D"/>
    <w:rsid w:val="00F52208"/>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2917</Words>
  <Characters>16627</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9</cp:revision>
  <cp:lastPrinted>2016-07-29T07:26:00Z</cp:lastPrinted>
  <dcterms:created xsi:type="dcterms:W3CDTF">2016-07-29T07:26:00Z</dcterms:created>
  <dcterms:modified xsi:type="dcterms:W3CDTF">2016-09-04T11:18:00Z</dcterms:modified>
</cp:coreProperties>
</file>