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3BAF" w14:textId="05987A0B" w:rsidR="004B5CBC" w:rsidRDefault="004B5CBC" w:rsidP="004B5CBC">
      <w:pPr>
        <w:spacing w:line="360" w:lineRule="auto"/>
      </w:pPr>
      <w:r>
        <w:rPr>
          <w:rFonts w:hint="eastAsia"/>
        </w:rPr>
        <w:t>Abstract</w:t>
      </w:r>
      <w:r>
        <w:rPr>
          <w:rFonts w:hint="eastAsia"/>
        </w:rPr>
        <w:t>：</w:t>
      </w:r>
    </w:p>
    <w:p w14:paraId="7B80C95D" w14:textId="44B56E70" w:rsidR="004B5CBC" w:rsidRDefault="004B5CBC" w:rsidP="004B5CBC">
      <w:pPr>
        <w:spacing w:line="360" w:lineRule="auto"/>
      </w:pPr>
      <w:r w:rsidRPr="004B5CBC">
        <w:rPr>
          <w:rFonts w:hint="eastAsia"/>
        </w:rPr>
        <w:t>工程功能微生物群落的非生物抗逆性不足，长期制约着高盐难降解工业废水处理、固体废物生物资源化与污染环境修复等生物处理体系在非生物胁迫下的稳定运行</w:t>
      </w:r>
      <w:r w:rsidR="008027DD">
        <w:rPr>
          <w:rFonts w:hint="eastAsia"/>
        </w:rPr>
        <w:t>。</w:t>
      </w:r>
      <w:r w:rsidRPr="004B5CBC">
        <w:rPr>
          <w:rFonts w:hint="eastAsia"/>
        </w:rPr>
        <w:t>相容性溶质赋予微生物广谱交叉抗逆能力，但产相容性溶质功能微生物在上述场景中尚未得到定向开发与工程化利用，且该领域缺乏贯通“胁迫情景诊断—目标功能菌株定向筛选—调控策略性能预评估”全流程的统一方法与平台。为此，本研究构建了面向相容性溶质功能</w:t>
      </w:r>
      <w:r w:rsidR="008027DD">
        <w:rPr>
          <w:rFonts w:hint="eastAsia"/>
        </w:rPr>
        <w:t>微生物</w:t>
      </w:r>
      <w:r w:rsidRPr="004B5CBC">
        <w:rPr>
          <w:rFonts w:hint="eastAsia"/>
        </w:rPr>
        <w:t>资源挖掘的领域智能</w:t>
      </w:r>
      <w:r w:rsidRPr="004B5CBC">
        <w:rPr>
          <w:rFonts w:hint="eastAsia"/>
        </w:rPr>
        <w:t>Agent</w:t>
      </w:r>
      <w:r w:rsidRPr="004B5CBC">
        <w:rPr>
          <w:rFonts w:hint="eastAsia"/>
        </w:rPr>
        <w:t>分析系统：以</w:t>
      </w:r>
      <w:r w:rsidRPr="004B5CBC">
        <w:rPr>
          <w:rFonts w:hint="eastAsia"/>
        </w:rPr>
        <w:t>4300</w:t>
      </w:r>
      <w:r w:rsidRPr="004B5CBC">
        <w:rPr>
          <w:rFonts w:hint="eastAsia"/>
        </w:rPr>
        <w:t>余篇按胁迫类型分类的相容性溶质文献知识库和极端环境微生物组数据集为核心底座，集成定量功能互作分析模型，实现不同工业胁迫情景下目标功能菌株的智能筛选与调控策略预评估；并结合</w:t>
      </w:r>
      <w:r w:rsidRPr="004B5CBC">
        <w:rPr>
          <w:rFonts w:hint="eastAsia"/>
        </w:rPr>
        <w:t>anammox</w:t>
      </w:r>
      <w:r w:rsidRPr="004B5CBC">
        <w:rPr>
          <w:rFonts w:hint="eastAsia"/>
        </w:rPr>
        <w:t>体系盐度胁迫实证实验，从系统脱氮性能变化、群落结构演替到分子水平功能互作机制逐层定量解析。研究结果可为复杂胁迫环境下工程微生物系统的性能强化提供一条可部署、跨场景可复用的技术路径。</w:t>
      </w:r>
    </w:p>
    <w:p w14:paraId="35D08269" w14:textId="77777777" w:rsidR="004B5CBC" w:rsidRDefault="004B5CBC">
      <w:pPr>
        <w:spacing w:line="360" w:lineRule="auto"/>
        <w:ind w:firstLine="480"/>
      </w:pPr>
    </w:p>
    <w:p w14:paraId="629EF9FE" w14:textId="77777777" w:rsidR="004B5CBC" w:rsidRDefault="004B5CBC">
      <w:pPr>
        <w:spacing w:line="360" w:lineRule="auto"/>
        <w:ind w:firstLine="480"/>
      </w:pPr>
    </w:p>
    <w:p w14:paraId="1FEFA1D4" w14:textId="77777777" w:rsidR="004B5CBC" w:rsidRDefault="004B5CBC">
      <w:pPr>
        <w:spacing w:line="360" w:lineRule="auto"/>
        <w:ind w:firstLine="480"/>
      </w:pPr>
    </w:p>
    <w:p w14:paraId="781F4E9E" w14:textId="22FD73F5" w:rsidR="004B5CBC" w:rsidRDefault="004B5CBC" w:rsidP="004B5CBC">
      <w:pPr>
        <w:spacing w:line="360" w:lineRule="auto"/>
      </w:pPr>
      <w:r>
        <w:t>I</w:t>
      </w:r>
      <w:r>
        <w:rPr>
          <w:rFonts w:hint="eastAsia"/>
        </w:rPr>
        <w:t>ntroduction</w:t>
      </w:r>
    </w:p>
    <w:p w14:paraId="47B7772C" w14:textId="6C89A8D8" w:rsidR="003A5E0D" w:rsidRDefault="00000000">
      <w:pPr>
        <w:spacing w:line="360" w:lineRule="auto"/>
        <w:ind w:firstLine="480"/>
      </w:pPr>
      <w:r>
        <w:t>相容性溶质是极端微生物经长期适应性进化形成的核心</w:t>
      </w:r>
      <w:r w:rsidR="002C7FA9">
        <w:rPr>
          <w:rFonts w:hint="eastAsia"/>
        </w:rPr>
        <w:t>普适性</w:t>
      </w:r>
      <w:r>
        <w:t>抗逆策略。</w:t>
      </w:r>
      <w:commentRangeStart w:id="0"/>
      <w:r>
        <w:t>这类小分子有机渗透物可在不干扰胞内正常代谢的前提下高浓度积累</w:t>
      </w:r>
      <w:commentRangeEnd w:id="0"/>
      <w:r w:rsidR="002C7FA9">
        <w:rPr>
          <w:rStyle w:val="af"/>
        </w:rPr>
        <w:commentReference w:id="0"/>
      </w:r>
      <w:r>
        <w:t>，既能通过离子</w:t>
      </w:r>
      <w:r>
        <w:t>-</w:t>
      </w:r>
      <w:r>
        <w:t>溶质协同作用快速平衡胞内外渗透压，又能稳定蛋白质、核酸与细胞膜的水合壳，实现广谱生物结构保护</w:t>
      </w:r>
      <w:r w:rsidR="00F84067">
        <w:rPr>
          <w:rFonts w:hint="eastAsia"/>
        </w:rPr>
        <w:t>。</w:t>
      </w:r>
      <w:r>
        <w:t>且该保护效应大多不依赖特定胁迫类型，单一溶质常同时赋予微生物耐盐、耐温、耐</w:t>
      </w:r>
      <w:r>
        <w:t>pH</w:t>
      </w:r>
      <w:r>
        <w:t>、耐干燥、抗辐射与抗压力的交叉保护能力。目前</w:t>
      </w:r>
      <w:r w:rsidR="002C7FA9">
        <w:rPr>
          <w:rFonts w:hint="eastAsia"/>
        </w:rPr>
        <w:t>这类资源</w:t>
      </w:r>
      <w:r>
        <w:t>已在食品、化妆品及合成生物学等领域获得广泛应用，但在环境修复与资源回收</w:t>
      </w:r>
      <w:r w:rsidR="002C7FA9">
        <w:rPr>
          <w:rFonts w:hint="eastAsia"/>
        </w:rPr>
        <w:t>场景</w:t>
      </w:r>
      <w:r>
        <w:t>中尚未得到定向开发与工程化利用。</w:t>
      </w:r>
    </w:p>
    <w:p w14:paraId="27C3FDEE" w14:textId="77777777" w:rsidR="002C7FA9" w:rsidRDefault="002C7FA9">
      <w:pPr>
        <w:spacing w:line="360" w:lineRule="auto"/>
        <w:ind w:firstLine="480"/>
      </w:pPr>
      <w:r w:rsidRPr="002C7FA9">
        <w:rPr>
          <w:rFonts w:hint="eastAsia"/>
        </w:rPr>
        <w:t>在环境修复与资源回收场景中定向引入产相容性溶质功能微生物，是突破人工功能群落环境抗逆性不足瓶颈的重要途径。当前已构建的工程微生物群落大多未经过极端环境下的长期定向选择，无法自主形成高效的相容性溶质合成与调控通路，直接导致高盐</w:t>
      </w:r>
      <w:r w:rsidRPr="002C7FA9">
        <w:rPr>
          <w:rFonts w:hint="eastAsia"/>
        </w:rPr>
        <w:t>/</w:t>
      </w:r>
      <w:r w:rsidRPr="002C7FA9">
        <w:rPr>
          <w:rFonts w:hint="eastAsia"/>
        </w:rPr>
        <w:t>制药难降解工业废水生物处理、厌氧发酵产沼气固废资源化、重金属污染水体生物修复等典型系统，在遭遇盐度冲击、酸碱波动、极端温</w:t>
      </w:r>
      <w:r w:rsidRPr="002C7FA9">
        <w:rPr>
          <w:rFonts w:hint="eastAsia"/>
        </w:rPr>
        <w:lastRenderedPageBreak/>
        <w:t>度等非生物胁迫时，运行稳定性与处理效率大幅下降。目前该领域的工程应用总体仍停留在单点实证探索阶段，常见实践包括利用海洋耐盐菌提升产甲烷量或反硝化效率，尚未形成统一的方法与公共平台支撑“胁迫情景诊断</w:t>
      </w:r>
      <w:r w:rsidRPr="002C7FA9">
        <w:rPr>
          <w:rFonts w:hint="eastAsia"/>
        </w:rPr>
        <w:t>-</w:t>
      </w:r>
      <w:r w:rsidRPr="002C7FA9">
        <w:rPr>
          <w:rFonts w:hint="eastAsia"/>
        </w:rPr>
        <w:t>目标功能菌株定向筛选</w:t>
      </w:r>
      <w:r w:rsidRPr="002C7FA9">
        <w:rPr>
          <w:rFonts w:hint="eastAsia"/>
        </w:rPr>
        <w:t>-</w:t>
      </w:r>
      <w:r w:rsidRPr="002C7FA9">
        <w:rPr>
          <w:rFonts w:hint="eastAsia"/>
        </w:rPr>
        <w:t>调控策略绩效预评估”全流程，大量零散文献数据、极端微生物组信息与实证结果无法实现高效复用，严重制约了这类天然抗逆资源的大规模转化与实际落地。</w:t>
      </w:r>
    </w:p>
    <w:p w14:paraId="5C40AAF9" w14:textId="2358E201" w:rsidR="003A5E0D" w:rsidRDefault="00000000">
      <w:pPr>
        <w:spacing w:line="360" w:lineRule="auto"/>
        <w:ind w:firstLine="480"/>
      </w:pPr>
      <w:r>
        <w:t>面向特定领域的智能</w:t>
      </w:r>
      <w:r>
        <w:t>Agent</w:t>
      </w:r>
      <w:r>
        <w:t>有望突破这一长期存在的技术空白。与一般大语言模型的泛化输出不同，领域</w:t>
      </w:r>
      <w:r>
        <w:t>Agent</w:t>
      </w:r>
      <w:r>
        <w:t>通过集成结构化知识库、专业工具与定量分析模型，打通文献、公共数据库与实验经验之间的信息壁垒。在环境领域，多智能体大语言模型框架已被</w:t>
      </w:r>
      <w:r w:rsidR="004B5CBC">
        <w:rPr>
          <w:rFonts w:hint="eastAsia"/>
        </w:rPr>
        <w:t>提出</w:t>
      </w:r>
      <w:r>
        <w:t>优化废水处理系统的工艺诊断与运行调控</w:t>
      </w:r>
      <w:r w:rsidR="004B5CBC">
        <w:rPr>
          <w:rFonts w:hint="eastAsia"/>
        </w:rPr>
        <w:t>，并展示出应用潜力</w:t>
      </w:r>
      <w:r>
        <w:t>（</w:t>
      </w:r>
      <w:proofErr w:type="spellStart"/>
      <w:r>
        <w:t>Rothfarb</w:t>
      </w:r>
      <w:proofErr w:type="spellEnd"/>
      <w:r>
        <w:t xml:space="preserve"> et al., 2025</w:t>
      </w:r>
      <w:r>
        <w:t>）；在微生物应用方向，</w:t>
      </w:r>
      <w:r>
        <w:t>CRISPR-GPT</w:t>
      </w:r>
      <w:r>
        <w:t>可自动完成基因编辑实验的方案设计与步骤规划（</w:t>
      </w:r>
      <w:r>
        <w:t>Qu et al., 2024</w:t>
      </w:r>
      <w:r>
        <w:t>），基于</w:t>
      </w:r>
      <w:r>
        <w:t>LLM</w:t>
      </w:r>
      <w:r>
        <w:t>的蛋白质功能预测</w:t>
      </w:r>
      <w:r>
        <w:t>Agent</w:t>
      </w:r>
      <w:r>
        <w:t>则加速了基因功能注释与候选蛋白筛选（</w:t>
      </w:r>
      <w:r>
        <w:t>Zhapa-Camacho et al., 2025</w:t>
      </w:r>
      <w:r>
        <w:t>）。在更广的化学研究中，</w:t>
      </w:r>
      <w:r>
        <w:t>ChemCrow</w:t>
      </w:r>
      <w:r>
        <w:t>集成多种专家化学工具，可自主规划并完成有机合成任务，甚至辅助发现了具有杀虫活性的新化合物（</w:t>
      </w:r>
      <w:r>
        <w:t>Bran et al., 2024</w:t>
      </w:r>
      <w:r>
        <w:t>）；</w:t>
      </w:r>
      <w:r>
        <w:t>Coscientist</w:t>
      </w:r>
      <w:r>
        <w:t>实现了大语言模型对真实化学实验的自主设计、编排与执行（</w:t>
      </w:r>
      <w:r>
        <w:t>Boiko et al., 2023</w:t>
      </w:r>
      <w:r>
        <w:t>）。这些进展表明</w:t>
      </w:r>
      <w:r>
        <w:t>Agent</w:t>
      </w:r>
      <w:r>
        <w:t>在需要专业知识集成与多步推理的领域已具备实质推动能力；然而，此类</w:t>
      </w:r>
      <w:r>
        <w:t>Agent</w:t>
      </w:r>
      <w:r>
        <w:t>在微生物抗逆资源挖掘、特别是产相容性溶质功能菌定向筛选与环境生物处理应用方面仍属空白。将</w:t>
      </w:r>
      <w:r>
        <w:t>Agent</w:t>
      </w:r>
      <w:r>
        <w:t>技术引入产相容性溶质微生物研究：以相容性溶质文献知识库、极端微生物组数据集和定量功能互作分析模型为底座，可自动完成目标菌株胁迫适应分析、群落功能互作推断与调控方案优化；研究人员只需给出基于场景的需求描述，即可获得可部署的生物强化方案，为产溶质功能微生物在工业生物处理与生物制造体系中的精准应用提供系统的智能支持。</w:t>
      </w:r>
    </w:p>
    <w:p w14:paraId="37EBFD75" w14:textId="77777777" w:rsidR="003A5E0D" w:rsidRDefault="00000000">
      <w:pPr>
        <w:spacing w:line="360" w:lineRule="auto"/>
        <w:ind w:firstLine="480"/>
      </w:pPr>
      <w:r>
        <w:t>针对上述研究空白，本研究构建了面向相容性溶质功能资源挖掘的领域智能</w:t>
      </w:r>
      <w:r>
        <w:t>Agent</w:t>
      </w:r>
      <w:r>
        <w:t>分析系统：以</w:t>
      </w:r>
      <w:r>
        <w:t>4300</w:t>
      </w:r>
      <w:r>
        <w:t>余篇按胁迫类型分类的相容性溶质文献知识库和极端环境微生物组数据集为核心底座，实现不同工业胁迫情景下目标功能菌株的智能筛选与调控策略预评估；并结合</w:t>
      </w:r>
      <w:r>
        <w:t>anammox</w:t>
      </w:r>
      <w:r>
        <w:t>体系盐度胁迫实证实验，从系统脱氮性能变化、群落结构演替到分子水平功能互作机制逐层定量解析，为复杂胁迫环</w:t>
      </w:r>
      <w:r>
        <w:lastRenderedPageBreak/>
        <w:t>境下工程微生物系统的性能强化提供一条可部署、跨场景可复用的技术路径。</w:t>
      </w:r>
    </w:p>
    <w:sectPr w:rsidR="003A5E0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uejiao Qiao" w:date="2026-09-16T10:52:00Z" w:initials="XQ">
    <w:p w14:paraId="4FE08A6D" w14:textId="313268B9" w:rsidR="002C7FA9" w:rsidRDefault="002C7FA9">
      <w:pPr>
        <w:pStyle w:val="af0"/>
      </w:pPr>
      <w:r>
        <w:rPr>
          <w:rStyle w:val="af"/>
        </w:rPr>
        <w:annotationRef/>
      </w:r>
      <w:r>
        <w:rPr>
          <w:rFonts w:ascii="PingFang SC" w:eastAsia="PingFang SC" w:hAnsi="PingFang SC" w:hint="eastAsia"/>
          <w:color w:val="333333"/>
          <w:shd w:val="clear" w:color="auto" w:fill="FFFFFF"/>
        </w:rPr>
        <w:t>在高盐、极端温度与pH频繁波动的自然极端生境中，常驻微生物依托该机制建立了覆盖渗透调节、分子稳定与交叉保护的完整抗逆功能体系。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E08A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5914CE" w16cex:dateUtc="2026-09-16T0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E08A6D" w16cid:durableId="595914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ingFang SC">
    <w:panose1 w:val="020B0400000000000000"/>
    <w:charset w:val="86"/>
    <w:family w:val="swiss"/>
    <w:pitch w:val="variable"/>
    <w:sig w:usb0="A00002FF" w:usb1="7ACFFDFB" w:usb2="00000017"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C4331"/>
    <w:multiLevelType w:val="multilevel"/>
    <w:tmpl w:val="D892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6315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ejiao Qiao">
    <w15:presenceInfo w15:providerId="Windows Live" w15:userId="916c80f66433c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BED"/>
    <w:rsid w:val="0008241A"/>
    <w:rsid w:val="000B2AC5"/>
    <w:rsid w:val="00115030"/>
    <w:rsid w:val="0012082C"/>
    <w:rsid w:val="00151AA8"/>
    <w:rsid w:val="001755A2"/>
    <w:rsid w:val="001F094A"/>
    <w:rsid w:val="00217C68"/>
    <w:rsid w:val="002C7FA9"/>
    <w:rsid w:val="00320C0E"/>
    <w:rsid w:val="00335B2D"/>
    <w:rsid w:val="003453E5"/>
    <w:rsid w:val="003A5AF6"/>
    <w:rsid w:val="003A5E0D"/>
    <w:rsid w:val="003A769D"/>
    <w:rsid w:val="003E7E71"/>
    <w:rsid w:val="00466F74"/>
    <w:rsid w:val="004B5CBC"/>
    <w:rsid w:val="005377E3"/>
    <w:rsid w:val="005C15DA"/>
    <w:rsid w:val="00667B7D"/>
    <w:rsid w:val="00674E33"/>
    <w:rsid w:val="00686D65"/>
    <w:rsid w:val="00721B73"/>
    <w:rsid w:val="007C013E"/>
    <w:rsid w:val="008027DD"/>
    <w:rsid w:val="00813C23"/>
    <w:rsid w:val="008401BD"/>
    <w:rsid w:val="00936FF8"/>
    <w:rsid w:val="00950C9C"/>
    <w:rsid w:val="00992BED"/>
    <w:rsid w:val="009C5BC3"/>
    <w:rsid w:val="009C7CA3"/>
    <w:rsid w:val="00A3509D"/>
    <w:rsid w:val="00B10537"/>
    <w:rsid w:val="00B30D39"/>
    <w:rsid w:val="00B6264D"/>
    <w:rsid w:val="00B84DB4"/>
    <w:rsid w:val="00C32E89"/>
    <w:rsid w:val="00CD27CF"/>
    <w:rsid w:val="00CD29FA"/>
    <w:rsid w:val="00DE32C2"/>
    <w:rsid w:val="00E56427"/>
    <w:rsid w:val="00EA519C"/>
    <w:rsid w:val="00F26ACD"/>
    <w:rsid w:val="00F840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6933FC"/>
  <w15:chartTrackingRefBased/>
  <w15:docId w15:val="{E08E9273-80B8-914A-9BFE-8A519AEF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sz w:val="24"/>
    </w:rPr>
  </w:style>
  <w:style w:type="paragraph" w:styleId="1">
    <w:name w:val="heading 1"/>
    <w:basedOn w:val="a"/>
    <w:next w:val="a"/>
    <w:link w:val="10"/>
    <w:uiPriority w:val="9"/>
    <w:qFormat/>
    <w:rsid w:val="00992B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2B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2B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2B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2BE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992BE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2BE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2BE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92BE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2B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2B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2B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2BED"/>
    <w:rPr>
      <w:rFonts w:cstheme="majorBidi"/>
      <w:color w:val="0F4761" w:themeColor="accent1" w:themeShade="BF"/>
      <w:sz w:val="28"/>
      <w:szCs w:val="28"/>
    </w:rPr>
  </w:style>
  <w:style w:type="character" w:customStyle="1" w:styleId="50">
    <w:name w:val="标题 5 字符"/>
    <w:basedOn w:val="a0"/>
    <w:link w:val="5"/>
    <w:uiPriority w:val="9"/>
    <w:semiHidden/>
    <w:rsid w:val="00992BED"/>
    <w:rPr>
      <w:rFonts w:cstheme="majorBidi"/>
      <w:color w:val="0F4761" w:themeColor="accent1" w:themeShade="BF"/>
      <w:sz w:val="24"/>
    </w:rPr>
  </w:style>
  <w:style w:type="character" w:customStyle="1" w:styleId="60">
    <w:name w:val="标题 6 字符"/>
    <w:basedOn w:val="a0"/>
    <w:link w:val="6"/>
    <w:uiPriority w:val="9"/>
    <w:semiHidden/>
    <w:rsid w:val="00992BED"/>
    <w:rPr>
      <w:rFonts w:cstheme="majorBidi"/>
      <w:b/>
      <w:bCs/>
      <w:color w:val="0F4761" w:themeColor="accent1" w:themeShade="BF"/>
    </w:rPr>
  </w:style>
  <w:style w:type="character" w:customStyle="1" w:styleId="70">
    <w:name w:val="标题 7 字符"/>
    <w:basedOn w:val="a0"/>
    <w:link w:val="7"/>
    <w:uiPriority w:val="9"/>
    <w:semiHidden/>
    <w:rsid w:val="00992BED"/>
    <w:rPr>
      <w:rFonts w:cstheme="majorBidi"/>
      <w:b/>
      <w:bCs/>
      <w:color w:val="595959" w:themeColor="text1" w:themeTint="A6"/>
    </w:rPr>
  </w:style>
  <w:style w:type="character" w:customStyle="1" w:styleId="80">
    <w:name w:val="标题 8 字符"/>
    <w:basedOn w:val="a0"/>
    <w:link w:val="8"/>
    <w:uiPriority w:val="9"/>
    <w:semiHidden/>
    <w:rsid w:val="00992BED"/>
    <w:rPr>
      <w:rFonts w:cstheme="majorBidi"/>
      <w:color w:val="595959" w:themeColor="text1" w:themeTint="A6"/>
    </w:rPr>
  </w:style>
  <w:style w:type="character" w:customStyle="1" w:styleId="90">
    <w:name w:val="标题 9 字符"/>
    <w:basedOn w:val="a0"/>
    <w:link w:val="9"/>
    <w:uiPriority w:val="9"/>
    <w:semiHidden/>
    <w:rsid w:val="00992BED"/>
    <w:rPr>
      <w:rFonts w:eastAsiaTheme="majorEastAsia" w:cstheme="majorBidi"/>
      <w:color w:val="595959" w:themeColor="text1" w:themeTint="A6"/>
    </w:rPr>
  </w:style>
  <w:style w:type="paragraph" w:styleId="a3">
    <w:name w:val="Title"/>
    <w:basedOn w:val="a"/>
    <w:next w:val="a"/>
    <w:link w:val="a4"/>
    <w:uiPriority w:val="10"/>
    <w:qFormat/>
    <w:rsid w:val="00992B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2B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2B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2B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2BED"/>
    <w:pPr>
      <w:spacing w:before="160" w:after="160"/>
      <w:jc w:val="center"/>
    </w:pPr>
    <w:rPr>
      <w:i/>
      <w:iCs/>
      <w:color w:val="404040" w:themeColor="text1" w:themeTint="BF"/>
    </w:rPr>
  </w:style>
  <w:style w:type="character" w:customStyle="1" w:styleId="a8">
    <w:name w:val="引用 字符"/>
    <w:basedOn w:val="a0"/>
    <w:link w:val="a7"/>
    <w:uiPriority w:val="29"/>
    <w:rsid w:val="00992BED"/>
    <w:rPr>
      <w:i/>
      <w:iCs/>
      <w:color w:val="404040" w:themeColor="text1" w:themeTint="BF"/>
    </w:rPr>
  </w:style>
  <w:style w:type="paragraph" w:styleId="a9">
    <w:name w:val="List Paragraph"/>
    <w:basedOn w:val="a"/>
    <w:uiPriority w:val="34"/>
    <w:qFormat/>
    <w:rsid w:val="00992BED"/>
    <w:pPr>
      <w:ind w:left="720"/>
      <w:contextualSpacing/>
    </w:pPr>
  </w:style>
  <w:style w:type="character" w:styleId="aa">
    <w:name w:val="Intense Emphasis"/>
    <w:basedOn w:val="a0"/>
    <w:uiPriority w:val="21"/>
    <w:qFormat/>
    <w:rsid w:val="00992BED"/>
    <w:rPr>
      <w:i/>
      <w:iCs/>
      <w:color w:val="0F4761" w:themeColor="accent1" w:themeShade="BF"/>
    </w:rPr>
  </w:style>
  <w:style w:type="paragraph" w:styleId="ab">
    <w:name w:val="Intense Quote"/>
    <w:basedOn w:val="a"/>
    <w:next w:val="a"/>
    <w:link w:val="ac"/>
    <w:uiPriority w:val="30"/>
    <w:qFormat/>
    <w:rsid w:val="00992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2BED"/>
    <w:rPr>
      <w:i/>
      <w:iCs/>
      <w:color w:val="0F4761" w:themeColor="accent1" w:themeShade="BF"/>
    </w:rPr>
  </w:style>
  <w:style w:type="character" w:styleId="ad">
    <w:name w:val="Intense Reference"/>
    <w:basedOn w:val="a0"/>
    <w:uiPriority w:val="32"/>
    <w:qFormat/>
    <w:rsid w:val="00992BED"/>
    <w:rPr>
      <w:b/>
      <w:bCs/>
      <w:smallCaps/>
      <w:color w:val="0F4761" w:themeColor="accent1" w:themeShade="BF"/>
      <w:spacing w:val="5"/>
    </w:rPr>
  </w:style>
  <w:style w:type="paragraph" w:styleId="ae">
    <w:name w:val="Normal (Web)"/>
    <w:basedOn w:val="a"/>
    <w:uiPriority w:val="99"/>
    <w:semiHidden/>
    <w:unhideWhenUsed/>
    <w:rsid w:val="00992BED"/>
    <w:pPr>
      <w:widowControl/>
      <w:spacing w:before="100" w:beforeAutospacing="1" w:after="100" w:afterAutospacing="1"/>
      <w:jc w:val="left"/>
    </w:pPr>
    <w:rPr>
      <w:rFonts w:ascii="宋体" w:hAnsi="宋体" w:cs="宋体"/>
      <w:kern w:val="0"/>
    </w:rPr>
  </w:style>
  <w:style w:type="character" w:styleId="af">
    <w:name w:val="annotation reference"/>
    <w:basedOn w:val="a0"/>
    <w:uiPriority w:val="99"/>
    <w:semiHidden/>
    <w:unhideWhenUsed/>
    <w:rsid w:val="00992BED"/>
    <w:rPr>
      <w:sz w:val="21"/>
      <w:szCs w:val="21"/>
    </w:rPr>
  </w:style>
  <w:style w:type="paragraph" w:styleId="af0">
    <w:name w:val="annotation text"/>
    <w:basedOn w:val="a"/>
    <w:link w:val="af1"/>
    <w:uiPriority w:val="99"/>
    <w:semiHidden/>
    <w:unhideWhenUsed/>
    <w:rsid w:val="00992BED"/>
    <w:pPr>
      <w:jc w:val="left"/>
    </w:pPr>
  </w:style>
  <w:style w:type="character" w:customStyle="1" w:styleId="af1">
    <w:name w:val="批注文字 字符"/>
    <w:basedOn w:val="a0"/>
    <w:link w:val="af0"/>
    <w:uiPriority w:val="99"/>
    <w:semiHidden/>
    <w:rsid w:val="00992BED"/>
  </w:style>
  <w:style w:type="paragraph" w:styleId="af2">
    <w:name w:val="annotation subject"/>
    <w:basedOn w:val="af0"/>
    <w:next w:val="af0"/>
    <w:link w:val="af3"/>
    <w:uiPriority w:val="99"/>
    <w:semiHidden/>
    <w:unhideWhenUsed/>
    <w:rsid w:val="00992BED"/>
    <w:rPr>
      <w:b/>
      <w:bCs/>
    </w:rPr>
  </w:style>
  <w:style w:type="character" w:customStyle="1" w:styleId="af3">
    <w:name w:val="批注主题 字符"/>
    <w:basedOn w:val="af1"/>
    <w:link w:val="af2"/>
    <w:uiPriority w:val="99"/>
    <w:semiHidden/>
    <w:rsid w:val="00992BED"/>
    <w:rPr>
      <w:b/>
      <w:bCs/>
    </w:rPr>
  </w:style>
  <w:style w:type="character" w:styleId="af4">
    <w:name w:val="Strong"/>
    <w:basedOn w:val="a0"/>
    <w:uiPriority w:val="22"/>
    <w:qFormat/>
    <w:rsid w:val="008401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Xuejiao Qiao</dc:creator>
  <cp:keywords/>
  <dc:description/>
  <cp:lastModifiedBy>Xuejiao Qiao</cp:lastModifiedBy>
  <cp:revision>10</cp:revision>
  <dcterms:created xsi:type="dcterms:W3CDTF">2026-09-11T08:19:00Z</dcterms:created>
  <dcterms:modified xsi:type="dcterms:W3CDTF">2026-09-16T08:21:00Z</dcterms:modified>
</cp:coreProperties>
</file>