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ABEC1" w14:textId="77777777" w:rsidR="009230B2" w:rsidRDefault="009230B2">
      <w:pPr>
        <w:spacing w:before="2400"/>
      </w:pPr>
    </w:p>
    <w:p w14:paraId="4394EA73" w14:textId="77777777" w:rsidR="009230B2" w:rsidRDefault="00C11926">
      <w:r>
        <w:rPr>
          <w:b/>
          <w:bCs/>
          <w:color w:val="6B7280"/>
          <w:spacing w:val="60"/>
          <w:sz w:val="22"/>
          <w:szCs w:val="22"/>
        </w:rPr>
        <w:t>SCL CONSULTORES</w:t>
      </w:r>
    </w:p>
    <w:p w14:paraId="42F30CAD" w14:textId="77777777" w:rsidR="009230B2" w:rsidRDefault="00C11926">
      <w:pPr>
        <w:spacing w:after="600"/>
      </w:pPr>
      <w:r>
        <w:rPr>
          <w:color w:val="1F3A5F"/>
          <w:sz w:val="28"/>
          <w:szCs w:val="28"/>
        </w:rPr>
        <w:t>Sistema de Control de Inventario IT</w:t>
      </w:r>
    </w:p>
    <w:p w14:paraId="013A2CF5" w14:textId="77777777" w:rsidR="009230B2" w:rsidRDefault="00C11926">
      <w:pPr>
        <w:spacing w:after="120"/>
      </w:pPr>
      <w:r>
        <w:rPr>
          <w:b/>
          <w:bCs/>
          <w:color w:val="006A93"/>
          <w:sz w:val="24"/>
          <w:szCs w:val="24"/>
        </w:rPr>
        <w:t>Documento 03</w:t>
      </w:r>
    </w:p>
    <w:p w14:paraId="2FDB59E5" w14:textId="77777777" w:rsidR="009230B2" w:rsidRDefault="00C11926">
      <w:pPr>
        <w:pBdr>
          <w:bottom w:val="single" w:sz="12" w:space="12" w:color="1F3A5F"/>
        </w:pBdr>
        <w:spacing w:after="360"/>
      </w:pPr>
      <w:r>
        <w:rPr>
          <w:b/>
          <w:bCs/>
          <w:color w:val="1F3A5F"/>
          <w:sz w:val="52"/>
          <w:szCs w:val="52"/>
        </w:rPr>
        <w:t>Decisiones de arquitectura</w:t>
      </w:r>
    </w:p>
    <w:p w14:paraId="0D146416" w14:textId="77777777" w:rsidR="009230B2" w:rsidRDefault="00C11926">
      <w:pPr>
        <w:spacing w:after="1600" w:line="300" w:lineRule="auto"/>
      </w:pPr>
      <w:r>
        <w:rPr>
          <w:color w:val="374151"/>
          <w:sz w:val="24"/>
          <w:szCs w:val="24"/>
        </w:rPr>
        <w:t>Registro de las decisiones de arquitectura (ADR): contexto, decisión, alternativas descartadas y consecuencias.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9230B2" w14:paraId="53399E4E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506051" w14:textId="77777777" w:rsidR="009230B2" w:rsidRDefault="00C11926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8BEE16" w14:textId="77777777" w:rsidR="009230B2" w:rsidRDefault="00C11926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</w:tr>
      <w:tr w:rsidR="009230B2" w14:paraId="51710573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7AE7C8" w14:textId="77777777" w:rsidR="009230B2" w:rsidRDefault="00C11926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1ACE81" w14:textId="77777777" w:rsidR="009230B2" w:rsidRDefault="00C11926">
            <w:pPr>
              <w:spacing w:line="252" w:lineRule="auto"/>
            </w:pPr>
            <w:r>
              <w:rPr>
                <w:sz w:val="18"/>
                <w:szCs w:val="18"/>
              </w:rPr>
              <w:t>Inventario IT (Next.js 16, Prisma 5, PostgreSQL)</w:t>
            </w:r>
          </w:p>
        </w:tc>
      </w:tr>
      <w:tr w:rsidR="009230B2" w14:paraId="2A661538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EAFDC4" w14:textId="77777777" w:rsidR="009230B2" w:rsidRDefault="00C11926">
            <w:pPr>
              <w:spacing w:line="252" w:lineRule="auto"/>
            </w:pPr>
            <w:r>
              <w:rPr>
                <w:sz w:val="18"/>
                <w:szCs w:val="18"/>
              </w:rPr>
              <w:t>Versión del 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16451D" w14:textId="77777777" w:rsidR="009230B2" w:rsidRDefault="00C11926">
            <w:pPr>
              <w:spacing w:line="252" w:lineRule="auto"/>
            </w:pPr>
            <w:r>
              <w:rPr>
                <w:sz w:val="18"/>
                <w:szCs w:val="18"/>
              </w:rPr>
              <w:t>SPEC v2.70 (fuente de verdad: SPEC_SISTEMA_INVENTARIO_IT.md)</w:t>
            </w:r>
          </w:p>
        </w:tc>
      </w:tr>
      <w:tr w:rsidR="009230B2" w14:paraId="274E8F93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48DB37" w14:textId="77777777" w:rsidR="009230B2" w:rsidRDefault="00C11926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0E8699" w14:textId="77777777" w:rsidR="009230B2" w:rsidRDefault="00C11926">
            <w:pPr>
              <w:spacing w:line="252" w:lineRule="auto"/>
            </w:pPr>
            <w:r>
              <w:rPr>
                <w:sz w:val="18"/>
                <w:szCs w:val="18"/>
              </w:rPr>
              <w:t>13 de octubre de 2026</w:t>
            </w:r>
          </w:p>
        </w:tc>
      </w:tr>
      <w:tr w:rsidR="009230B2" w14:paraId="3D7F3D7A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E6B4C6" w14:textId="77777777" w:rsidR="009230B2" w:rsidRDefault="00C11926">
            <w:pPr>
              <w:spacing w:line="252" w:lineRule="auto"/>
            </w:pPr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B1D683" w14:textId="77777777" w:rsidR="009230B2" w:rsidRDefault="00C11926">
            <w:pPr>
              <w:spacing w:line="252" w:lineRule="auto"/>
            </w:pPr>
            <w:r>
              <w:rPr>
                <w:sz w:val="18"/>
                <w:szCs w:val="18"/>
              </w:rPr>
              <w:t>Código del repositorio y SPEC del sistema</w:t>
            </w:r>
          </w:p>
        </w:tc>
      </w:tr>
    </w:tbl>
    <w:p w14:paraId="55663BA6" w14:textId="77777777" w:rsidR="009230B2" w:rsidRDefault="009230B2">
      <w:pPr>
        <w:spacing w:after="60"/>
      </w:pPr>
    </w:p>
    <w:p w14:paraId="4E0B3056" w14:textId="77777777" w:rsidR="009230B2" w:rsidRDefault="00C11926">
      <w:r>
        <w:br w:type="page"/>
      </w:r>
    </w:p>
    <w:p w14:paraId="1E4A35B3" w14:textId="77777777" w:rsidR="009230B2" w:rsidRDefault="00C11926">
      <w:pPr>
        <w:spacing w:after="200"/>
      </w:pPr>
      <w:r>
        <w:rPr>
          <w:b/>
          <w:bCs/>
          <w:color w:val="1F3A5F"/>
          <w:sz w:val="32"/>
          <w:szCs w:val="32"/>
        </w:rPr>
        <w:t>Contenido</w:t>
      </w:r>
    </w:p>
    <w:sdt>
      <w:sdtPr>
        <w:alias w:val="Contenido"/>
        <w:id w:val="-857424528"/>
      </w:sdtPr>
      <w:sdtEndPr/>
      <w:sdtContent>
        <w:p w14:paraId="4FD7D62A" w14:textId="1D200B0D" w:rsidR="000F579D" w:rsidRDefault="00C11926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055218" w:history="1">
            <w:r w:rsidR="000F579D" w:rsidRPr="003F6DC9">
              <w:rPr>
                <w:rStyle w:val="Hipervnculo"/>
                <w:noProof/>
              </w:rPr>
              <w:t>1. Cómo leer este documento</w:t>
            </w:r>
            <w:r w:rsidR="000F579D">
              <w:rPr>
                <w:noProof/>
              </w:rPr>
              <w:tab/>
            </w:r>
            <w:r w:rsidR="000F579D">
              <w:rPr>
                <w:noProof/>
              </w:rPr>
              <w:fldChar w:fldCharType="begin"/>
            </w:r>
            <w:r w:rsidR="000F579D">
              <w:rPr>
                <w:noProof/>
              </w:rPr>
              <w:instrText xml:space="preserve"> PAGEREF _Toc243055218 \h </w:instrText>
            </w:r>
            <w:r w:rsidR="000F579D">
              <w:rPr>
                <w:noProof/>
              </w:rPr>
            </w:r>
            <w:r w:rsidR="000F579D">
              <w:rPr>
                <w:noProof/>
              </w:rPr>
              <w:fldChar w:fldCharType="separate"/>
            </w:r>
            <w:r w:rsidR="000F579D">
              <w:rPr>
                <w:noProof/>
              </w:rPr>
              <w:t>3</w:t>
            </w:r>
            <w:r w:rsidR="000F579D">
              <w:rPr>
                <w:noProof/>
              </w:rPr>
              <w:fldChar w:fldCharType="end"/>
            </w:r>
          </w:hyperlink>
        </w:p>
        <w:p w14:paraId="263FF0BC" w14:textId="5883197D" w:rsidR="000F579D" w:rsidRDefault="000F579D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219" w:history="1">
            <w:r w:rsidRPr="003F6DC9">
              <w:rPr>
                <w:rStyle w:val="Hipervnculo"/>
                <w:noProof/>
              </w:rPr>
              <w:t>2. Decisiones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E033037" w14:textId="18868318" w:rsidR="000F579D" w:rsidRDefault="000F579D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220" w:history="1">
            <w:r w:rsidRPr="003F6DC9">
              <w:rPr>
                <w:rStyle w:val="Hipervnculo"/>
                <w:noProof/>
              </w:rPr>
              <w:t>ADR-01. Monolito modular en vez de microservicios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B5D989A" w14:textId="280C0D4E" w:rsidR="000F579D" w:rsidRDefault="000F579D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221" w:history="1">
            <w:r w:rsidRPr="003F6DC9">
              <w:rPr>
                <w:rStyle w:val="Hipervnculo"/>
                <w:noProof/>
              </w:rPr>
              <w:t>ADR-02. Puertas entre módulos verificadas por ESLint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0B43811" w14:textId="1DDA1171" w:rsidR="000F579D" w:rsidRDefault="000F579D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222" w:history="1">
            <w:r w:rsidRPr="003F6DC9">
              <w:rPr>
                <w:rStyle w:val="Hipervnculo"/>
                <w:noProof/>
              </w:rPr>
              <w:t>ADR-03. Cada tabla tiene un solo módulo dueño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_Toc243055222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CD7C224" w14:textId="7A02B0B6" w:rsidR="000F579D" w:rsidRDefault="000F579D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223" w:history="1">
            <w:r w:rsidRPr="003F6DC9">
              <w:rPr>
                <w:rStyle w:val="Hipervnculo"/>
                <w:noProof/>
              </w:rPr>
              <w:t>ADR-04. Un solo camino para cambiar el estado de un equipo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_Toc243055223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C3F8A03" w14:textId="087318D6" w:rsidR="000F579D" w:rsidRDefault="000F579D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224" w:history="1">
            <w:r w:rsidRPr="003F6DC9">
              <w:rPr>
                <w:rStyle w:val="Hipervnculo"/>
                <w:noProof/>
              </w:rPr>
              <w:t>ADR-05. Las rutas solo orquestan; la lógica vive en los servicios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_Toc243055224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C9E7200" w14:textId="23A0F406" w:rsidR="000F579D" w:rsidRDefault="000F579D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225" w:history="1">
            <w:r w:rsidRPr="003F6DC9">
              <w:rPr>
                <w:rStyle w:val="Hipervnculo"/>
                <w:noProof/>
              </w:rPr>
              <w:t>ADR-06. Matriz de permisos única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_Toc243055225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5884CD5" w14:textId="523E0EEE" w:rsidR="000F579D" w:rsidRDefault="000F579D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226" w:history="1">
            <w:r w:rsidRPr="003F6DC9">
              <w:rPr>
                <w:rStyle w:val="Hipervnculo"/>
                <w:noProof/>
              </w:rPr>
              <w:t>ADR-07. Dos roles: administrador y técnico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_Toc243055226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8F85141" w14:textId="036818C5" w:rsidR="000F579D" w:rsidRDefault="000F579D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227" w:history="1">
            <w:r w:rsidRPr="003F6DC9">
              <w:rPr>
                <w:rStyle w:val="Hipervnculo"/>
                <w:noProof/>
              </w:rPr>
              <w:t>ADR-08. La sede es un dato, no un candado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_Toc243055227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9522E8F" w14:textId="2D9B75AB" w:rsidR="000F579D" w:rsidRDefault="000F579D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228" w:history="1">
            <w:r w:rsidRPr="003F6DC9">
              <w:rPr>
                <w:rStyle w:val="Hipervnculo"/>
                <w:noProof/>
              </w:rPr>
              <w:t>ADR-09. Migraciones versionadas como única vía de cambio del schema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_Toc243055228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0D11F36" w14:textId="0AD9E057" w:rsidR="000F579D" w:rsidRDefault="000F579D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229" w:history="1">
            <w:r w:rsidRPr="003F6DC9">
              <w:rPr>
                <w:rStyle w:val="Hipervnculo"/>
                <w:noProof/>
              </w:rPr>
              <w:t>ADR-10. SPEC primero (Spec Driven Design)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_Toc243055229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1A70660" w14:textId="44D18156" w:rsidR="000F579D" w:rsidRDefault="000F579D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230" w:history="1">
            <w:r w:rsidRPr="003F6DC9">
              <w:rPr>
                <w:rStyle w:val="Hipervnculo"/>
                <w:noProof/>
              </w:rPr>
              <w:t>ADR-11. Sesiones JWT revalidadas en cada petición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_Toc243055230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FAC6DB6" w14:textId="3852B364" w:rsidR="000F579D" w:rsidRDefault="000F579D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231" w:history="1">
            <w:r w:rsidRPr="003F6DC9">
              <w:rPr>
                <w:rStyle w:val="Hipervnculo"/>
                <w:noProof/>
              </w:rPr>
              <w:t>ADR-12. Bajas definitivas y borrado restringido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_Toc243055231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4F9BAFA" w14:textId="66663631" w:rsidR="000F579D" w:rsidRDefault="000F579D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232" w:history="1">
            <w:r w:rsidRPr="003F6DC9">
              <w:rPr>
                <w:rStyle w:val="Hipervnculo"/>
                <w:noProof/>
              </w:rPr>
              <w:t>ADR-13. PDF generados en el servidor con react-pdf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_Toc243055232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B86FD30" w14:textId="1B6EA3BF" w:rsidR="000F579D" w:rsidRDefault="000F579D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233" w:history="1">
            <w:r w:rsidRPr="003F6DC9">
              <w:rPr>
                <w:rStyle w:val="Hipervnculo"/>
                <w:noProof/>
              </w:rPr>
              <w:t>ADR-14. Errores sin datos internos para el usuario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_Toc243055233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4ABD149" w14:textId="72B99C20" w:rsidR="000F579D" w:rsidRDefault="000F579D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234" w:history="1">
            <w:r w:rsidRPr="003F6DC9">
              <w:rPr>
                <w:rStyle w:val="Hipervnculo"/>
                <w:noProof/>
              </w:rPr>
              <w:t>ADR-15. Tema claro y oscuro con tokens de diseño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_Toc243055234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E88B5DC" w14:textId="11097BAB" w:rsidR="000F579D" w:rsidRDefault="000F579D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235" w:history="1">
            <w:r w:rsidRPr="003F6DC9">
              <w:rPr>
                <w:rStyle w:val="Hipervnculo"/>
                <w:noProof/>
              </w:rPr>
              <w:t>ADR-16. Catálogos del equipo con llave foránea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_Toc243055235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18650A8" w14:textId="3DB598AE" w:rsidR="009230B2" w:rsidRDefault="00C11926">
          <w:r>
            <w:fldChar w:fldCharType="end"/>
          </w:r>
        </w:p>
      </w:sdtContent>
    </w:sdt>
    <w:p w14:paraId="68D0F1DB" w14:textId="77777777" w:rsidR="009230B2" w:rsidRDefault="00C11926">
      <w:r>
        <w:br w:type="page"/>
      </w:r>
    </w:p>
    <w:p w14:paraId="32DB3A92" w14:textId="77777777" w:rsidR="009230B2" w:rsidRDefault="00C11926">
      <w:pPr>
        <w:pStyle w:val="Ttulo1"/>
        <w:keepNext/>
      </w:pPr>
      <w:bookmarkStart w:id="0" w:name="_Toc243055218"/>
      <w:r>
        <w:t>1. Cómo leer este documento</w:t>
      </w:r>
      <w:bookmarkEnd w:id="0"/>
    </w:p>
    <w:p w14:paraId="1F62CEFA" w14:textId="77777777" w:rsidR="009230B2" w:rsidRDefault="00C11926">
      <w:pPr>
        <w:spacing w:after="120" w:line="276" w:lineRule="auto"/>
      </w:pPr>
      <w:r>
        <w:t>Cada decisión sigue el formato ADR (Architecture Decision Record): el contexto que la motivó, lo que se decidió, lo que se descartó y sus consecuencias. Las referencias apuntan a secciones del SPEC (</w:t>
      </w:r>
      <w:r>
        <w:rPr>
          <w:rFonts w:ascii="Consolas" w:eastAsia="Consolas" w:hAnsi="Consolas" w:cs="Consolas"/>
          <w:color w:val="374151"/>
          <w:sz w:val="19"/>
          <w:szCs w:val="19"/>
        </w:rPr>
        <w:t>SPEC_SISTEMA_INVENTARIO_IT.md</w:t>
      </w:r>
      <w:r>
        <w:t>), que es la fuente de verdad.</w:t>
      </w:r>
    </w:p>
    <w:p w14:paraId="2CAB21CA" w14:textId="77777777" w:rsidR="009230B2" w:rsidRDefault="00C11926">
      <w:pPr>
        <w:pStyle w:val="Ttulo1"/>
        <w:keepNext/>
      </w:pPr>
      <w:bookmarkStart w:id="1" w:name="_Toc243055219"/>
      <w:r>
        <w:t>2. Decisiones</w:t>
      </w:r>
      <w:bookmarkEnd w:id="1"/>
    </w:p>
    <w:p w14:paraId="3C3C1B79" w14:textId="77777777" w:rsidR="009230B2" w:rsidRDefault="00C11926">
      <w:pPr>
        <w:pStyle w:val="Ttulo2"/>
        <w:keepNext/>
      </w:pPr>
      <w:bookmarkStart w:id="2" w:name="_Toc243055220"/>
      <w:r>
        <w:t>ADR-01. Monolito modular en vez de microservicios</w:t>
      </w:r>
      <w:bookmarkEnd w:id="2"/>
    </w:p>
    <w:p w14:paraId="68F6C9AC" w14:textId="77777777" w:rsidR="009230B2" w:rsidRDefault="00C11926">
      <w:pPr>
        <w:spacing w:after="120" w:line="276" w:lineRule="auto"/>
      </w:pPr>
      <w:r>
        <w:rPr>
          <w:b/>
          <w:bCs/>
        </w:rPr>
        <w:t>Contexto.</w:t>
      </w:r>
      <w:r>
        <w:t xml:space="preserve"> Sistema interno de un área de TI, equipo pequeño y reglas muy conectadas entre dominios (un equipo pasa por compras, despachos, solicitudes y mantenciones).</w:t>
      </w:r>
    </w:p>
    <w:p w14:paraId="5EA3A7B8" w14:textId="77777777" w:rsidR="009230B2" w:rsidRDefault="00C11926">
      <w:pPr>
        <w:spacing w:after="120" w:line="276" w:lineRule="auto"/>
      </w:pPr>
      <w:r>
        <w:rPr>
          <w:b/>
          <w:bCs/>
        </w:rPr>
        <w:t>Decisión.</w:t>
      </w:r>
      <w:r>
        <w:t xml:space="preserve"> Una sola aplicación Next.js con módulos por dominio en </w:t>
      </w:r>
      <w:r>
        <w:rPr>
          <w:rFonts w:ascii="Consolas" w:eastAsia="Consolas" w:hAnsi="Consolas" w:cs="Consolas"/>
          <w:color w:val="374151"/>
          <w:sz w:val="19"/>
          <w:szCs w:val="19"/>
        </w:rPr>
        <w:t>src/modules/</w:t>
      </w:r>
      <w:r>
        <w:t xml:space="preserve"> y lo común en </w:t>
      </w:r>
      <w:r>
        <w:rPr>
          <w:rFonts w:ascii="Consolas" w:eastAsia="Consolas" w:hAnsi="Consolas" w:cs="Consolas"/>
          <w:color w:val="374151"/>
          <w:sz w:val="19"/>
          <w:szCs w:val="19"/>
        </w:rPr>
        <w:t>src/shared/</w:t>
      </w:r>
      <w:r>
        <w:t>.</w:t>
      </w:r>
    </w:p>
    <w:p w14:paraId="47662EB0" w14:textId="77777777" w:rsidR="009230B2" w:rsidRDefault="00C11926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Microservicios (costo operativo y transacciones distribuidas sin necesidad); capas técnicas sin dominios (se mezclaban reglas de distintos procesos).</w:t>
      </w:r>
    </w:p>
    <w:p w14:paraId="3619DE8B" w14:textId="77777777" w:rsidR="009230B2" w:rsidRDefault="00C11926">
      <w:pPr>
        <w:spacing w:after="120" w:line="276" w:lineRule="auto"/>
      </w:pPr>
      <w:r>
        <w:rPr>
          <w:b/>
          <w:bCs/>
        </w:rPr>
        <w:t>Consecuencias.</w:t>
      </w:r>
      <w:r>
        <w:t xml:space="preserve"> Despliegue simple y transacciones locales; el orden se mantiene con reglas automáticas (ADR-02 y ADR-03).</w:t>
      </w:r>
    </w:p>
    <w:p w14:paraId="197B54B6" w14:textId="77777777" w:rsidR="009230B2" w:rsidRDefault="00C11926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2.118</w:t>
      </w:r>
    </w:p>
    <w:p w14:paraId="2B6D9845" w14:textId="77777777" w:rsidR="009230B2" w:rsidRDefault="00C11926">
      <w:pPr>
        <w:pStyle w:val="Ttulo2"/>
        <w:keepNext/>
      </w:pPr>
      <w:bookmarkStart w:id="3" w:name="_Toc243055221"/>
      <w:r>
        <w:t>ADR-02. Puertas entre módulos verificadas por ESLint</w:t>
      </w:r>
      <w:bookmarkEnd w:id="3"/>
    </w:p>
    <w:p w14:paraId="267753DA" w14:textId="77777777" w:rsidR="009230B2" w:rsidRDefault="00C11926">
      <w:pPr>
        <w:spacing w:after="120" w:line="276" w:lineRule="auto"/>
      </w:pPr>
      <w:r>
        <w:rPr>
          <w:b/>
          <w:bCs/>
        </w:rPr>
        <w:t>Contexto.</w:t>
      </w:r>
      <w:r>
        <w:t xml:space="preserve"> Al crecer, los módulos empezaban a importar archivos internos de otros, creando dependencias ocultas.</w:t>
      </w:r>
    </w:p>
    <w:p w14:paraId="4AD8A24B" w14:textId="77777777" w:rsidR="009230B2" w:rsidRDefault="00C11926">
      <w:pPr>
        <w:spacing w:after="120" w:line="276" w:lineRule="auto"/>
      </w:pPr>
      <w:r>
        <w:rPr>
          <w:b/>
          <w:bCs/>
        </w:rPr>
        <w:t>Decisión.</w:t>
      </w:r>
      <w:r>
        <w:t xml:space="preserve"> Desde fuera de un módulo solo se importa por </w:t>
      </w:r>
      <w:r>
        <w:rPr>
          <w:rFonts w:ascii="Consolas" w:eastAsia="Consolas" w:hAnsi="Consolas" w:cs="Consolas"/>
          <w:color w:val="374151"/>
          <w:sz w:val="19"/>
          <w:szCs w:val="19"/>
        </w:rPr>
        <w:t>@/modules/x</w:t>
      </w:r>
      <w:r>
        <w:t xml:space="preserve"> (reglas y tipos, sin base), </w:t>
      </w:r>
      <w:r>
        <w:rPr>
          <w:rFonts w:ascii="Consolas" w:eastAsia="Consolas" w:hAnsi="Consolas" w:cs="Consolas"/>
          <w:color w:val="374151"/>
          <w:sz w:val="19"/>
          <w:szCs w:val="19"/>
        </w:rPr>
        <w:t>@/modules/x/servidor</w:t>
      </w:r>
      <w:r>
        <w:t xml:space="preserve"> (servicios con base) y </w:t>
      </w:r>
      <w:r>
        <w:rPr>
          <w:rFonts w:ascii="Consolas" w:eastAsia="Consolas" w:hAnsi="Consolas" w:cs="Consolas"/>
          <w:color w:val="374151"/>
          <w:sz w:val="19"/>
          <w:szCs w:val="19"/>
        </w:rPr>
        <w:t>@/modules/x/componentes</w:t>
      </w:r>
      <w:r>
        <w:t xml:space="preserve">; los PDF y Excel tienen puertas propias. </w:t>
      </w:r>
      <w:r>
        <w:rPr>
          <w:rFonts w:ascii="Consolas" w:eastAsia="Consolas" w:hAnsi="Consolas" w:cs="Consolas"/>
          <w:color w:val="374151"/>
          <w:sz w:val="19"/>
          <w:szCs w:val="19"/>
        </w:rPr>
        <w:t>shared/</w:t>
      </w:r>
      <w:r>
        <w:t xml:space="preserve"> no importa módulos. ESLint (</w:t>
      </w:r>
      <w:r>
        <w:rPr>
          <w:rFonts w:ascii="Consolas" w:eastAsia="Consolas" w:hAnsi="Consolas" w:cs="Consolas"/>
          <w:color w:val="374151"/>
          <w:sz w:val="19"/>
          <w:szCs w:val="19"/>
        </w:rPr>
        <w:t>no-restricted-imports</w:t>
      </w:r>
      <w:r>
        <w:t>) lo exige.</w:t>
      </w:r>
    </w:p>
    <w:p w14:paraId="73D6F7C0" w14:textId="77777777" w:rsidR="009230B2" w:rsidRDefault="00C11926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Convención sin verificación (se rompía con el tiempo).</w:t>
      </w:r>
    </w:p>
    <w:p w14:paraId="18EB7F28" w14:textId="77777777" w:rsidR="009230B2" w:rsidRDefault="00C11926">
      <w:pPr>
        <w:spacing w:after="120" w:line="276" w:lineRule="auto"/>
      </w:pPr>
      <w:r>
        <w:rPr>
          <w:b/>
          <w:bCs/>
        </w:rPr>
        <w:t>Consecuencias.</w:t>
      </w:r>
      <w:r>
        <w:t xml:space="preserve"> Errores de lint inmediatos si alguien cruza una frontera; las pantallas no pueden arrastrar código de base de datos.</w:t>
      </w:r>
    </w:p>
    <w:p w14:paraId="1D79E57E" w14:textId="77777777" w:rsidR="009230B2" w:rsidRDefault="00C11926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2.118; </w:t>
      </w:r>
      <w:r>
        <w:rPr>
          <w:rFonts w:ascii="Consolas" w:eastAsia="Consolas" w:hAnsi="Consolas" w:cs="Consolas"/>
          <w:color w:val="374151"/>
          <w:sz w:val="16"/>
          <w:szCs w:val="16"/>
        </w:rPr>
        <w:t>eslint.config.mjs</w:t>
      </w:r>
    </w:p>
    <w:p w14:paraId="6865E2F2" w14:textId="77777777" w:rsidR="009230B2" w:rsidRDefault="00C11926">
      <w:pPr>
        <w:pStyle w:val="Ttulo2"/>
        <w:keepNext/>
      </w:pPr>
      <w:bookmarkStart w:id="4" w:name="_Toc243055222"/>
      <w:r>
        <w:t>ADR-03. Cada tabla tiene un solo módulo dueño</w:t>
      </w:r>
      <w:bookmarkEnd w:id="4"/>
    </w:p>
    <w:p w14:paraId="27C04564" w14:textId="77777777" w:rsidR="009230B2" w:rsidRDefault="00C11926">
      <w:pPr>
        <w:spacing w:after="120" w:line="276" w:lineRule="auto"/>
      </w:pPr>
      <w:r>
        <w:rPr>
          <w:b/>
          <w:bCs/>
        </w:rPr>
        <w:t>Contexto.</w:t>
      </w:r>
      <w:r>
        <w:t xml:space="preserve"> Varios módulos escribían las mismas tablas y las reglas se duplicaban o contradecían.</w:t>
      </w:r>
    </w:p>
    <w:p w14:paraId="1632E140" w14:textId="77777777" w:rsidR="009230B2" w:rsidRDefault="00C11926">
      <w:pPr>
        <w:spacing w:after="120" w:line="276" w:lineRule="auto"/>
      </w:pPr>
      <w:r>
        <w:rPr>
          <w:b/>
          <w:bCs/>
        </w:rPr>
        <w:t>Decisión.</w:t>
      </w:r>
      <w:r>
        <w:t xml:space="preserve"> Solo el módulo dueño escribe su tabla; los demás llaman a sus funciones (por ejemplo </w:t>
      </w:r>
      <w:r>
        <w:rPr>
          <w:rFonts w:ascii="Consolas" w:eastAsia="Consolas" w:hAnsi="Consolas" w:cs="Consolas"/>
          <w:color w:val="374151"/>
          <w:sz w:val="19"/>
          <w:szCs w:val="19"/>
        </w:rPr>
        <w:t>cambiarEstado</w:t>
      </w:r>
      <w:r>
        <w:t xml:space="preserve"> de Activos o </w:t>
      </w:r>
      <w:r>
        <w:rPr>
          <w:rFonts w:ascii="Consolas" w:eastAsia="Consolas" w:hAnsi="Consolas" w:cs="Consolas"/>
          <w:color w:val="374151"/>
          <w:sz w:val="19"/>
          <w:szCs w:val="19"/>
        </w:rPr>
        <w:t>executeAssignment</w:t>
      </w:r>
      <w:r>
        <w:t xml:space="preserve"> de Asignaciones). Una prueba (</w:t>
      </w:r>
      <w:r>
        <w:rPr>
          <w:rFonts w:ascii="Consolas" w:eastAsia="Consolas" w:hAnsi="Consolas" w:cs="Consolas"/>
          <w:color w:val="374151"/>
          <w:sz w:val="19"/>
          <w:szCs w:val="19"/>
        </w:rPr>
        <w:t>duenosTablas.test.ts</w:t>
      </w:r>
      <w:r>
        <w:t>) falla si alguien escribe una tabla ajena o si una tabla nueva no tiene dueño.</w:t>
      </w:r>
    </w:p>
    <w:p w14:paraId="38F81883" w14:textId="77777777" w:rsidR="009230B2" w:rsidRDefault="00C11926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Repositorios genéricos compartidos.</w:t>
      </w:r>
    </w:p>
    <w:p w14:paraId="20D11F46" w14:textId="77777777" w:rsidR="009230B2" w:rsidRDefault="00C11926">
      <w:pPr>
        <w:spacing w:after="120" w:line="276" w:lineRule="auto"/>
      </w:pPr>
      <w:r>
        <w:rPr>
          <w:b/>
          <w:bCs/>
        </w:rPr>
        <w:t>Consecuencias.</w:t>
      </w:r>
      <w:r>
        <w:t xml:space="preserve"> Cada regla vive en un solo lugar; cambiar un proceso no rompe otro sin que la prueba lo avise.</w:t>
      </w:r>
    </w:p>
    <w:p w14:paraId="11A9976D" w14:textId="77777777" w:rsidR="009230B2" w:rsidRDefault="00C11926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3.2.2</w:t>
      </w:r>
    </w:p>
    <w:p w14:paraId="3222DFA7" w14:textId="77777777" w:rsidR="009230B2" w:rsidRDefault="00C11926">
      <w:pPr>
        <w:pStyle w:val="Ttulo2"/>
        <w:keepNext/>
      </w:pPr>
      <w:bookmarkStart w:id="5" w:name="_Toc243055223"/>
      <w:r>
        <w:t>ADR-04. Un solo camino para cambiar el estado de un equipo</w:t>
      </w:r>
      <w:bookmarkEnd w:id="5"/>
    </w:p>
    <w:p w14:paraId="7EEAE633" w14:textId="77777777" w:rsidR="009230B2" w:rsidRDefault="00C11926">
      <w:pPr>
        <w:spacing w:after="120" w:line="276" w:lineRule="auto"/>
      </w:pPr>
      <w:r>
        <w:rPr>
          <w:b/>
          <w:bCs/>
        </w:rPr>
        <w:t>Contexto.</w:t>
      </w:r>
      <w:r>
        <w:t xml:space="preserve"> El estado de un equipo se cambiaba desde varios lugares, dejando historial incompleto y estados imposibles.</w:t>
      </w:r>
    </w:p>
    <w:p w14:paraId="148E3F3F" w14:textId="77777777" w:rsidR="009230B2" w:rsidRDefault="00C11926">
      <w:pPr>
        <w:spacing w:after="120" w:line="276" w:lineRule="auto"/>
      </w:pPr>
      <w:r>
        <w:rPr>
          <w:b/>
          <w:bCs/>
        </w:rPr>
        <w:t>Decisión.</w:t>
      </w:r>
      <w:r>
        <w:t xml:space="preserve"> </w:t>
      </w:r>
      <w:r>
        <w:rPr>
          <w:rFonts w:ascii="Consolas" w:eastAsia="Consolas" w:hAnsi="Consolas" w:cs="Consolas"/>
          <w:color w:val="374151"/>
          <w:sz w:val="19"/>
          <w:szCs w:val="19"/>
        </w:rPr>
        <w:t>cambiarEstado()</w:t>
      </w:r>
      <w:r>
        <w:t xml:space="preserve"> (</w:t>
      </w:r>
      <w:r>
        <w:rPr>
          <w:rFonts w:ascii="Consolas" w:eastAsia="Consolas" w:hAnsi="Consolas" w:cs="Consolas"/>
          <w:color w:val="374151"/>
          <w:sz w:val="19"/>
          <w:szCs w:val="19"/>
        </w:rPr>
        <w:t>modules/activos/servicio.ts</w:t>
      </w:r>
      <w:r>
        <w:t>) es la única vía; valida la transición con la máquina de estados (</w:t>
      </w:r>
      <w:r>
        <w:rPr>
          <w:rFonts w:ascii="Consolas" w:eastAsia="Consolas" w:hAnsi="Consolas" w:cs="Consolas"/>
          <w:color w:val="374151"/>
          <w:sz w:val="19"/>
          <w:szCs w:val="19"/>
        </w:rPr>
        <w:t>maquinaEstados.ts</w:t>
      </w:r>
      <w:r>
        <w:t>), deja historial y avisa a Líneas si cambia quién tiene un celular. El PUT de un activo rechaza cambios de estado (409).</w:t>
      </w:r>
    </w:p>
    <w:p w14:paraId="301D0C29" w14:textId="77777777" w:rsidR="009230B2" w:rsidRDefault="00C11926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Editar el estado libremente en el formulario.</w:t>
      </w:r>
    </w:p>
    <w:p w14:paraId="6568442E" w14:textId="77777777" w:rsidR="009230B2" w:rsidRDefault="00C11926">
      <w:pPr>
        <w:spacing w:after="120" w:line="276" w:lineRule="auto"/>
      </w:pPr>
      <w:r>
        <w:rPr>
          <w:b/>
          <w:bCs/>
        </w:rPr>
        <w:t>Consecuencias.</w:t>
      </w:r>
      <w:r>
        <w:t xml:space="preserve"> Estados siempre coherentes y con motivo; las transiciones válidas están probadas al 100 %.</w:t>
      </w:r>
    </w:p>
    <w:p w14:paraId="6C0C76E5" w14:textId="77777777" w:rsidR="009230B2" w:rsidRDefault="00C11926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2.7, 2.86, 2.131</w:t>
      </w:r>
    </w:p>
    <w:p w14:paraId="353A1565" w14:textId="77777777" w:rsidR="009230B2" w:rsidRDefault="00C11926">
      <w:pPr>
        <w:pStyle w:val="Ttulo2"/>
        <w:keepNext/>
      </w:pPr>
      <w:bookmarkStart w:id="6" w:name="_Toc243055224"/>
      <w:r>
        <w:t>ADR-05. Las rutas solo orquestan; la lógica vive en los servicios</w:t>
      </w:r>
      <w:bookmarkEnd w:id="6"/>
    </w:p>
    <w:p w14:paraId="1053943E" w14:textId="77777777" w:rsidR="009230B2" w:rsidRDefault="00C11926">
      <w:pPr>
        <w:spacing w:after="120" w:line="276" w:lineRule="auto"/>
      </w:pPr>
      <w:r>
        <w:rPr>
          <w:b/>
          <w:bCs/>
        </w:rPr>
        <w:t>Contexto.</w:t>
      </w:r>
      <w:r>
        <w:t xml:space="preserve"> Las rutas mezclaban validación, reglas, consultas y formato de errores.</w:t>
      </w:r>
    </w:p>
    <w:p w14:paraId="716ACC1D" w14:textId="77777777" w:rsidR="009230B2" w:rsidRDefault="00C11926">
      <w:pPr>
        <w:spacing w:after="120" w:line="276" w:lineRule="auto"/>
      </w:pPr>
      <w:r>
        <w:rPr>
          <w:b/>
          <w:bCs/>
        </w:rPr>
        <w:t>Decisión.</w:t>
      </w:r>
      <w:r>
        <w:t xml:space="preserve"> Patrón fijo: </w:t>
      </w:r>
      <w:r>
        <w:rPr>
          <w:rFonts w:ascii="Consolas" w:eastAsia="Consolas" w:hAnsi="Consolas" w:cs="Consolas"/>
          <w:color w:val="374151"/>
          <w:sz w:val="19"/>
          <w:szCs w:val="19"/>
        </w:rPr>
        <w:t>requirePermission</w:t>
      </w:r>
      <w:r>
        <w:t xml:space="preserve"> → validación Zod → servicio del módulo → </w:t>
      </w:r>
      <w:r>
        <w:rPr>
          <w:rFonts w:ascii="Consolas" w:eastAsia="Consolas" w:hAnsi="Consolas" w:cs="Consolas"/>
          <w:color w:val="374151"/>
          <w:sz w:val="19"/>
          <w:szCs w:val="19"/>
        </w:rPr>
        <w:t>NextResponse.json</w:t>
      </w:r>
      <w:r>
        <w:t xml:space="preserve">; errores con </w:t>
      </w:r>
      <w:r>
        <w:rPr>
          <w:rFonts w:ascii="Consolas" w:eastAsia="Consolas" w:hAnsi="Consolas" w:cs="Consolas"/>
          <w:color w:val="374151"/>
          <w:sz w:val="19"/>
          <w:szCs w:val="19"/>
        </w:rPr>
        <w:t>handleApiError</w:t>
      </w:r>
      <w:r>
        <w:t xml:space="preserve">. Nada en </w:t>
      </w:r>
      <w:r>
        <w:rPr>
          <w:rFonts w:ascii="Consolas" w:eastAsia="Consolas" w:hAnsi="Consolas" w:cs="Consolas"/>
          <w:color w:val="374151"/>
          <w:sz w:val="19"/>
          <w:szCs w:val="19"/>
        </w:rPr>
        <w:t>src/app</w:t>
      </w:r>
      <w:r>
        <w:t xml:space="preserve"> usa la base, ni para leer (lo impide ESLint).</w:t>
      </w:r>
    </w:p>
    <w:p w14:paraId="29255A37" w14:textId="77777777" w:rsidR="009230B2" w:rsidRDefault="00C11926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Lógica en las rutas o en las pantallas.</w:t>
      </w:r>
    </w:p>
    <w:p w14:paraId="1902B631" w14:textId="77777777" w:rsidR="009230B2" w:rsidRDefault="00C11926">
      <w:pPr>
        <w:spacing w:after="120" w:line="276" w:lineRule="auto"/>
      </w:pPr>
      <w:r>
        <w:rPr>
          <w:b/>
          <w:bCs/>
        </w:rPr>
        <w:t>Consecuencias.</w:t>
      </w:r>
      <w:r>
        <w:t xml:space="preserve"> Reglas reutilizables y probadas sin HTTP; respuestas de error uniformes </w:t>
      </w:r>
      <w:r>
        <w:rPr>
          <w:rFonts w:ascii="Consolas" w:eastAsia="Consolas" w:hAnsi="Consolas" w:cs="Consolas"/>
          <w:color w:val="374151"/>
          <w:sz w:val="19"/>
          <w:szCs w:val="19"/>
        </w:rPr>
        <w:t>{ error, details? }</w:t>
      </w:r>
      <w:r>
        <w:t>.</w:t>
      </w:r>
    </w:p>
    <w:p w14:paraId="181430D9" w14:textId="77777777" w:rsidR="009230B2" w:rsidRDefault="00C11926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3.2.2; CLAUDE.md</w:t>
      </w:r>
    </w:p>
    <w:p w14:paraId="59A2AD67" w14:textId="77777777" w:rsidR="009230B2" w:rsidRDefault="00C11926">
      <w:pPr>
        <w:pStyle w:val="Ttulo2"/>
        <w:keepNext/>
      </w:pPr>
      <w:bookmarkStart w:id="7" w:name="_Toc243055225"/>
      <w:r>
        <w:t>ADR-06. Matriz de permisos única</w:t>
      </w:r>
      <w:bookmarkEnd w:id="7"/>
    </w:p>
    <w:p w14:paraId="50E32794" w14:textId="77777777" w:rsidR="009230B2" w:rsidRDefault="00C11926">
      <w:pPr>
        <w:spacing w:after="120" w:line="276" w:lineRule="auto"/>
      </w:pPr>
      <w:r>
        <w:rPr>
          <w:b/>
          <w:bCs/>
        </w:rPr>
        <w:t>Contexto.</w:t>
      </w:r>
      <w:r>
        <w:t xml:space="preserve"> Las rutas revisaban roles a mano y la interfaz mostraba botones que terminaban en 403.</w:t>
      </w:r>
    </w:p>
    <w:p w14:paraId="35722678" w14:textId="77777777" w:rsidR="009230B2" w:rsidRDefault="00C11926">
      <w:pPr>
        <w:spacing w:after="120" w:line="276" w:lineRule="auto"/>
      </w:pPr>
      <w:r>
        <w:rPr>
          <w:b/>
          <w:bCs/>
        </w:rPr>
        <w:t>Decisión.</w:t>
      </w:r>
      <w:r>
        <w:t xml:space="preserve"> </w:t>
      </w:r>
      <w:r>
        <w:rPr>
          <w:rFonts w:ascii="Consolas" w:eastAsia="Consolas" w:hAnsi="Consolas" w:cs="Consolas"/>
          <w:color w:val="374151"/>
          <w:sz w:val="19"/>
          <w:szCs w:val="19"/>
        </w:rPr>
        <w:t>shared/auth/permisos.ts</w:t>
      </w:r>
      <w:r>
        <w:t xml:space="preserve"> es la única fuente: recurso × acción → roles. La API la usa con </w:t>
      </w:r>
      <w:r>
        <w:rPr>
          <w:rFonts w:ascii="Consolas" w:eastAsia="Consolas" w:hAnsi="Consolas" w:cs="Consolas"/>
          <w:color w:val="374151"/>
          <w:sz w:val="19"/>
          <w:szCs w:val="19"/>
        </w:rPr>
        <w:t>requirePermission</w:t>
      </w:r>
      <w:r>
        <w:t xml:space="preserve"> y la interfaz con </w:t>
      </w:r>
      <w:r>
        <w:rPr>
          <w:rFonts w:ascii="Consolas" w:eastAsia="Consolas" w:hAnsi="Consolas" w:cs="Consolas"/>
          <w:color w:val="374151"/>
          <w:sz w:val="19"/>
          <w:szCs w:val="19"/>
        </w:rPr>
        <w:t>usePermissions()</w:t>
      </w:r>
      <w:r>
        <w:t xml:space="preserve"> y </w:t>
      </w:r>
      <w:r>
        <w:rPr>
          <w:rFonts w:ascii="Consolas" w:eastAsia="Consolas" w:hAnsi="Consolas" w:cs="Consolas"/>
          <w:color w:val="374151"/>
          <w:sz w:val="19"/>
          <w:szCs w:val="19"/>
        </w:rPr>
        <w:t>&lt;Can&gt;</w:t>
      </w:r>
      <w:r>
        <w:t>. Las transiciones de solicitudes las autoriza su propia máquina de estados.</w:t>
      </w:r>
    </w:p>
    <w:p w14:paraId="773A8AEE" w14:textId="77777777" w:rsidR="009230B2" w:rsidRDefault="00C11926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Roles revisados en cada ruta.</w:t>
      </w:r>
    </w:p>
    <w:p w14:paraId="1BF0B54A" w14:textId="77777777" w:rsidR="009230B2" w:rsidRDefault="00C11926">
      <w:pPr>
        <w:spacing w:after="120" w:line="276" w:lineRule="auto"/>
      </w:pPr>
      <w:r>
        <w:rPr>
          <w:b/>
          <w:bCs/>
        </w:rPr>
        <w:t>Consecuencias.</w:t>
      </w:r>
      <w:r>
        <w:t xml:space="preserve"> Un cambio de permisos se hace en un solo lugar; una prueba verifica que toda ruta de la API esté protegida.</w:t>
      </w:r>
    </w:p>
    <w:p w14:paraId="7C678FDA" w14:textId="77777777" w:rsidR="009230B2" w:rsidRDefault="00C11926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1.3.1</w:t>
      </w:r>
    </w:p>
    <w:p w14:paraId="2C069256" w14:textId="77777777" w:rsidR="009230B2" w:rsidRDefault="00C11926">
      <w:pPr>
        <w:pStyle w:val="Ttulo2"/>
        <w:keepNext/>
      </w:pPr>
      <w:bookmarkStart w:id="8" w:name="_Toc243055226"/>
      <w:r>
        <w:t>ADR-07. Dos roles: administrador y técnico</w:t>
      </w:r>
      <w:bookmarkEnd w:id="8"/>
    </w:p>
    <w:p w14:paraId="1328B5B3" w14:textId="77777777" w:rsidR="009230B2" w:rsidRDefault="00C11926">
      <w:pPr>
        <w:spacing w:after="120" w:line="276" w:lineRule="auto"/>
      </w:pPr>
      <w:r>
        <w:rPr>
          <w:b/>
          <w:bCs/>
        </w:rPr>
        <w:t>Contexto.</w:t>
      </w:r>
      <w:r>
        <w:t xml:space="preserve"> Había cinco roles (admin, técnico, supervisor, RRHH, auditor) que no se usaban en la práctica.</w:t>
      </w:r>
    </w:p>
    <w:p w14:paraId="1BCF604F" w14:textId="77777777" w:rsidR="009230B2" w:rsidRDefault="00C11926">
      <w:pPr>
        <w:spacing w:after="120" w:line="276" w:lineRule="auto"/>
      </w:pPr>
      <w:r>
        <w:rPr>
          <w:b/>
          <w:bCs/>
        </w:rPr>
        <w:t>Decisión.</w:t>
      </w:r>
      <w:r>
        <w:t xml:space="preserve"> Solo </w:t>
      </w:r>
      <w:r>
        <w:rPr>
          <w:rFonts w:ascii="Consolas" w:eastAsia="Consolas" w:hAnsi="Consolas" w:cs="Consolas"/>
          <w:color w:val="374151"/>
          <w:sz w:val="19"/>
          <w:szCs w:val="19"/>
        </w:rPr>
        <w:t>admin</w:t>
      </w:r>
      <w:r>
        <w:t xml:space="preserve"> y </w:t>
      </w:r>
      <w:r>
        <w:rPr>
          <w:rFonts w:ascii="Consolas" w:eastAsia="Consolas" w:hAnsi="Consolas" w:cs="Consolas"/>
          <w:color w:val="374151"/>
          <w:sz w:val="19"/>
          <w:szCs w:val="19"/>
        </w:rPr>
        <w:t>tecnico</w:t>
      </w:r>
      <w:r>
        <w:t>. El técnico hace todo lo operativo, incluido eliminar; solo la Configuración (usuarios, sedes, categorías, seguridad, auditoría, importación) es del administrador.</w:t>
      </w:r>
    </w:p>
    <w:p w14:paraId="7DAE66BA" w14:textId="77777777" w:rsidR="009230B2" w:rsidRDefault="00C11926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Mantener roles sin uso real.</w:t>
      </w:r>
    </w:p>
    <w:p w14:paraId="26A7D7F8" w14:textId="77777777" w:rsidR="009230B2" w:rsidRDefault="00C11926">
      <w:pPr>
        <w:spacing w:after="120" w:line="276" w:lineRule="auto"/>
      </w:pPr>
      <w:r>
        <w:rPr>
          <w:b/>
          <w:bCs/>
        </w:rPr>
        <w:t>Consecuencias.</w:t>
      </w:r>
      <w:r>
        <w:t xml:space="preserve"> Matriz simple y fácil de auditar; si un administrador falta, un técnico puede operar.</w:t>
      </w:r>
    </w:p>
    <w:p w14:paraId="10151C3D" w14:textId="77777777" w:rsidR="009230B2" w:rsidRDefault="00C11926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2.136</w:t>
      </w:r>
    </w:p>
    <w:p w14:paraId="14E90D28" w14:textId="77777777" w:rsidR="009230B2" w:rsidRDefault="00C11926">
      <w:pPr>
        <w:pStyle w:val="Ttulo2"/>
        <w:keepNext/>
      </w:pPr>
      <w:bookmarkStart w:id="9" w:name="_Toc243055227"/>
      <w:r>
        <w:t>ADR-08. La sede es un dato, no un candado</w:t>
      </w:r>
      <w:bookmarkEnd w:id="9"/>
    </w:p>
    <w:p w14:paraId="4BAA6576" w14:textId="77777777" w:rsidR="009230B2" w:rsidRDefault="00C11926">
      <w:pPr>
        <w:spacing w:after="120" w:line="276" w:lineRule="auto"/>
      </w:pPr>
      <w:r>
        <w:rPr>
          <w:b/>
          <w:bCs/>
        </w:rPr>
        <w:t>Contexto.</w:t>
      </w:r>
      <w:r>
        <w:t xml:space="preserve"> Se había aislado a cada usuario en su sede, pero el trabajo real cruza sedes (despachos, apoyo entre oficinas).</w:t>
      </w:r>
    </w:p>
    <w:p w14:paraId="630346F7" w14:textId="77777777" w:rsidR="009230B2" w:rsidRDefault="00C11926">
      <w:pPr>
        <w:spacing w:after="120" w:line="276" w:lineRule="auto"/>
      </w:pPr>
      <w:r>
        <w:rPr>
          <w:b/>
          <w:bCs/>
        </w:rPr>
        <w:t>Decisión.</w:t>
      </w:r>
      <w:r>
        <w:t xml:space="preserve"> Todos trabajan con todas las sedes. La sede sirve para filtrar (selector del menú) y como dato de cada registro; no restringe el acceso.</w:t>
      </w:r>
    </w:p>
    <w:p w14:paraId="0FC66F8A" w14:textId="77777777" w:rsidR="009230B2" w:rsidRDefault="00C11926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Aislamiento por sede.</w:t>
      </w:r>
    </w:p>
    <w:p w14:paraId="4AB1B3A2" w14:textId="77777777" w:rsidR="009230B2" w:rsidRDefault="00C11926">
      <w:pPr>
        <w:spacing w:after="120" w:line="276" w:lineRule="auto"/>
      </w:pPr>
      <w:r>
        <w:rPr>
          <w:b/>
          <w:bCs/>
        </w:rPr>
        <w:t>Consecuencias.</w:t>
      </w:r>
      <w:r>
        <w:t xml:space="preserve"> Menos bloqueos operativos; lo que es solo de administrador lo decide la matriz de permisos, no la sede.</w:t>
      </w:r>
    </w:p>
    <w:p w14:paraId="1E453807" w14:textId="77777777" w:rsidR="009230B2" w:rsidRDefault="00C11926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2.117</w:t>
      </w:r>
    </w:p>
    <w:p w14:paraId="608326C7" w14:textId="77777777" w:rsidR="009230B2" w:rsidRDefault="00C11926">
      <w:pPr>
        <w:pStyle w:val="Ttulo2"/>
        <w:keepNext/>
      </w:pPr>
      <w:bookmarkStart w:id="10" w:name="_Toc243055228"/>
      <w:r>
        <w:t>ADR-09. Migraciones versionadas como única vía de cambio del schema</w:t>
      </w:r>
      <w:bookmarkEnd w:id="10"/>
    </w:p>
    <w:p w14:paraId="22739003" w14:textId="77777777" w:rsidR="009230B2" w:rsidRDefault="00C11926">
      <w:pPr>
        <w:spacing w:after="120" w:line="276" w:lineRule="auto"/>
      </w:pPr>
      <w:r>
        <w:rPr>
          <w:b/>
          <w:bCs/>
        </w:rPr>
        <w:t>Contexto.</w:t>
      </w:r>
      <w:r>
        <w:t xml:space="preserve"> Parte del schema se había creado con </w:t>
      </w:r>
      <w:r>
        <w:rPr>
          <w:rFonts w:ascii="Consolas" w:eastAsia="Consolas" w:hAnsi="Consolas" w:cs="Consolas"/>
          <w:color w:val="374151"/>
          <w:sz w:val="19"/>
          <w:szCs w:val="19"/>
        </w:rPr>
        <w:t>prisma db push</w:t>
      </w:r>
      <w:r>
        <w:t>, sin rastro, y no se podía reproducir la base desde cero.</w:t>
      </w:r>
    </w:p>
    <w:p w14:paraId="46689643" w14:textId="77777777" w:rsidR="009230B2" w:rsidRDefault="00C11926">
      <w:pPr>
        <w:spacing w:after="120" w:line="276" w:lineRule="auto"/>
      </w:pPr>
      <w:r>
        <w:rPr>
          <w:b/>
          <w:bCs/>
        </w:rPr>
        <w:t>Decisión.</w:t>
      </w:r>
      <w:r>
        <w:t xml:space="preserve"> Todo cambio pasa por </w:t>
      </w:r>
      <w:r>
        <w:rPr>
          <w:rFonts w:ascii="Consolas" w:eastAsia="Consolas" w:hAnsi="Consolas" w:cs="Consolas"/>
          <w:color w:val="374151"/>
          <w:sz w:val="19"/>
          <w:szCs w:val="19"/>
        </w:rPr>
        <w:t>prisma migrate dev</w:t>
      </w:r>
      <w:r>
        <w:t xml:space="preserve"> y se commitea con su carpeta de migración; </w:t>
      </w:r>
      <w:r>
        <w:rPr>
          <w:rFonts w:ascii="Consolas" w:eastAsia="Consolas" w:hAnsi="Consolas" w:cs="Consolas"/>
          <w:color w:val="374151"/>
          <w:sz w:val="19"/>
          <w:szCs w:val="19"/>
        </w:rPr>
        <w:t>db:push</w:t>
      </w:r>
      <w:r>
        <w:t xml:space="preserve"> está deshabilitado. Una migración </w:t>
      </w:r>
      <w:r>
        <w:rPr>
          <w:rFonts w:ascii="Consolas" w:eastAsia="Consolas" w:hAnsi="Consolas" w:cs="Consolas"/>
          <w:color w:val="374151"/>
          <w:sz w:val="19"/>
          <w:szCs w:val="19"/>
        </w:rPr>
        <w:t>baseline</w:t>
      </w:r>
      <w:r>
        <w:t xml:space="preserve"> capturó el estado previo. El CI aplica todo desde cero y verifica que el schema coincida.</w:t>
      </w:r>
    </w:p>
    <w:p w14:paraId="355953A5" w14:textId="77777777" w:rsidR="009230B2" w:rsidRDefault="00C11926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Seguir con </w:t>
      </w:r>
      <w:r>
        <w:rPr>
          <w:rFonts w:ascii="Consolas" w:eastAsia="Consolas" w:hAnsi="Consolas" w:cs="Consolas"/>
          <w:color w:val="374151"/>
          <w:sz w:val="19"/>
          <w:szCs w:val="19"/>
        </w:rPr>
        <w:t>db push</w:t>
      </w:r>
      <w:r>
        <w:t>.</w:t>
      </w:r>
    </w:p>
    <w:p w14:paraId="3EEAA979" w14:textId="77777777" w:rsidR="009230B2" w:rsidRDefault="00C11926">
      <w:pPr>
        <w:spacing w:after="120" w:line="276" w:lineRule="auto"/>
      </w:pPr>
      <w:r>
        <w:rPr>
          <w:b/>
          <w:bCs/>
        </w:rPr>
        <w:t>Consecuencias.</w:t>
      </w:r>
      <w:r>
        <w:t xml:space="preserve"> Bases reproducibles; producción se actualiza con </w:t>
      </w:r>
      <w:r>
        <w:rPr>
          <w:rFonts w:ascii="Consolas" w:eastAsia="Consolas" w:hAnsi="Consolas" w:cs="Consolas"/>
          <w:color w:val="374151"/>
          <w:sz w:val="19"/>
          <w:szCs w:val="19"/>
        </w:rPr>
        <w:t>migrate deploy</w:t>
      </w:r>
      <w:r>
        <w:t>.</w:t>
      </w:r>
    </w:p>
    <w:p w14:paraId="4B745A34" w14:textId="77777777" w:rsidR="009230B2" w:rsidRDefault="00C11926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CLAUDE.md &gt; Migraciones</w:t>
      </w:r>
    </w:p>
    <w:p w14:paraId="49B54F29" w14:textId="77777777" w:rsidR="009230B2" w:rsidRDefault="00C11926">
      <w:pPr>
        <w:pStyle w:val="Ttulo2"/>
        <w:keepNext/>
      </w:pPr>
      <w:bookmarkStart w:id="11" w:name="_Toc243055229"/>
      <w:r>
        <w:t>ADR-10. SPEC primero (Spec Driven Design)</w:t>
      </w:r>
      <w:bookmarkEnd w:id="11"/>
    </w:p>
    <w:p w14:paraId="4BAAC2AB" w14:textId="77777777" w:rsidR="009230B2" w:rsidRDefault="00C11926">
      <w:pPr>
        <w:spacing w:after="120" w:line="276" w:lineRule="auto"/>
      </w:pPr>
      <w:r>
        <w:rPr>
          <w:b/>
          <w:bCs/>
        </w:rPr>
        <w:t>Contexto.</w:t>
      </w:r>
      <w:r>
        <w:t xml:space="preserve"> El sistema se construyó en gran parte con asistencia de IA; sin una fuente de verdad, el código y lo esperado divergían.</w:t>
      </w:r>
    </w:p>
    <w:p w14:paraId="70FAEDBD" w14:textId="77777777" w:rsidR="009230B2" w:rsidRDefault="00C11926">
      <w:pPr>
        <w:spacing w:after="120" w:line="276" w:lineRule="auto"/>
      </w:pPr>
      <w:r>
        <w:rPr>
          <w:b/>
          <w:bCs/>
        </w:rPr>
        <w:t>Decisión.</w:t>
      </w:r>
      <w:r>
        <w:t xml:space="preserve"> El SPEC se actualiza antes o en el mismo commit que cualquier cambio de modelo, ruta o regla. En un pull request, el CI falla si cambia el schema sin el SPEC.</w:t>
      </w:r>
    </w:p>
    <w:p w14:paraId="657F60C5" w14:textId="77777777" w:rsidR="009230B2" w:rsidRDefault="00C11926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Documentar después.</w:t>
      </w:r>
    </w:p>
    <w:p w14:paraId="62B0622C" w14:textId="77777777" w:rsidR="009230B2" w:rsidRDefault="00C11926">
      <w:pPr>
        <w:spacing w:after="120" w:line="276" w:lineRule="auto"/>
      </w:pPr>
      <w:r>
        <w:rPr>
          <w:b/>
          <w:bCs/>
        </w:rPr>
        <w:t>Consecuencias.</w:t>
      </w:r>
      <w:r>
        <w:t xml:space="preserve"> Cada regla tiene su sección y su fecha; las decisiones del usuario quedan escritas.</w:t>
      </w:r>
    </w:p>
    <w:p w14:paraId="23B30E73" w14:textId="77777777" w:rsidR="009230B2" w:rsidRDefault="00C11926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CLAUDE.md &gt; Proceso SDD</w:t>
      </w:r>
    </w:p>
    <w:p w14:paraId="273E0ACD" w14:textId="77777777" w:rsidR="009230B2" w:rsidRDefault="00C11926">
      <w:pPr>
        <w:pStyle w:val="Ttulo2"/>
        <w:keepNext/>
      </w:pPr>
      <w:bookmarkStart w:id="12" w:name="_Toc243055230"/>
      <w:r>
        <w:t>ADR-11. Sesiones JWT revalidadas en cada petición</w:t>
      </w:r>
      <w:bookmarkEnd w:id="12"/>
    </w:p>
    <w:p w14:paraId="123116B8" w14:textId="77777777" w:rsidR="009230B2" w:rsidRDefault="00C11926">
      <w:pPr>
        <w:spacing w:after="120" w:line="276" w:lineRule="auto"/>
      </w:pPr>
      <w:r>
        <w:rPr>
          <w:b/>
          <w:bCs/>
        </w:rPr>
        <w:t>Contexto.</w:t>
      </w:r>
      <w:r>
        <w:t xml:space="preserve"> Con JWT puros, una cuenta desactivada o una sesión cerrada seguían válidas hasta vencer.</w:t>
      </w:r>
    </w:p>
    <w:p w14:paraId="004145D3" w14:textId="77777777" w:rsidR="009230B2" w:rsidRDefault="00C11926">
      <w:pPr>
        <w:spacing w:after="120" w:line="276" w:lineRule="auto"/>
      </w:pPr>
      <w:r>
        <w:rPr>
          <w:b/>
          <w:bCs/>
        </w:rPr>
        <w:t>Decisión.</w:t>
      </w:r>
      <w:r>
        <w:t xml:space="preserve"> NextAuth con estrategia JWT, pero el callback relee la cuenta en cada petición: una cuenta desactivada queda fuera, hay lista de sesiones cerradas y "sesiones válidas desde", y una sola sesión vigente por usuario.</w:t>
      </w:r>
    </w:p>
    <w:p w14:paraId="63204CDF" w14:textId="77777777" w:rsidR="009230B2" w:rsidRDefault="00C11926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Sesiones en base de datos (más consultas y otra tabla de sesiones).</w:t>
      </w:r>
    </w:p>
    <w:p w14:paraId="69320112" w14:textId="77777777" w:rsidR="009230B2" w:rsidRDefault="00C11926">
      <w:pPr>
        <w:spacing w:after="120" w:line="276" w:lineRule="auto"/>
      </w:pPr>
      <w:r>
        <w:rPr>
          <w:b/>
          <w:bCs/>
        </w:rPr>
        <w:t>Consecuencias.</w:t>
      </w:r>
      <w:r>
        <w:t xml:space="preserve"> Cierre de sesión efectivo y control del administrador, con el costo de una lectura por petición.</w:t>
      </w:r>
    </w:p>
    <w:p w14:paraId="3E5FF3A5" w14:textId="77777777" w:rsidR="009230B2" w:rsidRDefault="00C11926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2.112.5, 2.128</w:t>
      </w:r>
    </w:p>
    <w:p w14:paraId="0212CE32" w14:textId="77777777" w:rsidR="009230B2" w:rsidRDefault="00C11926">
      <w:pPr>
        <w:pStyle w:val="Ttulo2"/>
        <w:keepNext/>
      </w:pPr>
      <w:bookmarkStart w:id="13" w:name="_Toc243055231"/>
      <w:r>
        <w:t>ADR-12. Bajas definitivas y borrado restringido</w:t>
      </w:r>
      <w:bookmarkEnd w:id="13"/>
    </w:p>
    <w:p w14:paraId="267D120F" w14:textId="77777777" w:rsidR="009230B2" w:rsidRDefault="00C11926">
      <w:pPr>
        <w:spacing w:after="120" w:line="276" w:lineRule="auto"/>
      </w:pPr>
      <w:r>
        <w:rPr>
          <w:b/>
          <w:bCs/>
        </w:rPr>
        <w:t>Contexto.</w:t>
      </w:r>
      <w:r>
        <w:t xml:space="preserve"> Un equipo con historia es evidencia de auditoría.</w:t>
      </w:r>
    </w:p>
    <w:p w14:paraId="272A7E47" w14:textId="77777777" w:rsidR="009230B2" w:rsidRDefault="00C11926">
      <w:pPr>
        <w:spacing w:after="120" w:line="276" w:lineRule="auto"/>
      </w:pPr>
      <w:r>
        <w:rPr>
          <w:b/>
          <w:bCs/>
        </w:rPr>
        <w:t>Decisión.</w:t>
      </w:r>
      <w:r>
        <w:t xml:space="preserve"> Un equipo con historial o asignaciones no se borra: se da de baja con un motivo. Solo uno Disponible que nunca se usó se elimina (queda en la auditoría). La baja es definitiva, salvo un equipo perdido en un despacho que aparece.</w:t>
      </w:r>
    </w:p>
    <w:p w14:paraId="243B3672" w14:textId="77777777" w:rsidR="009230B2" w:rsidRDefault="00C11926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Borrado libre o "papelera".</w:t>
      </w:r>
    </w:p>
    <w:p w14:paraId="0EA4864A" w14:textId="77777777" w:rsidR="009230B2" w:rsidRDefault="00C11926">
      <w:pPr>
        <w:spacing w:after="120" w:line="276" w:lineRule="auto"/>
      </w:pPr>
      <w:r>
        <w:rPr>
          <w:b/>
          <w:bCs/>
        </w:rPr>
        <w:t>Consecuencias.</w:t>
      </w:r>
      <w:r>
        <w:t xml:space="preserve"> La historia de cada equipo se conserva; los duplicados de importación se descartan con </w:t>
      </w:r>
      <w:r>
        <w:rPr>
          <w:rFonts w:ascii="Consolas" w:eastAsia="Consolas" w:hAnsi="Consolas" w:cs="Consolas"/>
          <w:color w:val="374151"/>
          <w:sz w:val="19"/>
          <w:szCs w:val="19"/>
        </w:rPr>
        <w:t>deletedAt</w:t>
      </w:r>
      <w:r>
        <w:t>.</w:t>
      </w:r>
    </w:p>
    <w:p w14:paraId="58C07450" w14:textId="77777777" w:rsidR="009230B2" w:rsidRDefault="00C11926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2.7.7, 2.130, 2.140</w:t>
      </w:r>
    </w:p>
    <w:p w14:paraId="6A3AFA13" w14:textId="77777777" w:rsidR="009230B2" w:rsidRDefault="00C11926">
      <w:pPr>
        <w:pStyle w:val="Ttulo2"/>
        <w:keepNext/>
      </w:pPr>
      <w:bookmarkStart w:id="14" w:name="_Toc243055232"/>
      <w:r>
        <w:t>ADR-13. PDF generados en el servidor con react-pdf</w:t>
      </w:r>
      <w:bookmarkEnd w:id="14"/>
    </w:p>
    <w:p w14:paraId="7398A302" w14:textId="77777777" w:rsidR="009230B2" w:rsidRDefault="00C11926">
      <w:pPr>
        <w:spacing w:after="120" w:line="276" w:lineRule="auto"/>
      </w:pPr>
      <w:r>
        <w:rPr>
          <w:b/>
          <w:bCs/>
        </w:rPr>
        <w:t>Contexto.</w:t>
      </w:r>
      <w:r>
        <w:t xml:space="preserve"> Las actas deben verse igual en cualquier navegador y quedar listas para firmar o archivar.</w:t>
      </w:r>
    </w:p>
    <w:p w14:paraId="41B28A73" w14:textId="77777777" w:rsidR="009230B2" w:rsidRDefault="00C11926">
      <w:pPr>
        <w:spacing w:after="120" w:line="276" w:lineRule="auto"/>
      </w:pPr>
      <w:r>
        <w:rPr>
          <w:b/>
          <w:bCs/>
        </w:rPr>
        <w:t>Decisión.</w:t>
      </w:r>
      <w:r>
        <w:t xml:space="preserve"> </w:t>
      </w:r>
      <w:r>
        <w:rPr>
          <w:rFonts w:ascii="Consolas" w:eastAsia="Consolas" w:hAnsi="Consolas" w:cs="Consolas"/>
          <w:color w:val="374151"/>
          <w:sz w:val="19"/>
          <w:szCs w:val="19"/>
        </w:rPr>
        <w:t>@react-pdf/renderer</w:t>
      </w:r>
      <w:r>
        <w:t xml:space="preserve"> en el servidor, con plantillas en </w:t>
      </w:r>
      <w:r>
        <w:rPr>
          <w:rFonts w:ascii="Consolas" w:eastAsia="Consolas" w:hAnsi="Consolas" w:cs="Consolas"/>
          <w:color w:val="374151"/>
          <w:sz w:val="19"/>
          <w:szCs w:val="19"/>
        </w:rPr>
        <w:t>modules/*/plantillas</w:t>
      </w:r>
      <w:r>
        <w:t xml:space="preserve"> y estilos compartidos en </w:t>
      </w:r>
      <w:r>
        <w:rPr>
          <w:rFonts w:ascii="Consolas" w:eastAsia="Consolas" w:hAnsi="Consolas" w:cs="Consolas"/>
          <w:color w:val="374151"/>
          <w:sz w:val="19"/>
          <w:szCs w:val="19"/>
        </w:rPr>
        <w:t>shared/pdf</w:t>
      </w:r>
      <w:r>
        <w:t>. Puerta propia (</w:t>
      </w:r>
      <w:r>
        <w:rPr>
          <w:rFonts w:ascii="Consolas" w:eastAsia="Consolas" w:hAnsi="Consolas" w:cs="Consolas"/>
          <w:color w:val="374151"/>
          <w:sz w:val="19"/>
          <w:szCs w:val="19"/>
        </w:rPr>
        <w:t>/documentos</w:t>
      </w:r>
      <w:r>
        <w:t>) por su peso, y límite de uso por usuario.</w:t>
      </w:r>
    </w:p>
    <w:p w14:paraId="79762807" w14:textId="77777777" w:rsidR="009230B2" w:rsidRDefault="00C11926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Imprimir HTML desde el navegador.</w:t>
      </w:r>
    </w:p>
    <w:p w14:paraId="44EA94F8" w14:textId="77777777" w:rsidR="009230B2" w:rsidRDefault="00C11926">
      <w:pPr>
        <w:spacing w:after="120" w:line="276" w:lineRule="auto"/>
      </w:pPr>
      <w:r>
        <w:rPr>
          <w:b/>
          <w:bCs/>
        </w:rPr>
        <w:t>Consecuencias.</w:t>
      </w:r>
      <w:r>
        <w:t xml:space="preserve"> Documentos idénticos para todos; mayor uso de servidor (límite de 60 s y 30 por minuto).</w:t>
      </w:r>
    </w:p>
    <w:p w14:paraId="7661D4D1" w14:textId="77777777" w:rsidR="009230B2" w:rsidRDefault="00C11926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2.108, 2.157</w:t>
      </w:r>
    </w:p>
    <w:p w14:paraId="222E5741" w14:textId="77777777" w:rsidR="009230B2" w:rsidRDefault="00C11926">
      <w:pPr>
        <w:pStyle w:val="Ttulo2"/>
        <w:keepNext/>
      </w:pPr>
      <w:bookmarkStart w:id="15" w:name="_Toc243055233"/>
      <w:r>
        <w:t>ADR-14. Errores sin datos internos para el usuario</w:t>
      </w:r>
      <w:bookmarkEnd w:id="15"/>
    </w:p>
    <w:p w14:paraId="66D61FDE" w14:textId="77777777" w:rsidR="009230B2" w:rsidRDefault="00C11926">
      <w:pPr>
        <w:spacing w:after="120" w:line="276" w:lineRule="auto"/>
      </w:pPr>
      <w:r>
        <w:rPr>
          <w:b/>
          <w:bCs/>
        </w:rPr>
        <w:t>Contexto.</w:t>
      </w:r>
      <w:r>
        <w:t xml:space="preserve"> Con la base caída, el login mostraba la traza de Prisma con rutas, servidor y puerto.</w:t>
      </w:r>
    </w:p>
    <w:p w14:paraId="3F917DE3" w14:textId="77777777" w:rsidR="009230B2" w:rsidRDefault="00C11926">
      <w:pPr>
        <w:spacing w:after="120" w:line="276" w:lineRule="auto"/>
      </w:pPr>
      <w:r>
        <w:rPr>
          <w:b/>
          <w:bCs/>
        </w:rPr>
        <w:t>Decisión.</w:t>
      </w:r>
      <w:r>
        <w:t xml:space="preserve"> Los errores de dominio se muestran tal cual; cualquier otro se registra en el servidor y la persona ve un aviso simple (503 si la base no responde). En pantallas, </w:t>
      </w:r>
      <w:r>
        <w:rPr>
          <w:rFonts w:ascii="Consolas" w:eastAsia="Consolas" w:hAnsi="Consolas" w:cs="Consolas"/>
          <w:color w:val="374151"/>
          <w:sz w:val="19"/>
          <w:szCs w:val="19"/>
        </w:rPr>
        <w:t>mensajeDeError</w:t>
      </w:r>
      <w:r>
        <w:t xml:space="preserve"> filtra los textos técnicos.</w:t>
      </w:r>
    </w:p>
    <w:p w14:paraId="4B973911" w14:textId="77777777" w:rsidR="009230B2" w:rsidRDefault="00C11926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Mostrar </w:t>
      </w:r>
      <w:r>
        <w:rPr>
          <w:rFonts w:ascii="Consolas" w:eastAsia="Consolas" w:hAnsi="Consolas" w:cs="Consolas"/>
          <w:color w:val="374151"/>
          <w:sz w:val="19"/>
          <w:szCs w:val="19"/>
        </w:rPr>
        <w:t>err.message</w:t>
      </w:r>
      <w:r>
        <w:t xml:space="preserve"> directamente.</w:t>
      </w:r>
    </w:p>
    <w:p w14:paraId="03752595" w14:textId="77777777" w:rsidR="009230B2" w:rsidRDefault="00C11926">
      <w:pPr>
        <w:spacing w:after="120" w:line="276" w:lineRule="auto"/>
      </w:pPr>
      <w:r>
        <w:rPr>
          <w:b/>
          <w:bCs/>
        </w:rPr>
        <w:t>Consecuencias.</w:t>
      </w:r>
      <w:r>
        <w:t xml:space="preserve"> Mensajes comprensibles y sin filtrar información útil para un atacante.</w:t>
      </w:r>
    </w:p>
    <w:p w14:paraId="402F87E4" w14:textId="77777777" w:rsidR="009230B2" w:rsidRDefault="00C11926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2.149</w:t>
      </w:r>
    </w:p>
    <w:p w14:paraId="7A7D0998" w14:textId="77777777" w:rsidR="009230B2" w:rsidRDefault="00C11926">
      <w:pPr>
        <w:pStyle w:val="Ttulo2"/>
        <w:keepNext/>
      </w:pPr>
      <w:bookmarkStart w:id="16" w:name="_Toc243055234"/>
      <w:r>
        <w:t>ADR-15. Tema claro y oscuro con tokens de diseño</w:t>
      </w:r>
      <w:bookmarkEnd w:id="16"/>
    </w:p>
    <w:p w14:paraId="29E60F45" w14:textId="77777777" w:rsidR="009230B2" w:rsidRDefault="00C11926">
      <w:pPr>
        <w:spacing w:after="120" w:line="276" w:lineRule="auto"/>
      </w:pPr>
      <w:r>
        <w:rPr>
          <w:b/>
          <w:bCs/>
        </w:rPr>
        <w:t>Contexto.</w:t>
      </w:r>
      <w:r>
        <w:t xml:space="preserve"> Los colores fijos (</w:t>
      </w:r>
      <w:r>
        <w:rPr>
          <w:rFonts w:ascii="Consolas" w:eastAsia="Consolas" w:hAnsi="Consolas" w:cs="Consolas"/>
          <w:color w:val="374151"/>
          <w:sz w:val="19"/>
          <w:szCs w:val="19"/>
        </w:rPr>
        <w:t>bg-white</w:t>
      </w:r>
      <w:r>
        <w:t>, hex) rompían el modo oscuro.</w:t>
      </w:r>
    </w:p>
    <w:p w14:paraId="79E49810" w14:textId="77777777" w:rsidR="009230B2" w:rsidRDefault="00C11926">
      <w:pPr>
        <w:spacing w:after="120" w:line="276" w:lineRule="auto"/>
      </w:pPr>
      <w:r>
        <w:rPr>
          <w:b/>
          <w:bCs/>
        </w:rPr>
        <w:t>Decisión.</w:t>
      </w:r>
      <w:r>
        <w:t xml:space="preserve"> Tokens semánticos (</w:t>
      </w:r>
      <w:r>
        <w:rPr>
          <w:rFonts w:ascii="Consolas" w:eastAsia="Consolas" w:hAnsi="Consolas" w:cs="Consolas"/>
          <w:color w:val="374151"/>
          <w:sz w:val="19"/>
          <w:szCs w:val="19"/>
        </w:rPr>
        <w:t>bg-surface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text-fg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border-line</w:t>
      </w:r>
      <w:r>
        <w:t xml:space="preserve">) y escalas de color ajustadas en oscuro en </w:t>
      </w:r>
      <w:r>
        <w:rPr>
          <w:rFonts w:ascii="Consolas" w:eastAsia="Consolas" w:hAnsi="Consolas" w:cs="Consolas"/>
          <w:color w:val="374151"/>
          <w:sz w:val="19"/>
          <w:szCs w:val="19"/>
        </w:rPr>
        <w:t>globals.css</w:t>
      </w:r>
      <w:r>
        <w:t>. Una prueba impide usar escalas sin versión oscura.</w:t>
      </w:r>
    </w:p>
    <w:p w14:paraId="51AAA163" w14:textId="77777777" w:rsidR="009230B2" w:rsidRDefault="00C11926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Hojas de estilo por tema.</w:t>
      </w:r>
    </w:p>
    <w:p w14:paraId="19FE2B4F" w14:textId="77777777" w:rsidR="009230B2" w:rsidRDefault="00C11926">
      <w:pPr>
        <w:spacing w:after="120" w:line="276" w:lineRule="auto"/>
      </w:pPr>
      <w:r>
        <w:rPr>
          <w:b/>
          <w:bCs/>
        </w:rPr>
        <w:t>Consecuencias.</w:t>
      </w:r>
      <w:r>
        <w:t xml:space="preserve"> Consistencia visual y contraste legible en ambos temas.</w:t>
      </w:r>
    </w:p>
    <w:p w14:paraId="46D02F18" w14:textId="77777777" w:rsidR="009230B2" w:rsidRDefault="00C11926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2.77, 2.78, 2.158; </w:t>
      </w:r>
      <w:r>
        <w:rPr>
          <w:rFonts w:ascii="Consolas" w:eastAsia="Consolas" w:hAnsi="Consolas" w:cs="Consolas"/>
          <w:color w:val="374151"/>
          <w:sz w:val="16"/>
          <w:szCs w:val="16"/>
        </w:rPr>
        <w:t>docs/DESIGN_SYSTEM.md</w:t>
      </w:r>
    </w:p>
    <w:p w14:paraId="3BAB8ACE" w14:textId="77777777" w:rsidR="009230B2" w:rsidRDefault="00C11926">
      <w:pPr>
        <w:pStyle w:val="Ttulo2"/>
        <w:keepNext/>
      </w:pPr>
      <w:bookmarkStart w:id="17" w:name="_Toc243055235"/>
      <w:r>
        <w:t>ADR-16. Catálogos del equipo con llave foránea</w:t>
      </w:r>
      <w:bookmarkEnd w:id="17"/>
    </w:p>
    <w:p w14:paraId="3EF8C792" w14:textId="77777777" w:rsidR="009230B2" w:rsidRDefault="00C11926">
      <w:pPr>
        <w:spacing w:after="120" w:line="276" w:lineRule="auto"/>
      </w:pPr>
      <w:r>
        <w:rPr>
          <w:b/>
          <w:bCs/>
        </w:rPr>
        <w:t>Contexto.</w:t>
      </w:r>
      <w:r>
        <w:t xml:space="preserve"> El equipo guardaba su marca, sistema operativo, antivirus y licencia como texto copiado del catálogo: renombrar una opción obligaba a corregir cada equipo, y nada impedía guardar un nombre que no existía.</w:t>
      </w:r>
    </w:p>
    <w:p w14:paraId="690CF17F" w14:textId="77777777" w:rsidR="009230B2" w:rsidRDefault="00C11926">
      <w:pPr>
        <w:spacing w:after="120" w:line="276" w:lineRule="auto"/>
      </w:pPr>
      <w:r>
        <w:rPr>
          <w:b/>
          <w:bCs/>
        </w:rPr>
        <w:t>Decisión.</w:t>
      </w:r>
      <w:r>
        <w:t xml:space="preserve"> Cada uno es una llave foránea a su catálogo (</w:t>
      </w:r>
      <w:r>
        <w:rPr>
          <w:rFonts w:ascii="Consolas" w:eastAsia="Consolas" w:hAnsi="Consolas" w:cs="Consolas"/>
          <w:color w:val="374151"/>
          <w:sz w:val="19"/>
          <w:szCs w:val="19"/>
        </w:rPr>
        <w:t>marcaId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sistemaOperativoId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antivirusId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licenciaMicrosoft365Id</w:t>
      </w:r>
      <w:r>
        <w:t>). La API sigue recibiendo el nombre y un solo paso lo traduce a la llave (</w:t>
      </w:r>
      <w:r>
        <w:rPr>
          <w:rFonts w:ascii="Consolas" w:eastAsia="Consolas" w:hAnsi="Consolas" w:cs="Consolas"/>
          <w:color w:val="374151"/>
          <w:sz w:val="19"/>
          <w:szCs w:val="19"/>
        </w:rPr>
        <w:t>idsDeCatalogos</w:t>
      </w:r>
      <w:r>
        <w:t>); una sola lista describe estos campos (</w:t>
      </w:r>
      <w:r>
        <w:rPr>
          <w:rFonts w:ascii="Consolas" w:eastAsia="Consolas" w:hAnsi="Consolas" w:cs="Consolas"/>
          <w:color w:val="374151"/>
          <w:sz w:val="19"/>
          <w:szCs w:val="19"/>
        </w:rPr>
        <w:t>camposCatalogo.ts</w:t>
      </w:r>
      <w:r>
        <w:t>). La migración no pierde datos: agrega al catálogo lo que falta y se detiene si algo no calza.</w:t>
      </w:r>
    </w:p>
    <w:p w14:paraId="30997D97" w14:textId="77777777" w:rsidR="009230B2" w:rsidRDefault="00C11926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Mantener el texto y validarlo contra el catálogo; o cambiar la API para recibir ids.</w:t>
      </w:r>
    </w:p>
    <w:p w14:paraId="0B73C547" w14:textId="77777777" w:rsidR="009230B2" w:rsidRDefault="00C11926">
      <w:pPr>
        <w:spacing w:after="120" w:line="276" w:lineRule="auto"/>
      </w:pPr>
      <w:r>
        <w:rPr>
          <w:b/>
          <w:bCs/>
        </w:rPr>
        <w:t>Consecuencias.</w:t>
      </w:r>
      <w:r>
        <w:t xml:space="preserve"> Integridad garantizada por la base, renombrar es inmediato y una opción en uso no se puede borrar. Las lecturas deben pedir el nombre por la relación.</w:t>
      </w:r>
    </w:p>
    <w:p w14:paraId="7363E9D7" w14:textId="77777777" w:rsidR="009230B2" w:rsidRDefault="00C11926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2.168</w:t>
      </w:r>
    </w:p>
    <w:sectPr w:rsidR="009230B2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A9A7D6" w14:textId="77777777" w:rsidR="00C11926" w:rsidRDefault="00C11926">
      <w:r>
        <w:separator/>
      </w:r>
    </w:p>
  </w:endnote>
  <w:endnote w:type="continuationSeparator" w:id="0">
    <w:p w14:paraId="505F46A6" w14:textId="77777777" w:rsidR="00C11926" w:rsidRDefault="00C119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A490D" w14:textId="77777777" w:rsidR="009230B2" w:rsidRDefault="00C11926">
    <w:r>
      <w:rPr>
        <w:color w:val="6B7280"/>
        <w:sz w:val="16"/>
        <w:szCs w:val="16"/>
      </w:rPr>
      <w:t>SCL Consultores · SPEC v2.70 · 13 de octubre de 2026</w:t>
    </w:r>
    <w:r>
      <w:ptab w:relativeTo="margin" w:alignment="right" w:leader="none"/>
    </w: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0F579D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0F579D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6EE8D8" w14:textId="77777777" w:rsidR="00C11926" w:rsidRDefault="00C11926">
      <w:r>
        <w:separator/>
      </w:r>
    </w:p>
  </w:footnote>
  <w:footnote w:type="continuationSeparator" w:id="0">
    <w:p w14:paraId="085681C9" w14:textId="77777777" w:rsidR="00C11926" w:rsidRDefault="00C119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24111" w14:textId="77777777" w:rsidR="009230B2" w:rsidRDefault="00C11926">
    <w:pPr>
      <w:pBdr>
        <w:bottom w:val="single" w:sz="4" w:space="4" w:color="D1D5DB"/>
      </w:pBdr>
    </w:pPr>
    <w:r>
      <w:rPr>
        <w:color w:val="6B7280"/>
        <w:sz w:val="16"/>
        <w:szCs w:val="16"/>
      </w:rPr>
      <w:t>Inventario IT · 03. Decisiones de arquitectura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D4278F"/>
    <w:multiLevelType w:val="hybridMultilevel"/>
    <w:tmpl w:val="8362F010"/>
    <w:lvl w:ilvl="0" w:tplc="413891C0" w:tentative="1">
      <w:start w:val="1"/>
      <w:numFmt w:val="decimal"/>
      <w:lvlText w:val="%1."/>
      <w:lvlJc w:val="left"/>
      <w:pPr>
        <w:ind w:left="420" w:hanging="300"/>
      </w:pPr>
    </w:lvl>
    <w:lvl w:ilvl="1" w:tplc="D9B0F016">
      <w:numFmt w:val="decimal"/>
      <w:lvlText w:val=""/>
      <w:lvlJc w:val="left"/>
    </w:lvl>
    <w:lvl w:ilvl="2" w:tplc="02806020">
      <w:numFmt w:val="decimal"/>
      <w:lvlText w:val=""/>
      <w:lvlJc w:val="left"/>
    </w:lvl>
    <w:lvl w:ilvl="3" w:tplc="03E4AB72">
      <w:numFmt w:val="decimal"/>
      <w:lvlText w:val=""/>
      <w:lvlJc w:val="left"/>
    </w:lvl>
    <w:lvl w:ilvl="4" w:tplc="BE9E4EC8">
      <w:numFmt w:val="decimal"/>
      <w:lvlText w:val=""/>
      <w:lvlJc w:val="left"/>
    </w:lvl>
    <w:lvl w:ilvl="5" w:tplc="E6563660">
      <w:numFmt w:val="decimal"/>
      <w:lvlText w:val=""/>
      <w:lvlJc w:val="left"/>
    </w:lvl>
    <w:lvl w:ilvl="6" w:tplc="642441A4">
      <w:numFmt w:val="decimal"/>
      <w:lvlText w:val=""/>
      <w:lvlJc w:val="left"/>
    </w:lvl>
    <w:lvl w:ilvl="7" w:tplc="7C125E34">
      <w:numFmt w:val="decimal"/>
      <w:lvlText w:val=""/>
      <w:lvlJc w:val="left"/>
    </w:lvl>
    <w:lvl w:ilvl="8" w:tplc="5DB08DBC">
      <w:numFmt w:val="decimal"/>
      <w:lvlText w:val=""/>
      <w:lvlJc w:val="left"/>
    </w:lvl>
  </w:abstractNum>
  <w:abstractNum w:abstractNumId="1" w15:restartNumberingAfterBreak="0">
    <w:nsid w:val="597C27FE"/>
    <w:multiLevelType w:val="hybridMultilevel"/>
    <w:tmpl w:val="E4D8C15E"/>
    <w:lvl w:ilvl="0" w:tplc="A52896F8" w:tentative="1">
      <w:start w:val="1"/>
      <w:numFmt w:val="bullet"/>
      <w:lvlText w:val="●"/>
      <w:lvlJc w:val="left"/>
      <w:pPr>
        <w:ind w:left="720" w:hanging="360"/>
      </w:pPr>
    </w:lvl>
    <w:lvl w:ilvl="1" w:tplc="34FAA5C0" w:tentative="1">
      <w:start w:val="1"/>
      <w:numFmt w:val="bullet"/>
      <w:lvlText w:val="○"/>
      <w:lvlJc w:val="left"/>
      <w:pPr>
        <w:ind w:left="1440" w:hanging="360"/>
      </w:pPr>
    </w:lvl>
    <w:lvl w:ilvl="2" w:tplc="62DC07AC" w:tentative="1">
      <w:start w:val="1"/>
      <w:numFmt w:val="bullet"/>
      <w:lvlText w:val="■"/>
      <w:lvlJc w:val="left"/>
      <w:pPr>
        <w:ind w:left="2160" w:hanging="360"/>
      </w:pPr>
    </w:lvl>
    <w:lvl w:ilvl="3" w:tplc="AF9C8246" w:tentative="1">
      <w:start w:val="1"/>
      <w:numFmt w:val="bullet"/>
      <w:lvlText w:val="●"/>
      <w:lvlJc w:val="left"/>
      <w:pPr>
        <w:ind w:left="2880" w:hanging="360"/>
      </w:pPr>
    </w:lvl>
    <w:lvl w:ilvl="4" w:tplc="1B68B81A" w:tentative="1">
      <w:start w:val="1"/>
      <w:numFmt w:val="bullet"/>
      <w:lvlText w:val="○"/>
      <w:lvlJc w:val="left"/>
      <w:pPr>
        <w:ind w:left="3600" w:hanging="360"/>
      </w:pPr>
    </w:lvl>
    <w:lvl w:ilvl="5" w:tplc="3970D5C8" w:tentative="1">
      <w:start w:val="1"/>
      <w:numFmt w:val="bullet"/>
      <w:lvlText w:val="■"/>
      <w:lvlJc w:val="left"/>
      <w:pPr>
        <w:ind w:left="4320" w:hanging="360"/>
      </w:pPr>
    </w:lvl>
    <w:lvl w:ilvl="6" w:tplc="D08078FE" w:tentative="1">
      <w:start w:val="1"/>
      <w:numFmt w:val="bullet"/>
      <w:lvlText w:val="●"/>
      <w:lvlJc w:val="left"/>
      <w:pPr>
        <w:ind w:left="5040" w:hanging="360"/>
      </w:pPr>
    </w:lvl>
    <w:lvl w:ilvl="7" w:tplc="1CA66868" w:tentative="1">
      <w:start w:val="1"/>
      <w:numFmt w:val="bullet"/>
      <w:lvlText w:val="●"/>
      <w:lvlJc w:val="left"/>
      <w:pPr>
        <w:ind w:left="5760" w:hanging="360"/>
      </w:pPr>
    </w:lvl>
    <w:lvl w:ilvl="8" w:tplc="B844A2C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99B7016"/>
    <w:multiLevelType w:val="hybridMultilevel"/>
    <w:tmpl w:val="91AAA686"/>
    <w:lvl w:ilvl="0" w:tplc="F2820960" w:tentative="1">
      <w:start w:val="1"/>
      <w:numFmt w:val="bullet"/>
      <w:lvlText w:val="•"/>
      <w:lvlJc w:val="left"/>
      <w:pPr>
        <w:ind w:left="400" w:hanging="260"/>
      </w:pPr>
    </w:lvl>
    <w:lvl w:ilvl="1" w:tplc="2752D864" w:tentative="1">
      <w:start w:val="1"/>
      <w:numFmt w:val="bullet"/>
      <w:lvlText w:val="–"/>
      <w:lvlJc w:val="left"/>
      <w:pPr>
        <w:ind w:left="760" w:hanging="260"/>
      </w:pPr>
    </w:lvl>
    <w:lvl w:ilvl="2" w:tplc="194CFF08" w:tentative="1">
      <w:start w:val="1"/>
      <w:numFmt w:val="bullet"/>
      <w:lvlText w:val="·"/>
      <w:lvlJc w:val="left"/>
      <w:pPr>
        <w:ind w:left="1120" w:hanging="260"/>
      </w:pPr>
    </w:lvl>
    <w:lvl w:ilvl="3" w:tplc="7BC23BF0">
      <w:numFmt w:val="decimal"/>
      <w:lvlText w:val=""/>
      <w:lvlJc w:val="left"/>
    </w:lvl>
    <w:lvl w:ilvl="4" w:tplc="DAA8F516">
      <w:numFmt w:val="decimal"/>
      <w:lvlText w:val=""/>
      <w:lvlJc w:val="left"/>
    </w:lvl>
    <w:lvl w:ilvl="5" w:tplc="CCA20EA8">
      <w:numFmt w:val="decimal"/>
      <w:lvlText w:val=""/>
      <w:lvlJc w:val="left"/>
    </w:lvl>
    <w:lvl w:ilvl="6" w:tplc="BFD0322A">
      <w:numFmt w:val="decimal"/>
      <w:lvlText w:val=""/>
      <w:lvlJc w:val="left"/>
    </w:lvl>
    <w:lvl w:ilvl="7" w:tplc="F3D8496A">
      <w:numFmt w:val="decimal"/>
      <w:lvlText w:val=""/>
      <w:lvlJc w:val="left"/>
    </w:lvl>
    <w:lvl w:ilvl="8" w:tplc="E8F6B584">
      <w:numFmt w:val="decimal"/>
      <w:lvlText w:val=""/>
      <w:lvlJc w:val="left"/>
    </w:lvl>
  </w:abstractNum>
  <w:num w:numId="1" w16cid:durableId="23062530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30B2"/>
    <w:rsid w:val="000F579D"/>
    <w:rsid w:val="003C1CDC"/>
    <w:rsid w:val="009230B2"/>
    <w:rsid w:val="00C11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E2356E1"/>
  <w15:docId w15:val="{C4648820-5047-4044-BE52-E0D47881C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80" w:after="120"/>
      <w:outlineLvl w:val="1"/>
    </w:pPr>
    <w:rPr>
      <w:b/>
      <w:bCs/>
      <w:color w:val="006A93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1F3A5F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0F579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F579D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1942</Words>
  <Characters>10318</Characters>
  <Application>Microsoft Office Word</Application>
  <DocSecurity>0</DocSecurity>
  <Lines>412</Lines>
  <Paragraphs>437</Paragraphs>
  <ScaleCrop>false</ScaleCrop>
  <Company/>
  <LinksUpToDate>false</LinksUpToDate>
  <CharactersWithSpaces>11823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03. Decisiones de arquitectura</dc:title>
  <dc:creator>SCL Consultores</dc:creator>
  <dc:description>Inventario IT · Decisiones de arquitectura</dc:description>
  <cp:lastModifiedBy>Javier Andrés Soto Jaque</cp:lastModifiedBy>
  <cp:revision>2</cp:revision>
  <dcterms:created xsi:type="dcterms:W3CDTF">2026-10-16T17:58:00Z</dcterms:created>
  <dcterms:modified xsi:type="dcterms:W3CDTF">2026-10-16T17:58:00Z</dcterms:modified>
</cp:coreProperties>
</file>