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3520" w14:textId="77777777" w:rsidR="0030758B" w:rsidRDefault="0030758B">
      <w:pPr>
        <w:spacing w:before="2400"/>
      </w:pPr>
    </w:p>
    <w:p w14:paraId="333CBE01" w14:textId="77777777" w:rsidR="0030758B" w:rsidRDefault="005F12DE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3C51FABD" w14:textId="77777777" w:rsidR="0030758B" w:rsidRDefault="005F12DE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300CFE5A" w14:textId="77777777" w:rsidR="0030758B" w:rsidRDefault="005F12DE">
      <w:pPr>
        <w:spacing w:after="120"/>
      </w:pPr>
      <w:r>
        <w:rPr>
          <w:b/>
          <w:bCs/>
          <w:color w:val="006A93"/>
          <w:sz w:val="24"/>
          <w:szCs w:val="24"/>
        </w:rPr>
        <w:t>Documento 03</w:t>
      </w:r>
    </w:p>
    <w:p w14:paraId="7D86866D" w14:textId="77777777" w:rsidR="0030758B" w:rsidRDefault="005F12DE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Decisiones de arquitectura</w:t>
      </w:r>
    </w:p>
    <w:p w14:paraId="2CE00B98" w14:textId="77777777" w:rsidR="0030758B" w:rsidRDefault="005F12DE">
      <w:pPr>
        <w:spacing w:after="1600" w:line="300" w:lineRule="auto"/>
      </w:pPr>
      <w:r>
        <w:rPr>
          <w:color w:val="374151"/>
          <w:sz w:val="24"/>
          <w:szCs w:val="24"/>
        </w:rPr>
        <w:t>Registro de las decisiones de arquitectura (ADR): contexto, decisión, alternativas descartadas y consecuencias.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30758B" w14:paraId="3CC37595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993C5" w14:textId="77777777" w:rsidR="0030758B" w:rsidRDefault="005F12D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6C655" w14:textId="77777777" w:rsidR="0030758B" w:rsidRDefault="005F12D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30758B" w14:paraId="2F1F4A3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B2A4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C0B6D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30758B" w14:paraId="4885B2C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FC087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9E7FE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30758B" w14:paraId="6DD0777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90670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8E61B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30758B" w14:paraId="17A2082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41261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200B5" w14:textId="77777777" w:rsidR="0030758B" w:rsidRDefault="005F12DE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3E1EB4E0" w14:textId="77777777" w:rsidR="0030758B" w:rsidRDefault="0030758B">
      <w:pPr>
        <w:spacing w:after="60"/>
      </w:pPr>
    </w:p>
    <w:p w14:paraId="3B0DDBE1" w14:textId="77777777" w:rsidR="0030758B" w:rsidRDefault="005F12DE">
      <w:r>
        <w:br w:type="page"/>
      </w:r>
    </w:p>
    <w:p w14:paraId="1DB90CCC" w14:textId="77777777" w:rsidR="0030758B" w:rsidRDefault="005F12DE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414817344"/>
      </w:sdtPr>
      <w:sdtEndPr/>
      <w:sdtContent>
        <w:p w14:paraId="35BBAC20" w14:textId="15BDA768" w:rsidR="00F708AA" w:rsidRDefault="005F12D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5348" w:history="1">
            <w:r w:rsidR="00F708AA" w:rsidRPr="00885B00">
              <w:rPr>
                <w:rStyle w:val="Hipervnculo"/>
                <w:noProof/>
              </w:rPr>
              <w:t>1. Cómo leer este documento</w:t>
            </w:r>
            <w:r w:rsidR="00F708AA">
              <w:rPr>
                <w:noProof/>
              </w:rPr>
              <w:tab/>
            </w:r>
            <w:r w:rsidR="00F708AA">
              <w:rPr>
                <w:noProof/>
              </w:rPr>
              <w:fldChar w:fldCharType="begin"/>
            </w:r>
            <w:r w:rsidR="00F708AA">
              <w:rPr>
                <w:noProof/>
              </w:rPr>
              <w:instrText xml:space="preserve"> PAGEREF _Toc243305348 \h </w:instrText>
            </w:r>
            <w:r w:rsidR="00F708AA">
              <w:rPr>
                <w:noProof/>
              </w:rPr>
            </w:r>
            <w:r w:rsidR="00F708AA">
              <w:rPr>
                <w:noProof/>
              </w:rPr>
              <w:fldChar w:fldCharType="separate"/>
            </w:r>
            <w:r w:rsidR="00F708AA">
              <w:rPr>
                <w:noProof/>
              </w:rPr>
              <w:t>3</w:t>
            </w:r>
            <w:r w:rsidR="00F708AA">
              <w:rPr>
                <w:noProof/>
              </w:rPr>
              <w:fldChar w:fldCharType="end"/>
            </w:r>
          </w:hyperlink>
        </w:p>
        <w:p w14:paraId="7BC7153F" w14:textId="559D22B3" w:rsidR="00F708AA" w:rsidRDefault="00F708A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49" w:history="1">
            <w:r w:rsidRPr="00885B00">
              <w:rPr>
                <w:rStyle w:val="Hipervnculo"/>
                <w:noProof/>
              </w:rPr>
              <w:t>2. Decisiones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8718FC" w14:textId="7784A2B1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0" w:history="1">
            <w:r w:rsidRPr="00885B00">
              <w:rPr>
                <w:rStyle w:val="Hipervnculo"/>
                <w:noProof/>
              </w:rPr>
              <w:t>ADR-01. Monolito modular en vez de microservicios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D64235" w14:textId="777342BA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1" w:history="1">
            <w:r w:rsidRPr="00885B00">
              <w:rPr>
                <w:rStyle w:val="Hipervnculo"/>
                <w:noProof/>
              </w:rPr>
              <w:t>ADR-02. Puertas entre módulos verificadas por ESLint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B6A9BE" w14:textId="2908B618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2" w:history="1">
            <w:r w:rsidRPr="00885B00">
              <w:rPr>
                <w:rStyle w:val="Hipervnculo"/>
                <w:noProof/>
              </w:rPr>
              <w:t>ADR-03. Cada tabla tiene un solo módulo dueño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9ACA99" w14:textId="5098B6FE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3" w:history="1">
            <w:r w:rsidRPr="00885B00">
              <w:rPr>
                <w:rStyle w:val="Hipervnculo"/>
                <w:noProof/>
              </w:rPr>
              <w:t>ADR-04. Un solo camino para cambiar el estado de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5B0AA1" w14:textId="5C34EAD6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4" w:history="1">
            <w:r w:rsidRPr="00885B00">
              <w:rPr>
                <w:rStyle w:val="Hipervnculo"/>
                <w:noProof/>
              </w:rPr>
              <w:t>ADR-05. Las rutas solo orquestan; la lógica vive en los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B37B0F" w14:textId="30DDE7BA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5" w:history="1">
            <w:r w:rsidRPr="00885B00">
              <w:rPr>
                <w:rStyle w:val="Hipervnculo"/>
                <w:noProof/>
              </w:rPr>
              <w:t>ADR-06. Matriz de permisos única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84CD9C" w14:textId="0BB38965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6" w:history="1">
            <w:r w:rsidRPr="00885B00">
              <w:rPr>
                <w:rStyle w:val="Hipervnculo"/>
                <w:noProof/>
              </w:rPr>
              <w:t>ADR-07. Dos roles: administrador y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D0A786" w14:textId="08409B9C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7" w:history="1">
            <w:r w:rsidRPr="00885B00">
              <w:rPr>
                <w:rStyle w:val="Hipervnculo"/>
                <w:noProof/>
              </w:rPr>
              <w:t>ADR-08. La sede es un dato, no un candado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B78EF4" w14:textId="22B663D6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8" w:history="1">
            <w:r w:rsidRPr="00885B00">
              <w:rPr>
                <w:rStyle w:val="Hipervnculo"/>
                <w:noProof/>
              </w:rPr>
              <w:t>ADR-09. Migraciones versionadas como única vía de cambio del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F4073A" w14:textId="6860E9BA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59" w:history="1">
            <w:r w:rsidRPr="00885B00">
              <w:rPr>
                <w:rStyle w:val="Hipervnculo"/>
                <w:noProof/>
              </w:rPr>
              <w:t>ADR-10. SPEC primero (Spec Driven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C5F4B7" w14:textId="615ECFEB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0" w:history="1">
            <w:r w:rsidRPr="00885B00">
              <w:rPr>
                <w:rStyle w:val="Hipervnculo"/>
                <w:noProof/>
              </w:rPr>
              <w:t>ADR-11. Sesiones JWT revalidadas en cada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49F69B" w14:textId="04BB961B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1" w:history="1">
            <w:r w:rsidRPr="00885B00">
              <w:rPr>
                <w:rStyle w:val="Hipervnculo"/>
                <w:noProof/>
              </w:rPr>
              <w:t>ADR-12. Bajas definitivas y borrado restringido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868854" w14:textId="0E14AE19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2" w:history="1">
            <w:r w:rsidRPr="00885B00">
              <w:rPr>
                <w:rStyle w:val="Hipervnculo"/>
                <w:noProof/>
              </w:rPr>
              <w:t>ADR-13. PDF generados en el servidor con react-pdf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28C746" w14:textId="04AEF3A7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3" w:history="1">
            <w:r w:rsidRPr="00885B00">
              <w:rPr>
                <w:rStyle w:val="Hipervnculo"/>
                <w:noProof/>
              </w:rPr>
              <w:t>ADR-14. Errores sin datos internos para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718A37" w14:textId="35071B89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4" w:history="1">
            <w:r w:rsidRPr="00885B00">
              <w:rPr>
                <w:rStyle w:val="Hipervnculo"/>
                <w:noProof/>
              </w:rPr>
              <w:t>ADR-15. Tema claro y oscuro con tokens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D04C40" w14:textId="7227B717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5" w:history="1">
            <w:r w:rsidRPr="00885B00">
              <w:rPr>
                <w:rStyle w:val="Hipervnculo"/>
                <w:noProof/>
              </w:rPr>
              <w:t>ADR-16. Catálogos del equipo con llave foránea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0A1F26" w14:textId="5B46303B" w:rsidR="00F708AA" w:rsidRDefault="00F708A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366" w:history="1">
            <w:r w:rsidRPr="00885B00">
              <w:rPr>
                <w:rStyle w:val="Hipervnculo"/>
                <w:noProof/>
              </w:rPr>
              <w:t>ADR-17. Configuración simple: sin bloqueo por equipo ni sedes desactivadas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2BCB1C" w14:textId="6B59BDDC" w:rsidR="0030758B" w:rsidRDefault="005F12DE">
          <w:r>
            <w:fldChar w:fldCharType="end"/>
          </w:r>
        </w:p>
      </w:sdtContent>
    </w:sdt>
    <w:p w14:paraId="7A1BB906" w14:textId="77777777" w:rsidR="0030758B" w:rsidRDefault="005F12DE">
      <w:r>
        <w:br w:type="page"/>
      </w:r>
    </w:p>
    <w:p w14:paraId="149622CE" w14:textId="77777777" w:rsidR="0030758B" w:rsidRDefault="005F12DE">
      <w:pPr>
        <w:pStyle w:val="Ttulo1"/>
        <w:keepNext/>
      </w:pPr>
      <w:bookmarkStart w:id="0" w:name="_Toc243305348"/>
      <w:r>
        <w:t>1. Cómo leer este documento</w:t>
      </w:r>
      <w:bookmarkEnd w:id="0"/>
    </w:p>
    <w:p w14:paraId="5EC1E39E" w14:textId="77777777" w:rsidR="0030758B" w:rsidRDefault="005F12DE">
      <w:pPr>
        <w:spacing w:after="120" w:line="276" w:lineRule="auto"/>
      </w:pPr>
      <w:r>
        <w:t>Cada decisión sigue el formato ADR (Architecture Decision Record): el contexto que la motivó, lo que se decidió, lo que se descartó y sus consecuencias. Las referencias apuntan a secciones del SPEC (</w:t>
      </w: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>), que es la fuente de verdad.</w:t>
      </w:r>
    </w:p>
    <w:p w14:paraId="4F4619BC" w14:textId="77777777" w:rsidR="0030758B" w:rsidRDefault="005F12DE">
      <w:pPr>
        <w:pStyle w:val="Ttulo1"/>
        <w:keepNext/>
      </w:pPr>
      <w:bookmarkStart w:id="1" w:name="_Toc243305349"/>
      <w:r>
        <w:t>2. Decisiones</w:t>
      </w:r>
      <w:bookmarkEnd w:id="1"/>
    </w:p>
    <w:p w14:paraId="4F562C5E" w14:textId="77777777" w:rsidR="0030758B" w:rsidRDefault="005F12DE">
      <w:pPr>
        <w:pStyle w:val="Ttulo2"/>
        <w:keepNext/>
      </w:pPr>
      <w:bookmarkStart w:id="2" w:name="_Toc243305350"/>
      <w:r>
        <w:t>ADR-01. Monolito modular en vez de microservicios</w:t>
      </w:r>
      <w:bookmarkEnd w:id="2"/>
    </w:p>
    <w:p w14:paraId="37F101A4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Sistema interno de un área de TI, equipo pequeño y reglas muy conectadas entre dominios (un equipo pasa por compras, despachos, solicitudes y mantenciones).</w:t>
      </w:r>
    </w:p>
    <w:p w14:paraId="33D8D535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Una sola aplicación Next.js con módulos por dominio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src/modules/</w:t>
      </w:r>
      <w:r>
        <w:t xml:space="preserve"> y lo común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src/shared/</w:t>
      </w:r>
      <w:r>
        <w:t>.</w:t>
      </w:r>
    </w:p>
    <w:p w14:paraId="207829EC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Microservicios (costo operativo y transacciones distribuidas sin necesidad); capas técnicas sin dominios (se mezclaban reglas de distintos procesos).</w:t>
      </w:r>
    </w:p>
    <w:p w14:paraId="3CED0A24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Despliegue simple y transacciones locales; el orden se mantiene con reglas automáticas (ADR-02 y ADR-03).</w:t>
      </w:r>
    </w:p>
    <w:p w14:paraId="6CAAE4E3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2.118</w:t>
      </w:r>
    </w:p>
    <w:p w14:paraId="731BC230" w14:textId="77777777" w:rsidR="0030758B" w:rsidRDefault="005F12DE">
      <w:pPr>
        <w:pStyle w:val="Ttulo2"/>
        <w:keepNext/>
      </w:pPr>
      <w:bookmarkStart w:id="3" w:name="_Toc243305351"/>
      <w:r>
        <w:t>ADR-02. Puertas entre módulos verificadas por ESLint</w:t>
      </w:r>
      <w:bookmarkEnd w:id="3"/>
    </w:p>
    <w:p w14:paraId="0AF590AB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Al crecer, los módulos empezaban a importar archivos internos de otros, creando dependencias ocultas.</w:t>
      </w:r>
    </w:p>
    <w:p w14:paraId="09BBB2E3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Desde fuera de un módulo solo se importa por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</w:t>
      </w:r>
      <w:r>
        <w:t xml:space="preserve"> (reglas y tipos, sin base),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@/modules/x/servidor</w:t>
      </w:r>
      <w:r>
        <w:t xml:space="preserve"> (servicios con base) y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@/modules/x/componentes</w:t>
      </w:r>
      <w:r>
        <w:t xml:space="preserve">; los PDF y Excel tienen puertas propias.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</w:t>
      </w:r>
      <w:r>
        <w:t xml:space="preserve"> no importa módulos. ESLint (</w:t>
      </w:r>
      <w:r>
        <w:rPr>
          <w:rFonts w:ascii="Consolas" w:eastAsia="Consolas" w:hAnsi="Consolas" w:cs="Consolas"/>
          <w:color w:val="374151"/>
          <w:sz w:val="19"/>
          <w:szCs w:val="19"/>
        </w:rPr>
        <w:t>no-restricted-imports</w:t>
      </w:r>
      <w:r>
        <w:t>) lo exige.</w:t>
      </w:r>
    </w:p>
    <w:p w14:paraId="00CA5BE0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Convención sin verificación (se rompía con el tiempo).</w:t>
      </w:r>
    </w:p>
    <w:p w14:paraId="6E3356B2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Errores de lint inmediatos si alguien cruza una frontera; las pantallas no pueden arrastrar código de base de datos.</w:t>
      </w:r>
    </w:p>
    <w:p w14:paraId="4291DEF4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2.118; </w:t>
      </w:r>
      <w:r>
        <w:rPr>
          <w:rFonts w:ascii="Consolas" w:eastAsia="Consolas" w:hAnsi="Consolas" w:cs="Consolas"/>
          <w:color w:val="374151"/>
          <w:sz w:val="16"/>
          <w:szCs w:val="16"/>
        </w:rPr>
        <w:t>eslint.config.mjs</w:t>
      </w:r>
    </w:p>
    <w:p w14:paraId="7123186B" w14:textId="77777777" w:rsidR="0030758B" w:rsidRDefault="005F12DE">
      <w:pPr>
        <w:pStyle w:val="Ttulo2"/>
        <w:keepNext/>
      </w:pPr>
      <w:bookmarkStart w:id="4" w:name="_Toc243305352"/>
      <w:r>
        <w:t>ADR-03. Cada tabla tiene un solo módulo dueño</w:t>
      </w:r>
      <w:bookmarkEnd w:id="4"/>
    </w:p>
    <w:p w14:paraId="6A6CC2A5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Varios módulos escribían las mismas tablas y las reglas se duplicaban o contradecían.</w:t>
      </w:r>
    </w:p>
    <w:p w14:paraId="697424DB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Solo el módulo dueño escribe su tabla; los demás llaman a sus funciones (por ejemplo </w:t>
      </w:r>
      <w:r>
        <w:rPr>
          <w:rFonts w:ascii="Consolas" w:eastAsia="Consolas" w:hAnsi="Consolas" w:cs="Consolas"/>
          <w:color w:val="374151"/>
          <w:sz w:val="19"/>
          <w:szCs w:val="19"/>
        </w:rPr>
        <w:t>cambiarEstado</w:t>
      </w:r>
      <w:r>
        <w:t xml:space="preserve"> de Activos o </w:t>
      </w:r>
      <w:r>
        <w:rPr>
          <w:rFonts w:ascii="Consolas" w:eastAsia="Consolas" w:hAnsi="Consolas" w:cs="Consolas"/>
          <w:color w:val="374151"/>
          <w:sz w:val="19"/>
          <w:szCs w:val="19"/>
        </w:rPr>
        <w:t>executeAssignment</w:t>
      </w:r>
      <w:r>
        <w:t xml:space="preserve"> de Asignaciones). Una prueba (</w:t>
      </w:r>
      <w:r>
        <w:rPr>
          <w:rFonts w:ascii="Consolas" w:eastAsia="Consolas" w:hAnsi="Consolas" w:cs="Consolas"/>
          <w:color w:val="374151"/>
          <w:sz w:val="19"/>
          <w:szCs w:val="19"/>
        </w:rPr>
        <w:t>duenosTablas.test.ts</w:t>
      </w:r>
      <w:r>
        <w:t>) falla si alguien escribe una tabla ajena o si una tabla nueva no tiene dueño.</w:t>
      </w:r>
    </w:p>
    <w:p w14:paraId="27B6DB7F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Repositorios genéricos compartidos.</w:t>
      </w:r>
    </w:p>
    <w:p w14:paraId="2D0F6D3B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Cada regla vive en un solo lugar; cambiar un proceso no rompe otro sin que la prueba lo avise.</w:t>
      </w:r>
    </w:p>
    <w:p w14:paraId="43DE3EF5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3.2.2</w:t>
      </w:r>
    </w:p>
    <w:p w14:paraId="402224A1" w14:textId="77777777" w:rsidR="0030758B" w:rsidRDefault="005F12DE">
      <w:pPr>
        <w:pStyle w:val="Ttulo2"/>
        <w:keepNext/>
      </w:pPr>
      <w:bookmarkStart w:id="5" w:name="_Toc243305353"/>
      <w:r>
        <w:t>ADR-04. Un solo camino para cambiar el estado de un equipo</w:t>
      </w:r>
      <w:bookmarkEnd w:id="5"/>
    </w:p>
    <w:p w14:paraId="78E41657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El estado de un equipo se cambiaba desde varios lugares, dejando historial incompleto y estados imposibles.</w:t>
      </w:r>
    </w:p>
    <w:p w14:paraId="613A1059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cambiarEstado()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modules/activos/servicio.ts</w:t>
      </w:r>
      <w:r>
        <w:t>) es la única vía; valida la transición con la máquina de estados (</w:t>
      </w:r>
      <w:r>
        <w:rPr>
          <w:rFonts w:ascii="Consolas" w:eastAsia="Consolas" w:hAnsi="Consolas" w:cs="Consolas"/>
          <w:color w:val="374151"/>
          <w:sz w:val="19"/>
          <w:szCs w:val="19"/>
        </w:rPr>
        <w:t>maquinaEstados.ts</w:t>
      </w:r>
      <w:r>
        <w:t>), deja historial y avisa a Líneas si cambia quién tiene un celular. El PUT de un activo rechaza cambios de estado (409).</w:t>
      </w:r>
    </w:p>
    <w:p w14:paraId="0B921335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Editar el estado libremente en el formulario.</w:t>
      </w:r>
    </w:p>
    <w:p w14:paraId="7DF788CE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Estados siempre coherentes y con motivo; las transiciones válidas están probadas al 100 %.</w:t>
      </w:r>
    </w:p>
    <w:p w14:paraId="1C483BA7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2.7, 2.86, 2.131</w:t>
      </w:r>
    </w:p>
    <w:p w14:paraId="1A25300A" w14:textId="77777777" w:rsidR="0030758B" w:rsidRDefault="005F12DE">
      <w:pPr>
        <w:pStyle w:val="Ttulo2"/>
        <w:keepNext/>
      </w:pPr>
      <w:bookmarkStart w:id="6" w:name="_Toc243305354"/>
      <w:r>
        <w:t>ADR-05. Las rutas solo orquestan; la lógica vive en los servicios</w:t>
      </w:r>
      <w:bookmarkEnd w:id="6"/>
    </w:p>
    <w:p w14:paraId="1FB0B638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Las rutas mezclaban validación, reglas, consultas y formato de errores.</w:t>
      </w:r>
    </w:p>
    <w:p w14:paraId="594B39DD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Patrón fijo: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→ validación Zod → servicio del módulo → </w:t>
      </w:r>
      <w:r>
        <w:rPr>
          <w:rFonts w:ascii="Consolas" w:eastAsia="Consolas" w:hAnsi="Consolas" w:cs="Consolas"/>
          <w:color w:val="374151"/>
          <w:sz w:val="19"/>
          <w:szCs w:val="19"/>
        </w:rPr>
        <w:t>NextResponse.json</w:t>
      </w:r>
      <w:r>
        <w:t xml:space="preserve">; errores con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. Nada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src/app</w:t>
      </w:r>
      <w:r>
        <w:t xml:space="preserve"> usa la base, ni para leer (lo impide ESLint).</w:t>
      </w:r>
    </w:p>
    <w:p w14:paraId="35F7C3FA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Lógica en las rutas o en las pantallas.</w:t>
      </w:r>
    </w:p>
    <w:p w14:paraId="7D262ED9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Reglas reutilizables y probadas sin HTTP; respuestas de error uniformes </w:t>
      </w:r>
      <w:r>
        <w:rPr>
          <w:rFonts w:ascii="Consolas" w:eastAsia="Consolas" w:hAnsi="Consolas" w:cs="Consolas"/>
          <w:color w:val="374151"/>
          <w:sz w:val="19"/>
          <w:szCs w:val="19"/>
        </w:rPr>
        <w:t>{ error, details? }</w:t>
      </w:r>
      <w:r>
        <w:t>.</w:t>
      </w:r>
    </w:p>
    <w:p w14:paraId="3CE043A7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3.2.2; CLAUDE.md</w:t>
      </w:r>
    </w:p>
    <w:p w14:paraId="02902B39" w14:textId="77777777" w:rsidR="0030758B" w:rsidRDefault="005F12DE">
      <w:pPr>
        <w:pStyle w:val="Ttulo2"/>
        <w:keepNext/>
      </w:pPr>
      <w:bookmarkStart w:id="7" w:name="_Toc243305355"/>
      <w:r>
        <w:t>ADR-06. Matriz de permisos única</w:t>
      </w:r>
      <w:bookmarkEnd w:id="7"/>
    </w:p>
    <w:p w14:paraId="6FD6DD1B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Las rutas revisaban roles a mano y la interfaz mostraba botones que terminaban en 403.</w:t>
      </w:r>
    </w:p>
    <w:p w14:paraId="20ED45E1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 xml:space="preserve"> es la única fuente: recurso × acción → roles. La API la usa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y la interfaz con </w:t>
      </w:r>
      <w:r>
        <w:rPr>
          <w:rFonts w:ascii="Consolas" w:eastAsia="Consolas" w:hAnsi="Consolas" w:cs="Consolas"/>
          <w:color w:val="374151"/>
          <w:sz w:val="19"/>
          <w:szCs w:val="19"/>
        </w:rPr>
        <w:t>usePermissions()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&lt;Can&gt;</w:t>
      </w:r>
      <w:r>
        <w:t>. Las transiciones de solicitudes las autoriza su propia máquina de estados.</w:t>
      </w:r>
    </w:p>
    <w:p w14:paraId="499E96E3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Roles revisados en cada ruta.</w:t>
      </w:r>
    </w:p>
    <w:p w14:paraId="640F6D9C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Un cambio de permisos se hace en un solo lugar; una prueba verifica que toda ruta de la API esté protegida.</w:t>
      </w:r>
    </w:p>
    <w:p w14:paraId="3EECF022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1.3.1</w:t>
      </w:r>
    </w:p>
    <w:p w14:paraId="22C528DC" w14:textId="77777777" w:rsidR="0030758B" w:rsidRDefault="005F12DE">
      <w:pPr>
        <w:pStyle w:val="Ttulo2"/>
        <w:keepNext/>
      </w:pPr>
      <w:bookmarkStart w:id="8" w:name="_Toc243305356"/>
      <w:r>
        <w:t>ADR-07. Dos roles: administrador y técnico</w:t>
      </w:r>
      <w:bookmarkEnd w:id="8"/>
    </w:p>
    <w:p w14:paraId="00BD57F8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Había cinco roles (admin, técnico, supervisor, RRHH, auditor) que no se usaban en la práctica.</w:t>
      </w:r>
    </w:p>
    <w:p w14:paraId="7AE4629D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Solo </w:t>
      </w:r>
      <w:r>
        <w:rPr>
          <w:rFonts w:ascii="Consolas" w:eastAsia="Consolas" w:hAnsi="Consolas" w:cs="Consolas"/>
          <w:color w:val="374151"/>
          <w:sz w:val="19"/>
          <w:szCs w:val="19"/>
        </w:rPr>
        <w:t>admin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tecnico</w:t>
      </w:r>
      <w:r>
        <w:t>. El técnico hace todo lo operativo, incluido eliminar; solo la Configuración (usuarios, sedes, categorías, seguridad, auditoría, importación) es del administrador.</w:t>
      </w:r>
    </w:p>
    <w:p w14:paraId="26A8109B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Mantener roles sin uso real.</w:t>
      </w:r>
    </w:p>
    <w:p w14:paraId="1891DB29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Matriz simple y fácil de auditar; si un administrador falta, un técnico puede operar.</w:t>
      </w:r>
    </w:p>
    <w:p w14:paraId="2E9166FF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2.136</w:t>
      </w:r>
    </w:p>
    <w:p w14:paraId="1B2919D5" w14:textId="77777777" w:rsidR="0030758B" w:rsidRDefault="005F12DE">
      <w:pPr>
        <w:pStyle w:val="Ttulo2"/>
        <w:keepNext/>
      </w:pPr>
      <w:bookmarkStart w:id="9" w:name="_Toc243305357"/>
      <w:r>
        <w:t>ADR-08. La sede es un dato, no un candado</w:t>
      </w:r>
      <w:bookmarkEnd w:id="9"/>
    </w:p>
    <w:p w14:paraId="12D0C803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Se había aislado a cada usuario en su sede, pero el trabajo real cruza sedes (despachos, apoyo entre oficinas).</w:t>
      </w:r>
    </w:p>
    <w:p w14:paraId="6E95E770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Todos trabajan con todas las sedes. La sede sirve para filtrar (selector del menú) y como dato de cada registro; no restringe el acceso.</w:t>
      </w:r>
    </w:p>
    <w:p w14:paraId="07DCB76A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Aislamiento por sede.</w:t>
      </w:r>
    </w:p>
    <w:p w14:paraId="39751D92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Menos bloqueos operativos; lo que es solo de administrador lo decide la matriz de permisos, no la sede.</w:t>
      </w:r>
    </w:p>
    <w:p w14:paraId="5CFC4F7E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2.117</w:t>
      </w:r>
    </w:p>
    <w:p w14:paraId="56826C5D" w14:textId="77777777" w:rsidR="0030758B" w:rsidRDefault="005F12DE">
      <w:pPr>
        <w:pStyle w:val="Ttulo2"/>
        <w:keepNext/>
      </w:pPr>
      <w:bookmarkStart w:id="10" w:name="_Toc243305358"/>
      <w:r>
        <w:t>ADR-09. Migraciones versionadas como única vía de cambio del schema</w:t>
      </w:r>
      <w:bookmarkEnd w:id="10"/>
    </w:p>
    <w:p w14:paraId="64841296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Parte del schema se había creado con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db push</w:t>
      </w:r>
      <w:r>
        <w:t>, sin rastro, y no se podía reproducir la base desde cero.</w:t>
      </w:r>
    </w:p>
    <w:p w14:paraId="39C9E66D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Todo cambio pasa por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dev</w:t>
      </w:r>
      <w:r>
        <w:t xml:space="preserve"> y se commitea con su carpeta de migración; </w:t>
      </w:r>
      <w:r>
        <w:rPr>
          <w:rFonts w:ascii="Consolas" w:eastAsia="Consolas" w:hAnsi="Consolas" w:cs="Consolas"/>
          <w:color w:val="374151"/>
          <w:sz w:val="19"/>
          <w:szCs w:val="19"/>
        </w:rPr>
        <w:t>db:push</w:t>
      </w:r>
      <w:r>
        <w:t xml:space="preserve"> está deshabilitado. Una migración </w:t>
      </w:r>
      <w:r>
        <w:rPr>
          <w:rFonts w:ascii="Consolas" w:eastAsia="Consolas" w:hAnsi="Consolas" w:cs="Consolas"/>
          <w:color w:val="374151"/>
          <w:sz w:val="19"/>
          <w:szCs w:val="19"/>
        </w:rPr>
        <w:t>baseline</w:t>
      </w:r>
      <w:r>
        <w:t xml:space="preserve"> capturó el estado previo. El CI aplica todo desde cero y verifica que el schema coincida.</w:t>
      </w:r>
    </w:p>
    <w:p w14:paraId="1199A696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Seguir con </w:t>
      </w:r>
      <w:r>
        <w:rPr>
          <w:rFonts w:ascii="Consolas" w:eastAsia="Consolas" w:hAnsi="Consolas" w:cs="Consolas"/>
          <w:color w:val="374151"/>
          <w:sz w:val="19"/>
          <w:szCs w:val="19"/>
        </w:rPr>
        <w:t>db push</w:t>
      </w:r>
      <w:r>
        <w:t>.</w:t>
      </w:r>
    </w:p>
    <w:p w14:paraId="4E988ACE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Bases reproducibles; producción se actualiza con </w:t>
      </w:r>
      <w:r>
        <w:rPr>
          <w:rFonts w:ascii="Consolas" w:eastAsia="Consolas" w:hAnsi="Consolas" w:cs="Consolas"/>
          <w:color w:val="374151"/>
          <w:sz w:val="19"/>
          <w:szCs w:val="19"/>
        </w:rPr>
        <w:t>migrate deploy</w:t>
      </w:r>
      <w:r>
        <w:t>.</w:t>
      </w:r>
    </w:p>
    <w:p w14:paraId="4D11D129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CLAUDE.md &gt; Migraciones</w:t>
      </w:r>
    </w:p>
    <w:p w14:paraId="3F91E0F2" w14:textId="77777777" w:rsidR="0030758B" w:rsidRDefault="005F12DE">
      <w:pPr>
        <w:pStyle w:val="Ttulo2"/>
        <w:keepNext/>
      </w:pPr>
      <w:bookmarkStart w:id="11" w:name="_Toc243305359"/>
      <w:r>
        <w:t>ADR-10. SPEC primero (Spec Driven Design)</w:t>
      </w:r>
      <w:bookmarkEnd w:id="11"/>
    </w:p>
    <w:p w14:paraId="5A6F6F97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El sistema se construyó en gran parte con asistencia de IA; sin una fuente de verdad, el código y lo esperado divergían.</w:t>
      </w:r>
    </w:p>
    <w:p w14:paraId="0018DF3B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El SPEC se actualiza antes o en el mismo commit que cualquier cambio de modelo, ruta o regla. En un pull request, el CI falla si cambia el schema sin el SPEC.</w:t>
      </w:r>
    </w:p>
    <w:p w14:paraId="55389913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Documentar después.</w:t>
      </w:r>
    </w:p>
    <w:p w14:paraId="7755420C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Cada regla tiene su sección y su fecha; las decisiones del usuario quedan escritas.</w:t>
      </w:r>
    </w:p>
    <w:p w14:paraId="1CD3AD2A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CLAUDE.md &gt; Proceso SDD</w:t>
      </w:r>
    </w:p>
    <w:p w14:paraId="7FA6DFD2" w14:textId="77777777" w:rsidR="0030758B" w:rsidRDefault="005F12DE">
      <w:pPr>
        <w:pStyle w:val="Ttulo2"/>
        <w:keepNext/>
      </w:pPr>
      <w:bookmarkStart w:id="12" w:name="_Toc243305360"/>
      <w:r>
        <w:t>ADR-11. Sesiones JWT revalidadas en cada petición</w:t>
      </w:r>
      <w:bookmarkEnd w:id="12"/>
    </w:p>
    <w:p w14:paraId="3FE58B00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Con JWT puros, una cuenta desactivada o una sesión cerrada seguían válidas hasta vencer.</w:t>
      </w:r>
    </w:p>
    <w:p w14:paraId="641267D3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NextAuth con estrategia JWT, pero el callback relee la cuenta en cada petición: una cuenta desactivada queda fuera, hay lista de sesiones cerradas y "sesiones válidas desde", y una sola sesión vigente por usuario.</w:t>
      </w:r>
    </w:p>
    <w:p w14:paraId="3125E7EA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Sesiones en base de datos (más consultas y otra tabla de sesiones).</w:t>
      </w:r>
    </w:p>
    <w:p w14:paraId="163EC2D1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Cierre de sesión efectivo y control del administrador, con el costo de una lectura por petición.</w:t>
      </w:r>
    </w:p>
    <w:p w14:paraId="00C4985B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2.112.5, 2.128</w:t>
      </w:r>
    </w:p>
    <w:p w14:paraId="11159907" w14:textId="77777777" w:rsidR="0030758B" w:rsidRDefault="005F12DE">
      <w:pPr>
        <w:pStyle w:val="Ttulo2"/>
        <w:keepNext/>
      </w:pPr>
      <w:bookmarkStart w:id="13" w:name="_Toc243305361"/>
      <w:r>
        <w:t>ADR-12. Bajas definitivas y borrado restringido</w:t>
      </w:r>
      <w:bookmarkEnd w:id="13"/>
    </w:p>
    <w:p w14:paraId="049C5D57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Un equipo con historia es evidencia de auditoría.</w:t>
      </w:r>
    </w:p>
    <w:p w14:paraId="7DB58FA2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Un equipo con historial o asignaciones no se borra: se da de baja con un motivo. Solo uno Disponible que nunca se usó se elimina (queda en la auditoría). La baja es definitiva, salvo un equipo perdido en un despacho que aparece.</w:t>
      </w:r>
    </w:p>
    <w:p w14:paraId="395424D0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Borrado libre o "papelera".</w:t>
      </w:r>
    </w:p>
    <w:p w14:paraId="6C151175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La historia de cada equipo se conserva; los duplicados de importación se descartan con </w:t>
      </w:r>
      <w:r>
        <w:rPr>
          <w:rFonts w:ascii="Consolas" w:eastAsia="Consolas" w:hAnsi="Consolas" w:cs="Consolas"/>
          <w:color w:val="374151"/>
          <w:sz w:val="19"/>
          <w:szCs w:val="19"/>
        </w:rPr>
        <w:t>deletedAt</w:t>
      </w:r>
      <w:r>
        <w:t>.</w:t>
      </w:r>
    </w:p>
    <w:p w14:paraId="7F4BA3CB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2.7.7, 2.130, 2.140</w:t>
      </w:r>
    </w:p>
    <w:p w14:paraId="13D7B156" w14:textId="77777777" w:rsidR="0030758B" w:rsidRDefault="005F12DE">
      <w:pPr>
        <w:pStyle w:val="Ttulo2"/>
        <w:keepNext/>
      </w:pPr>
      <w:bookmarkStart w:id="14" w:name="_Toc243305362"/>
      <w:r>
        <w:t>ADR-13. PDF generados en el servidor con react-pdf</w:t>
      </w:r>
      <w:bookmarkEnd w:id="14"/>
    </w:p>
    <w:p w14:paraId="54BAFD31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Las actas deben verse igual en cualquier navegador y quedar listas para firmar o archivar.</w:t>
      </w:r>
    </w:p>
    <w:p w14:paraId="24902F8C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@react-pdf/renderer</w:t>
      </w:r>
      <w:r>
        <w:t xml:space="preserve"> en el servidor, con plantillas en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modules/*/plantillas</w:t>
      </w:r>
      <w:r>
        <w:t xml:space="preserve"> y estilos compartidos en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shared/pdf</w:t>
      </w:r>
      <w:r>
        <w:t>. Puerta propia (</w:t>
      </w:r>
      <w:r>
        <w:rPr>
          <w:rFonts w:ascii="Consolas" w:eastAsia="Consolas" w:hAnsi="Consolas" w:cs="Consolas"/>
          <w:color w:val="374151"/>
          <w:sz w:val="19"/>
          <w:szCs w:val="19"/>
        </w:rPr>
        <w:t>/documentos</w:t>
      </w:r>
      <w:r>
        <w:t>) por su peso, y límite de uso por usuario.</w:t>
      </w:r>
    </w:p>
    <w:p w14:paraId="4A7CD32B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Imprimir HTML desde el navegador.</w:t>
      </w:r>
    </w:p>
    <w:p w14:paraId="31BDF323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Documentos idénticos para todos; mayor uso de servidor (límite de 60 s y 30 por minuto).</w:t>
      </w:r>
    </w:p>
    <w:p w14:paraId="5F254960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2.108, 2.157</w:t>
      </w:r>
    </w:p>
    <w:p w14:paraId="347CC28A" w14:textId="77777777" w:rsidR="0030758B" w:rsidRDefault="005F12DE">
      <w:pPr>
        <w:pStyle w:val="Ttulo2"/>
        <w:keepNext/>
      </w:pPr>
      <w:bookmarkStart w:id="15" w:name="_Toc243305363"/>
      <w:r>
        <w:t>ADR-14. Errores sin datos internos para el usuario</w:t>
      </w:r>
      <w:bookmarkEnd w:id="15"/>
    </w:p>
    <w:p w14:paraId="313FF9BB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Con la base caída, el login mostraba la traza de Prisma con rutas, servidor y puerto.</w:t>
      </w:r>
    </w:p>
    <w:p w14:paraId="7E5C4D5A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Los errores de dominio se muestran tal cual; cualquier otro se registra en el servidor y la persona ve un aviso simple (503 si la base no responde). En pantallas, </w:t>
      </w:r>
      <w:r>
        <w:rPr>
          <w:rFonts w:ascii="Consolas" w:eastAsia="Consolas" w:hAnsi="Consolas" w:cs="Consolas"/>
          <w:color w:val="374151"/>
          <w:sz w:val="19"/>
          <w:szCs w:val="19"/>
        </w:rPr>
        <w:t>mensajeDeError</w:t>
      </w:r>
      <w:r>
        <w:t xml:space="preserve"> filtra los textos técnicos.</w:t>
      </w:r>
    </w:p>
    <w:p w14:paraId="36106E68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Mostrar </w:t>
      </w:r>
      <w:r>
        <w:rPr>
          <w:rFonts w:ascii="Consolas" w:eastAsia="Consolas" w:hAnsi="Consolas" w:cs="Consolas"/>
          <w:color w:val="374151"/>
          <w:sz w:val="19"/>
          <w:szCs w:val="19"/>
        </w:rPr>
        <w:t>err.message</w:t>
      </w:r>
      <w:r>
        <w:t xml:space="preserve"> directamente.</w:t>
      </w:r>
    </w:p>
    <w:p w14:paraId="2F68573C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Mensajes comprensibles y sin filtrar información útil para un atacante.</w:t>
      </w:r>
    </w:p>
    <w:p w14:paraId="50E76F43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2.149</w:t>
      </w:r>
    </w:p>
    <w:p w14:paraId="59A44EB5" w14:textId="77777777" w:rsidR="0030758B" w:rsidRDefault="005F12DE">
      <w:pPr>
        <w:pStyle w:val="Ttulo2"/>
        <w:keepNext/>
      </w:pPr>
      <w:bookmarkStart w:id="16" w:name="_Toc243305364"/>
      <w:r>
        <w:t>ADR-15. Tema claro y oscuro con tokens de diseño</w:t>
      </w:r>
      <w:bookmarkEnd w:id="16"/>
    </w:p>
    <w:p w14:paraId="0F6C48C7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Los colores fijos (</w:t>
      </w:r>
      <w:r>
        <w:rPr>
          <w:rFonts w:ascii="Consolas" w:eastAsia="Consolas" w:hAnsi="Consolas" w:cs="Consolas"/>
          <w:color w:val="374151"/>
          <w:sz w:val="19"/>
          <w:szCs w:val="19"/>
        </w:rPr>
        <w:t>bg-white</w:t>
      </w:r>
      <w:r>
        <w:t>, hex) rompían el modo oscuro.</w:t>
      </w:r>
    </w:p>
    <w:p w14:paraId="4830B7A9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Tokens semánticos (</w:t>
      </w:r>
      <w:r>
        <w:rPr>
          <w:rFonts w:ascii="Consolas" w:eastAsia="Consolas" w:hAnsi="Consolas" w:cs="Consolas"/>
          <w:color w:val="374151"/>
          <w:sz w:val="19"/>
          <w:szCs w:val="19"/>
        </w:rPr>
        <w:t>bg-surface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text-fg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border-line</w:t>
      </w:r>
      <w:r>
        <w:t xml:space="preserve">) y escalas de color ajustadas en oscuro en </w:t>
      </w:r>
      <w:r>
        <w:rPr>
          <w:rFonts w:ascii="Consolas" w:eastAsia="Consolas" w:hAnsi="Consolas" w:cs="Consolas"/>
          <w:color w:val="374151"/>
          <w:sz w:val="19"/>
          <w:szCs w:val="19"/>
        </w:rPr>
        <w:t>globals.css</w:t>
      </w:r>
      <w:r>
        <w:t>. Una prueba impide usar escalas sin versión oscura.</w:t>
      </w:r>
    </w:p>
    <w:p w14:paraId="10029F2C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Hojas de estilo por tema.</w:t>
      </w:r>
    </w:p>
    <w:p w14:paraId="4FA1071E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Consistencia visual y contraste legible en ambos temas.</w:t>
      </w:r>
    </w:p>
    <w:p w14:paraId="6F9AE336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2.77, 2.78, 2.158; </w:t>
      </w:r>
      <w:r>
        <w:rPr>
          <w:rFonts w:ascii="Consolas" w:eastAsia="Consolas" w:hAnsi="Consolas" w:cs="Consolas"/>
          <w:color w:val="374151"/>
          <w:sz w:val="16"/>
          <w:szCs w:val="16"/>
        </w:rPr>
        <w:t>docs/DESIGN_SYSTEM.md</w:t>
      </w:r>
    </w:p>
    <w:p w14:paraId="240B7C3D" w14:textId="77777777" w:rsidR="0030758B" w:rsidRDefault="005F12DE">
      <w:pPr>
        <w:pStyle w:val="Ttulo2"/>
        <w:keepNext/>
      </w:pPr>
      <w:bookmarkStart w:id="17" w:name="_Toc243305365"/>
      <w:r>
        <w:t>ADR-16. Catálogos del equipo con llave foránea</w:t>
      </w:r>
      <w:bookmarkEnd w:id="17"/>
    </w:p>
    <w:p w14:paraId="67AA001B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El equipo guardaba su marca, sistema operativo, antivirus y licencia como texto copiado del catálogo: renombrar una opción obligaba a corregir cada equipo, y nada impedía guardar un nombre que no existía.</w:t>
      </w:r>
    </w:p>
    <w:p w14:paraId="7FD304BD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Cada uno es una llave foránea a su catálogo (</w:t>
      </w:r>
      <w:r>
        <w:rPr>
          <w:rFonts w:ascii="Consolas" w:eastAsia="Consolas" w:hAnsi="Consolas" w:cs="Consolas"/>
          <w:color w:val="374151"/>
          <w:sz w:val="19"/>
          <w:szCs w:val="19"/>
        </w:rPr>
        <w:t>marcaId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sistemaOperativoId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antivirusId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licenciaMicrosoft365Id</w:t>
      </w:r>
      <w:r>
        <w:t>). La API sigue recibiendo el nombre y un solo paso lo traduce a la llave (</w:t>
      </w:r>
      <w:r>
        <w:rPr>
          <w:rFonts w:ascii="Consolas" w:eastAsia="Consolas" w:hAnsi="Consolas" w:cs="Consolas"/>
          <w:color w:val="374151"/>
          <w:sz w:val="19"/>
          <w:szCs w:val="19"/>
        </w:rPr>
        <w:t>idsDeCatalogos</w:t>
      </w:r>
      <w:r>
        <w:t>); una sola lista describe estos campos (</w:t>
      </w:r>
      <w:r>
        <w:rPr>
          <w:rFonts w:ascii="Consolas" w:eastAsia="Consolas" w:hAnsi="Consolas" w:cs="Consolas"/>
          <w:color w:val="374151"/>
          <w:sz w:val="19"/>
          <w:szCs w:val="19"/>
        </w:rPr>
        <w:t>camposCatalogo.ts</w:t>
      </w:r>
      <w:r>
        <w:t>). La migración no pierde datos: agrega al catálogo lo que falta y se detiene si algo no calza.</w:t>
      </w:r>
    </w:p>
    <w:p w14:paraId="5D69CD4E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Mantener el texto y validarlo contra el catálogo; o cambiar la API para recibir ids.</w:t>
      </w:r>
    </w:p>
    <w:p w14:paraId="3EF612E9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Integridad garantizada por la base, renombrar es inmediato y una opción en uso no se puede borrar. Las lecturas deben pedir el nombre por la relación.</w:t>
      </w:r>
    </w:p>
    <w:p w14:paraId="01404BDD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2.168</w:t>
      </w:r>
    </w:p>
    <w:p w14:paraId="1AAB213F" w14:textId="77777777" w:rsidR="0030758B" w:rsidRDefault="005F12DE">
      <w:pPr>
        <w:pStyle w:val="Ttulo2"/>
        <w:keepNext/>
      </w:pPr>
      <w:bookmarkStart w:id="18" w:name="_Toc243305366"/>
      <w:r>
        <w:t>ADR-17. Configuración simple: sin bloqueo por equipo ni sedes desactivadas</w:t>
      </w:r>
      <w:bookmarkEnd w:id="18"/>
    </w:p>
    <w:p w14:paraId="32273E10" w14:textId="77777777" w:rsidR="0030758B" w:rsidRDefault="005F12DE">
      <w:pPr>
        <w:spacing w:after="120" w:line="276" w:lineRule="auto"/>
      </w:pPr>
      <w:r>
        <w:rPr>
          <w:b/>
          <w:bCs/>
        </w:rPr>
        <w:t>Contexto.</w:t>
      </w:r>
      <w:r>
        <w:t xml:space="preserve"> Configuración tenía un bloqueo por equipo (dirección de red) además del de cada cuenta, y sedes que se podían desactivar, lo que dejaba fuera a sus técnicos y frenaba altas en esa sede. Para el uso real eran reglas de más.</w:t>
      </w:r>
    </w:p>
    <w:p w14:paraId="2684B86E" w14:textId="77777777" w:rsidR="0030758B" w:rsidRDefault="005F12DE">
      <w:pPr>
        <w:spacing w:after="120" w:line="276" w:lineRule="auto"/>
      </w:pPr>
      <w:r>
        <w:rPr>
          <w:b/>
          <w:bCs/>
        </w:rPr>
        <w:t>Decisión.</w:t>
      </w:r>
      <w:r>
        <w:t xml:space="preserve"> Seguridad queda con tres valores: duración de la sesión, intentos por usuario y minutos de bloqueo. Una sede se crea y se edita; solo se elimina si nada la usa (equipos, personas, usuarios, líneas, Kit/EPP, despachos, compras o solicitudes). Auditoría queda como visor de eventos (usuario y fechas).</w:t>
      </w:r>
    </w:p>
    <w:p w14:paraId="4CA4102A" w14:textId="77777777" w:rsidR="0030758B" w:rsidRDefault="005F12DE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Mantener el bloqueo por equipo; eliminar una sede dejando sus registros sin sede.</w:t>
      </w:r>
    </w:p>
    <w:p w14:paraId="4D0D064B" w14:textId="77777777" w:rsidR="0030758B" w:rsidRDefault="005F12DE">
      <w:pPr>
        <w:spacing w:after="120" w:line="276" w:lineRule="auto"/>
      </w:pPr>
      <w:r>
        <w:rPr>
          <w:b/>
          <w:bCs/>
        </w:rPr>
        <w:t>Consecuencias.</w:t>
      </w:r>
      <w:r>
        <w:t xml:space="preserve"> Menos parámetros y menos casos especiales. Quien prueba muchos usuarios desde un mismo equipo ya no se frena por equipo: cada cuenta se sigue bloqueando sola. No se pierde historial al eliminar sedes.</w:t>
      </w:r>
    </w:p>
    <w:p w14:paraId="07B7441D" w14:textId="77777777" w:rsidR="0030758B" w:rsidRDefault="005F12DE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2.170</w:t>
      </w:r>
    </w:p>
    <w:sectPr w:rsidR="0030758B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649D" w14:textId="77777777" w:rsidR="005F12DE" w:rsidRDefault="005F12DE">
      <w:r>
        <w:separator/>
      </w:r>
    </w:p>
  </w:endnote>
  <w:endnote w:type="continuationSeparator" w:id="0">
    <w:p w14:paraId="098E6FDC" w14:textId="77777777" w:rsidR="005F12DE" w:rsidRDefault="005F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87AE" w14:textId="77777777" w:rsidR="0030758B" w:rsidRDefault="005F12DE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708A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708A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D7E9" w14:textId="77777777" w:rsidR="005F12DE" w:rsidRDefault="005F12DE">
      <w:r>
        <w:separator/>
      </w:r>
    </w:p>
  </w:footnote>
  <w:footnote w:type="continuationSeparator" w:id="0">
    <w:p w14:paraId="48ECBFE4" w14:textId="77777777" w:rsidR="005F12DE" w:rsidRDefault="005F1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602F" w14:textId="77777777" w:rsidR="0030758B" w:rsidRDefault="005F12DE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03. Decisiones de 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37BDF"/>
    <w:multiLevelType w:val="hybridMultilevel"/>
    <w:tmpl w:val="C1EAB722"/>
    <w:lvl w:ilvl="0" w:tplc="45066182" w:tentative="1">
      <w:start w:val="1"/>
      <w:numFmt w:val="bullet"/>
      <w:lvlText w:val="●"/>
      <w:lvlJc w:val="left"/>
      <w:pPr>
        <w:ind w:left="720" w:hanging="360"/>
      </w:pPr>
    </w:lvl>
    <w:lvl w:ilvl="1" w:tplc="3AAADE00" w:tentative="1">
      <w:start w:val="1"/>
      <w:numFmt w:val="bullet"/>
      <w:lvlText w:val="○"/>
      <w:lvlJc w:val="left"/>
      <w:pPr>
        <w:ind w:left="1440" w:hanging="360"/>
      </w:pPr>
    </w:lvl>
    <w:lvl w:ilvl="2" w:tplc="5B068910" w:tentative="1">
      <w:start w:val="1"/>
      <w:numFmt w:val="bullet"/>
      <w:lvlText w:val="■"/>
      <w:lvlJc w:val="left"/>
      <w:pPr>
        <w:ind w:left="2160" w:hanging="360"/>
      </w:pPr>
    </w:lvl>
    <w:lvl w:ilvl="3" w:tplc="B5FAAF3E" w:tentative="1">
      <w:start w:val="1"/>
      <w:numFmt w:val="bullet"/>
      <w:lvlText w:val="●"/>
      <w:lvlJc w:val="left"/>
      <w:pPr>
        <w:ind w:left="2880" w:hanging="360"/>
      </w:pPr>
    </w:lvl>
    <w:lvl w:ilvl="4" w:tplc="6A6A0338" w:tentative="1">
      <w:start w:val="1"/>
      <w:numFmt w:val="bullet"/>
      <w:lvlText w:val="○"/>
      <w:lvlJc w:val="left"/>
      <w:pPr>
        <w:ind w:left="3600" w:hanging="360"/>
      </w:pPr>
    </w:lvl>
    <w:lvl w:ilvl="5" w:tplc="DBD629D8" w:tentative="1">
      <w:start w:val="1"/>
      <w:numFmt w:val="bullet"/>
      <w:lvlText w:val="■"/>
      <w:lvlJc w:val="left"/>
      <w:pPr>
        <w:ind w:left="4320" w:hanging="360"/>
      </w:pPr>
    </w:lvl>
    <w:lvl w:ilvl="6" w:tplc="A9244272" w:tentative="1">
      <w:start w:val="1"/>
      <w:numFmt w:val="bullet"/>
      <w:lvlText w:val="●"/>
      <w:lvlJc w:val="left"/>
      <w:pPr>
        <w:ind w:left="5040" w:hanging="360"/>
      </w:pPr>
    </w:lvl>
    <w:lvl w:ilvl="7" w:tplc="950A27CA" w:tentative="1">
      <w:start w:val="1"/>
      <w:numFmt w:val="bullet"/>
      <w:lvlText w:val="●"/>
      <w:lvlJc w:val="left"/>
      <w:pPr>
        <w:ind w:left="5760" w:hanging="360"/>
      </w:pPr>
    </w:lvl>
    <w:lvl w:ilvl="8" w:tplc="FD681AF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F35F1"/>
    <w:multiLevelType w:val="hybridMultilevel"/>
    <w:tmpl w:val="2ECA659E"/>
    <w:lvl w:ilvl="0" w:tplc="E3085EEE" w:tentative="1">
      <w:start w:val="1"/>
      <w:numFmt w:val="bullet"/>
      <w:lvlText w:val="•"/>
      <w:lvlJc w:val="left"/>
      <w:pPr>
        <w:ind w:left="400" w:hanging="260"/>
      </w:pPr>
    </w:lvl>
    <w:lvl w:ilvl="1" w:tplc="30F8E47C" w:tentative="1">
      <w:start w:val="1"/>
      <w:numFmt w:val="bullet"/>
      <w:lvlText w:val="–"/>
      <w:lvlJc w:val="left"/>
      <w:pPr>
        <w:ind w:left="760" w:hanging="260"/>
      </w:pPr>
    </w:lvl>
    <w:lvl w:ilvl="2" w:tplc="0EAE77CA" w:tentative="1">
      <w:start w:val="1"/>
      <w:numFmt w:val="bullet"/>
      <w:lvlText w:val="·"/>
      <w:lvlJc w:val="left"/>
      <w:pPr>
        <w:ind w:left="1120" w:hanging="260"/>
      </w:pPr>
    </w:lvl>
    <w:lvl w:ilvl="3" w:tplc="DD188720">
      <w:numFmt w:val="decimal"/>
      <w:lvlText w:val=""/>
      <w:lvlJc w:val="left"/>
    </w:lvl>
    <w:lvl w:ilvl="4" w:tplc="62466EC8">
      <w:numFmt w:val="decimal"/>
      <w:lvlText w:val=""/>
      <w:lvlJc w:val="left"/>
    </w:lvl>
    <w:lvl w:ilvl="5" w:tplc="5BB224DA">
      <w:numFmt w:val="decimal"/>
      <w:lvlText w:val=""/>
      <w:lvlJc w:val="left"/>
    </w:lvl>
    <w:lvl w:ilvl="6" w:tplc="1CC6264E">
      <w:numFmt w:val="decimal"/>
      <w:lvlText w:val=""/>
      <w:lvlJc w:val="left"/>
    </w:lvl>
    <w:lvl w:ilvl="7" w:tplc="E36A03BA">
      <w:numFmt w:val="decimal"/>
      <w:lvlText w:val=""/>
      <w:lvlJc w:val="left"/>
    </w:lvl>
    <w:lvl w:ilvl="8" w:tplc="46D263D4">
      <w:numFmt w:val="decimal"/>
      <w:lvlText w:val=""/>
      <w:lvlJc w:val="left"/>
    </w:lvl>
  </w:abstractNum>
  <w:abstractNum w:abstractNumId="2" w15:restartNumberingAfterBreak="0">
    <w:nsid w:val="733163FF"/>
    <w:multiLevelType w:val="hybridMultilevel"/>
    <w:tmpl w:val="050E6CB2"/>
    <w:lvl w:ilvl="0" w:tplc="84BA31B8" w:tentative="1">
      <w:start w:val="1"/>
      <w:numFmt w:val="decimal"/>
      <w:lvlText w:val="%1."/>
      <w:lvlJc w:val="left"/>
      <w:pPr>
        <w:ind w:left="420" w:hanging="300"/>
      </w:pPr>
    </w:lvl>
    <w:lvl w:ilvl="1" w:tplc="D626F00C">
      <w:numFmt w:val="decimal"/>
      <w:lvlText w:val=""/>
      <w:lvlJc w:val="left"/>
    </w:lvl>
    <w:lvl w:ilvl="2" w:tplc="AC7807AE">
      <w:numFmt w:val="decimal"/>
      <w:lvlText w:val=""/>
      <w:lvlJc w:val="left"/>
    </w:lvl>
    <w:lvl w:ilvl="3" w:tplc="E530F610">
      <w:numFmt w:val="decimal"/>
      <w:lvlText w:val=""/>
      <w:lvlJc w:val="left"/>
    </w:lvl>
    <w:lvl w:ilvl="4" w:tplc="45681856">
      <w:numFmt w:val="decimal"/>
      <w:lvlText w:val=""/>
      <w:lvlJc w:val="left"/>
    </w:lvl>
    <w:lvl w:ilvl="5" w:tplc="E3361BE8">
      <w:numFmt w:val="decimal"/>
      <w:lvlText w:val=""/>
      <w:lvlJc w:val="left"/>
    </w:lvl>
    <w:lvl w:ilvl="6" w:tplc="FD2C4444">
      <w:numFmt w:val="decimal"/>
      <w:lvlText w:val=""/>
      <w:lvlJc w:val="left"/>
    </w:lvl>
    <w:lvl w:ilvl="7" w:tplc="59403EEA">
      <w:numFmt w:val="decimal"/>
      <w:lvlText w:val=""/>
      <w:lvlJc w:val="left"/>
    </w:lvl>
    <w:lvl w:ilvl="8" w:tplc="FA58A9B6">
      <w:numFmt w:val="decimal"/>
      <w:lvlText w:val=""/>
      <w:lvlJc w:val="left"/>
    </w:lvl>
  </w:abstractNum>
  <w:num w:numId="1" w16cid:durableId="1788163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8B"/>
    <w:rsid w:val="0030758B"/>
    <w:rsid w:val="005F12DE"/>
    <w:rsid w:val="00B303B8"/>
    <w:rsid w:val="00F7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E6B7E"/>
  <w15:docId w15:val="{931F6ACC-7D2E-495D-AA68-FFB68999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7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708A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2124</Words>
  <Characters>11242</Characters>
  <Application>Microsoft Office Word</Application>
  <DocSecurity>0</DocSecurity>
  <Lines>449</Lines>
  <Paragraphs>477</Paragraphs>
  <ScaleCrop>false</ScaleCrop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Decisiones de arquitectura</dc:title>
  <dc:creator>SCL Consultores</dc:creator>
  <dc:description>Inventario IT · Decisiones de arquitectura</dc:description>
  <cp:lastModifiedBy>Javier Andrés Soto Jaque</cp:lastModifiedBy>
  <cp:revision>2</cp:revision>
  <dcterms:created xsi:type="dcterms:W3CDTF">2026-10-19T15:27:00Z</dcterms:created>
  <dcterms:modified xsi:type="dcterms:W3CDTF">2026-10-19T15:27:00Z</dcterms:modified>
</cp:coreProperties>
</file>