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E63E3">
      <w:pPr>
        <w:pStyle w:val="2"/>
        <w:tabs>
          <w:tab w:val="center" w:pos="4153"/>
          <w:tab w:val="left" w:pos="6724"/>
        </w:tabs>
        <w:spacing w:line="480" w:lineRule="auto"/>
        <w:ind w:left="0" w:firstLine="0"/>
        <w:jc w:val="center"/>
        <w:rPr>
          <w:rFonts w:hint="eastAsia" w:ascii="黑体" w:eastAsia="黑体"/>
          <w:b w:val="0"/>
          <w:sz w:val="44"/>
          <w:szCs w:val="44"/>
        </w:rPr>
      </w:pPr>
      <w:r>
        <w:fldChar w:fldCharType="begin"/>
      </w:r>
      <w:r>
        <w:instrText xml:space="preserve"> MACROBUTTON </w:instrText>
      </w:r>
      <w:r>
        <w:fldChar w:fldCharType="end"/>
      </w:r>
      <w:r>
        <w:fldChar w:fldCharType="begin"/>
      </w:r>
      <w:r>
        <w:instrText xml:space="preserve"> MACROBUTTON </w:instrText>
      </w:r>
      <w:r>
        <w:fldChar w:fldCharType="end"/>
      </w:r>
      <w:r>
        <w:fldChar w:fldCharType="begin"/>
      </w:r>
      <w:r>
        <w:instrText xml:space="preserve"> GOTOBUTTON </w:instrText>
      </w:r>
      <w:r>
        <w:fldChar w:fldCharType="end"/>
      </w:r>
      <w:r>
        <w:fldChar w:fldCharType="begin"/>
      </w:r>
      <w:r>
        <w:instrText xml:space="preserve"> macrobutton </w:instrText>
      </w:r>
      <w:r>
        <w:fldChar w:fldCharType="end"/>
      </w:r>
      <w:r>
        <w:rPr>
          <w:rFonts w:hint="eastAsia" w:ascii="黑体" w:eastAsia="黑体"/>
          <w:b w:val="0"/>
          <w:sz w:val="44"/>
          <w:szCs w:val="44"/>
        </w:rPr>
        <w:t>专利技术交底书</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43"/>
        <w:gridCol w:w="2205"/>
        <w:gridCol w:w="2080"/>
        <w:gridCol w:w="2742"/>
      </w:tblGrid>
      <w:tr w14:paraId="0BE7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8" w:hRule="atLeast"/>
        </w:trPr>
        <w:tc>
          <w:tcPr>
            <w:tcW w:w="2543" w:type="dxa"/>
            <w:noWrap w:val="0"/>
            <w:vAlign w:val="top"/>
          </w:tcPr>
          <w:p w14:paraId="1E453C06">
            <w:pPr>
              <w:jc w:val="center"/>
              <w:rPr>
                <w:rFonts w:eastAsia="仿宋_GB2312"/>
                <w:sz w:val="28"/>
                <w:szCs w:val="28"/>
              </w:rPr>
            </w:pPr>
            <w:r>
              <w:rPr>
                <w:rFonts w:eastAsia="仿宋_GB2312"/>
                <w:sz w:val="28"/>
                <w:szCs w:val="28"/>
              </w:rPr>
              <w:t>发明设计名称</w:t>
            </w:r>
          </w:p>
        </w:tc>
        <w:tc>
          <w:tcPr>
            <w:tcW w:w="7027" w:type="dxa"/>
            <w:gridSpan w:val="3"/>
            <w:noWrap w:val="0"/>
            <w:vAlign w:val="top"/>
          </w:tcPr>
          <w:p w14:paraId="358B7F78">
            <w:pPr>
              <w:jc w:val="center"/>
              <w:rPr>
                <w:rFonts w:hint="default" w:eastAsia="仿宋_GB2312"/>
                <w:sz w:val="28"/>
                <w:szCs w:val="28"/>
                <w:lang w:val="en-US" w:eastAsia="zh-CN"/>
              </w:rPr>
            </w:pPr>
            <w:r>
              <w:rPr>
                <w:rFonts w:hint="eastAsia" w:eastAsia="仿宋_GB2312"/>
                <w:sz w:val="28"/>
                <w:szCs w:val="28"/>
                <w:lang w:val="en-US" w:eastAsia="zh-CN"/>
              </w:rPr>
              <w:t>一种用于检测稀土元素的LIBS光谱定性分析算法</w:t>
            </w:r>
          </w:p>
        </w:tc>
      </w:tr>
      <w:tr w14:paraId="34AB3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2B317E69">
            <w:pPr>
              <w:jc w:val="center"/>
              <w:rPr>
                <w:rFonts w:hint="eastAsia" w:eastAsia="仿宋_GB2312"/>
                <w:sz w:val="28"/>
                <w:szCs w:val="28"/>
                <w:lang w:val="en-US" w:eastAsia="zh-CN"/>
              </w:rPr>
            </w:pPr>
            <w:r>
              <w:rPr>
                <w:rFonts w:hint="eastAsia" w:eastAsia="仿宋_GB2312"/>
                <w:sz w:val="28"/>
                <w:szCs w:val="28"/>
                <w:lang w:val="en-US" w:eastAsia="zh-CN"/>
              </w:rPr>
              <w:t>申请人</w:t>
            </w:r>
          </w:p>
          <w:p w14:paraId="4F1A2E8D">
            <w:pPr>
              <w:jc w:val="center"/>
              <w:rPr>
                <w:rFonts w:hint="eastAsia" w:eastAsia="仿宋_GB2312"/>
                <w:sz w:val="28"/>
                <w:szCs w:val="28"/>
                <w:lang w:val="en-US" w:eastAsia="zh-CN"/>
              </w:rPr>
            </w:pPr>
            <w:r>
              <w:rPr>
                <w:rFonts w:hint="eastAsia" w:eastAsia="仿宋_GB2312"/>
                <w:sz w:val="28"/>
                <w:szCs w:val="28"/>
                <w:lang w:val="en-US" w:eastAsia="zh-CN"/>
              </w:rPr>
              <w:t>（即所有权人）</w:t>
            </w:r>
          </w:p>
        </w:tc>
        <w:tc>
          <w:tcPr>
            <w:tcW w:w="7027" w:type="dxa"/>
            <w:gridSpan w:val="3"/>
            <w:noWrap w:val="0"/>
            <w:vAlign w:val="top"/>
          </w:tcPr>
          <w:p w14:paraId="26019D5C">
            <w:pPr>
              <w:jc w:val="center"/>
              <w:rPr>
                <w:rFonts w:hint="default" w:eastAsia="仿宋_GB2312"/>
                <w:sz w:val="28"/>
                <w:szCs w:val="28"/>
                <w:lang w:val="en-US" w:eastAsia="zh-CN"/>
              </w:rPr>
            </w:pPr>
            <w:r>
              <w:rPr>
                <w:rFonts w:hint="eastAsia" w:eastAsia="仿宋_GB2312"/>
                <w:sz w:val="28"/>
                <w:szCs w:val="28"/>
                <w:lang w:val="en-US" w:eastAsia="zh-CN"/>
              </w:rPr>
              <w:t>赖国梁</w:t>
            </w:r>
          </w:p>
        </w:tc>
      </w:tr>
      <w:tr w14:paraId="0DB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7" w:hRule="atLeast"/>
        </w:trPr>
        <w:tc>
          <w:tcPr>
            <w:tcW w:w="2543" w:type="dxa"/>
            <w:noWrap w:val="0"/>
            <w:vAlign w:val="top"/>
          </w:tcPr>
          <w:p w14:paraId="18C54E04">
            <w:pPr>
              <w:jc w:val="center"/>
              <w:rPr>
                <w:rFonts w:hint="eastAsia" w:eastAsia="仿宋_GB2312"/>
                <w:sz w:val="28"/>
                <w:szCs w:val="28"/>
              </w:rPr>
            </w:pPr>
            <w:r>
              <w:rPr>
                <w:rFonts w:eastAsia="仿宋_GB2312"/>
                <w:sz w:val="28"/>
                <w:szCs w:val="28"/>
              </w:rPr>
              <w:t>设计发明人</w:t>
            </w:r>
            <w:r>
              <w:rPr>
                <w:rFonts w:hint="eastAsia" w:eastAsia="仿宋_GB2312"/>
                <w:sz w:val="28"/>
                <w:szCs w:val="28"/>
              </w:rPr>
              <w:t>（可多人）</w:t>
            </w:r>
          </w:p>
        </w:tc>
        <w:tc>
          <w:tcPr>
            <w:tcW w:w="2205" w:type="dxa"/>
            <w:noWrap w:val="0"/>
            <w:vAlign w:val="top"/>
          </w:tcPr>
          <w:p w14:paraId="2669D385">
            <w:pPr>
              <w:jc w:val="center"/>
              <w:rPr>
                <w:rFonts w:hint="eastAsia" w:eastAsia="仿宋_GB2312"/>
                <w:sz w:val="28"/>
                <w:szCs w:val="28"/>
              </w:rPr>
            </w:pPr>
          </w:p>
        </w:tc>
        <w:tc>
          <w:tcPr>
            <w:tcW w:w="2080" w:type="dxa"/>
            <w:noWrap w:val="0"/>
            <w:vAlign w:val="top"/>
          </w:tcPr>
          <w:p w14:paraId="47A43AE5">
            <w:pPr>
              <w:jc w:val="center"/>
              <w:rPr>
                <w:rFonts w:hint="eastAsia" w:eastAsia="仿宋_GB2312"/>
                <w:sz w:val="28"/>
                <w:szCs w:val="28"/>
              </w:rPr>
            </w:pPr>
            <w:r>
              <w:rPr>
                <w:rFonts w:hint="eastAsia" w:eastAsia="仿宋_GB2312"/>
                <w:sz w:val="28"/>
                <w:szCs w:val="28"/>
              </w:rPr>
              <w:t>第一发明人身份证号码</w:t>
            </w:r>
          </w:p>
        </w:tc>
        <w:tc>
          <w:tcPr>
            <w:tcW w:w="2742" w:type="dxa"/>
            <w:noWrap w:val="0"/>
            <w:vAlign w:val="top"/>
          </w:tcPr>
          <w:p w14:paraId="7C026DB8">
            <w:pPr>
              <w:jc w:val="center"/>
              <w:rPr>
                <w:rFonts w:eastAsia="仿宋_GB2312"/>
              </w:rPr>
            </w:pPr>
          </w:p>
        </w:tc>
      </w:tr>
      <w:tr w14:paraId="3D684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2" w:hRule="atLeast"/>
        </w:trPr>
        <w:tc>
          <w:tcPr>
            <w:tcW w:w="2543" w:type="dxa"/>
            <w:noWrap w:val="0"/>
            <w:vAlign w:val="top"/>
          </w:tcPr>
          <w:p w14:paraId="2CA81F48">
            <w:pPr>
              <w:jc w:val="center"/>
              <w:rPr>
                <w:rFonts w:eastAsia="仿宋_GB2312"/>
                <w:sz w:val="28"/>
                <w:szCs w:val="28"/>
              </w:rPr>
            </w:pPr>
            <w:r>
              <w:rPr>
                <w:rFonts w:eastAsia="仿宋_GB2312"/>
                <w:sz w:val="28"/>
                <w:szCs w:val="28"/>
              </w:rPr>
              <w:t>电话号码</w:t>
            </w:r>
          </w:p>
        </w:tc>
        <w:tc>
          <w:tcPr>
            <w:tcW w:w="2205" w:type="dxa"/>
            <w:noWrap w:val="0"/>
            <w:vAlign w:val="top"/>
          </w:tcPr>
          <w:p w14:paraId="37BA5C36">
            <w:pPr>
              <w:jc w:val="center"/>
              <w:rPr>
                <w:rFonts w:hint="eastAsia" w:eastAsia="仿宋_GB2312"/>
                <w:sz w:val="28"/>
                <w:szCs w:val="28"/>
              </w:rPr>
            </w:pPr>
          </w:p>
        </w:tc>
        <w:tc>
          <w:tcPr>
            <w:tcW w:w="2080" w:type="dxa"/>
            <w:noWrap w:val="0"/>
            <w:vAlign w:val="top"/>
          </w:tcPr>
          <w:p w14:paraId="4488FB2B">
            <w:pPr>
              <w:jc w:val="center"/>
              <w:rPr>
                <w:rFonts w:eastAsia="仿宋_GB2312"/>
                <w:sz w:val="28"/>
                <w:szCs w:val="28"/>
              </w:rPr>
            </w:pPr>
            <w:r>
              <w:rPr>
                <w:rFonts w:hint="eastAsia" w:eastAsia="仿宋_GB2312"/>
                <w:sz w:val="28"/>
                <w:szCs w:val="28"/>
              </w:rPr>
              <w:t>QQ</w:t>
            </w:r>
            <w:r>
              <w:rPr>
                <w:rFonts w:eastAsia="仿宋_GB2312"/>
                <w:sz w:val="28"/>
                <w:szCs w:val="28"/>
              </w:rPr>
              <w:t xml:space="preserve"> </w:t>
            </w:r>
            <w:r>
              <w:rPr>
                <w:rFonts w:hint="eastAsia" w:eastAsia="仿宋_GB2312"/>
                <w:sz w:val="28"/>
                <w:szCs w:val="28"/>
              </w:rPr>
              <w:t>/</w:t>
            </w:r>
            <w:r>
              <w:rPr>
                <w:rFonts w:eastAsia="仿宋_GB2312"/>
                <w:sz w:val="28"/>
                <w:szCs w:val="28"/>
              </w:rPr>
              <w:t>Email</w:t>
            </w:r>
          </w:p>
        </w:tc>
        <w:tc>
          <w:tcPr>
            <w:tcW w:w="2742" w:type="dxa"/>
            <w:noWrap w:val="0"/>
            <w:vAlign w:val="top"/>
          </w:tcPr>
          <w:p w14:paraId="42098468">
            <w:pPr>
              <w:jc w:val="center"/>
              <w:rPr>
                <w:rFonts w:hint="eastAsia" w:eastAsia="仿宋_GB2312"/>
              </w:rPr>
            </w:pPr>
          </w:p>
        </w:tc>
      </w:tr>
    </w:tbl>
    <w:p w14:paraId="66AF97E7">
      <w:pPr>
        <w:rPr>
          <w:rFonts w:hint="eastAsia"/>
          <w:sz w:val="24"/>
        </w:rPr>
      </w:pPr>
    </w:p>
    <w:p w14:paraId="3F927383">
      <w:pPr>
        <w:rPr>
          <w:rFonts w:hint="eastAsia"/>
          <w:sz w:val="24"/>
        </w:rPr>
      </w:pPr>
    </w:p>
    <w:p w14:paraId="3B7D98F9">
      <w:pPr>
        <w:pStyle w:val="2"/>
        <w:spacing w:before="0" w:after="0" w:line="240" w:lineRule="auto"/>
        <w:ind w:left="0" w:firstLine="0"/>
        <w:rPr>
          <w:rFonts w:hint="eastAsia" w:ascii="Times New Roman" w:hAnsi="Times New Roman" w:eastAsia="宋体"/>
          <w:sz w:val="28"/>
          <w:szCs w:val="21"/>
          <w:lang w:eastAsia="zh-CN"/>
        </w:rPr>
      </w:pPr>
      <w:r>
        <w:rPr>
          <w:rFonts w:hint="eastAsia" w:ascii="Times New Roman" w:hAnsi="Times New Roman"/>
          <w:bCs/>
          <w:sz w:val="28"/>
          <w:szCs w:val="21"/>
        </w:rPr>
        <w:t>1、发明名称</w:t>
      </w:r>
      <w:r>
        <w:rPr>
          <w:rFonts w:hint="eastAsia" w:ascii="Times New Roman" w:hAnsi="Times New Roman"/>
          <w:bCs/>
          <w:sz w:val="28"/>
          <w:szCs w:val="21"/>
          <w:lang w:eastAsia="zh-CN"/>
        </w:rPr>
        <w:t>：</w:t>
      </w:r>
      <w:bookmarkStart w:id="0" w:name="_GoBack"/>
      <w:bookmarkEnd w:id="0"/>
    </w:p>
    <w:p w14:paraId="244895D3">
      <w:pPr>
        <w:ind w:firstLine="425" w:firstLineChars="0"/>
        <w:rPr>
          <w:rFonts w:hint="eastAsia"/>
          <w:b/>
          <w:bCs/>
          <w:color w:val="1329FF"/>
          <w:sz w:val="22"/>
          <w:szCs w:val="22"/>
          <w:lang w:val="en-US" w:eastAsia="zh-CN"/>
        </w:rPr>
      </w:pPr>
      <w:r>
        <w:rPr>
          <w:rFonts w:hint="eastAsia"/>
          <w:b/>
          <w:bCs/>
          <w:color w:val="1329FF"/>
          <w:sz w:val="22"/>
          <w:szCs w:val="22"/>
          <w:lang w:val="en-US" w:eastAsia="zh-CN"/>
        </w:rPr>
        <w:t>一种用于检测稀土元素的LIBS光谱定性分析算法</w:t>
      </w:r>
    </w:p>
    <w:p w14:paraId="01739DBA">
      <w:pPr>
        <w:ind w:firstLine="425" w:firstLineChars="0"/>
        <w:rPr>
          <w:rFonts w:hint="default"/>
          <w:b/>
          <w:bCs/>
          <w:color w:val="1329FF"/>
          <w:sz w:val="24"/>
          <w:szCs w:val="24"/>
          <w:lang w:val="en-US" w:eastAsia="zh-CN"/>
        </w:rPr>
      </w:pPr>
    </w:p>
    <w:p w14:paraId="4357640A">
      <w:pPr>
        <w:pStyle w:val="2"/>
        <w:spacing w:before="0" w:after="0" w:line="240" w:lineRule="auto"/>
        <w:ind w:left="0" w:firstLine="0"/>
        <w:rPr>
          <w:rFonts w:hint="eastAsia" w:ascii="Times New Roman" w:hAnsi="Times New Roman" w:eastAsia="宋体"/>
          <w:bCs/>
          <w:sz w:val="28"/>
          <w:szCs w:val="21"/>
          <w:lang w:eastAsia="zh-CN"/>
        </w:rPr>
      </w:pPr>
      <w:r>
        <w:rPr>
          <w:rFonts w:hint="eastAsia" w:ascii="Times New Roman" w:hAnsi="Times New Roman"/>
          <w:bCs/>
          <w:sz w:val="28"/>
          <w:szCs w:val="21"/>
        </w:rPr>
        <w:t>2、说明目前同类技术应用的现状及缺陷</w:t>
      </w:r>
      <w:r>
        <w:rPr>
          <w:rFonts w:hint="eastAsia" w:ascii="Times New Roman" w:hAnsi="Times New Roman"/>
          <w:bCs/>
          <w:sz w:val="28"/>
          <w:szCs w:val="21"/>
          <w:lang w:eastAsia="zh-CN"/>
        </w:rPr>
        <w:t>：</w:t>
      </w:r>
    </w:p>
    <w:p w14:paraId="03539E9B">
      <w:pPr>
        <w:pStyle w:val="23"/>
        <w:spacing w:line="240" w:lineRule="auto"/>
        <w:ind w:firstLine="425" w:firstLineChars="0"/>
        <w:rPr>
          <w:rFonts w:hint="eastAsia" w:ascii="宋体" w:hAnsi="宋体" w:eastAsia="宋体" w:cs="宋体"/>
          <w:b/>
          <w:bCs/>
          <w:color w:val="1329FF"/>
          <w:sz w:val="22"/>
          <w:szCs w:val="22"/>
          <w:lang w:val="en-US" w:eastAsia="zh-CN"/>
        </w:rPr>
      </w:pPr>
      <w:r>
        <w:rPr>
          <w:rFonts w:hint="eastAsia" w:ascii="宋体" w:hAnsi="宋体" w:eastAsia="宋体" w:cs="宋体"/>
          <w:b/>
          <w:bCs/>
          <w:color w:val="1329FF"/>
          <w:sz w:val="22"/>
          <w:szCs w:val="22"/>
          <w:lang w:val="en-US" w:eastAsia="zh-CN"/>
        </w:rPr>
        <w:t>该技术主要针对激光诱导击穿光谱（LIBS）中，对于含稀土元素样品的元素种类定性分析。目前并没有针对于LIBS光谱的稀土元素检测算法，更多的是针对稀土元素的LIBS硬件装置的改进以及光谱信号的增强，忽略了后续光谱处理和分析的重要性。</w:t>
      </w:r>
    </w:p>
    <w:p w14:paraId="03F3A4B9">
      <w:pPr>
        <w:pStyle w:val="23"/>
        <w:spacing w:line="240" w:lineRule="auto"/>
        <w:rPr>
          <w:rFonts w:hint="eastAsia"/>
          <w:sz w:val="28"/>
          <w:szCs w:val="21"/>
        </w:rPr>
      </w:pPr>
    </w:p>
    <w:p w14:paraId="29462326">
      <w:pPr>
        <w:pStyle w:val="23"/>
        <w:spacing w:line="240" w:lineRule="auto"/>
        <w:jc w:val="both"/>
        <w:rPr>
          <w:sz w:val="28"/>
          <w:szCs w:val="21"/>
        </w:rPr>
      </w:pPr>
      <w:r>
        <w:rPr>
          <w:rFonts w:hint="eastAsia"/>
          <w:b/>
          <w:bCs/>
          <w:sz w:val="28"/>
          <w:szCs w:val="21"/>
        </w:rPr>
        <w:t>3、</w:t>
      </w:r>
      <w:r>
        <w:rPr>
          <w:rFonts w:hint="eastAsia"/>
          <w:b/>
          <w:sz w:val="28"/>
          <w:szCs w:val="21"/>
        </w:rPr>
        <w:t>本专利针对同类现有技术或产品要解决的问题：</w:t>
      </w:r>
    </w:p>
    <w:p w14:paraId="092D0B03">
      <w:pPr>
        <w:pStyle w:val="23"/>
        <w:spacing w:line="240" w:lineRule="auto"/>
        <w:ind w:firstLine="425" w:firstLineChars="0"/>
        <w:jc w:val="both"/>
        <w:rPr>
          <w:rFonts w:hint="eastAsia" w:ascii="宋体"/>
          <w:b/>
          <w:color w:val="1329FF"/>
          <w:sz w:val="22"/>
          <w:szCs w:val="18"/>
          <w:lang w:val="en-US" w:eastAsia="zh-CN"/>
        </w:rPr>
      </w:pPr>
      <w:r>
        <w:rPr>
          <w:rFonts w:hint="eastAsia" w:ascii="宋体"/>
          <w:b/>
          <w:color w:val="1329FF"/>
          <w:sz w:val="22"/>
          <w:szCs w:val="18"/>
          <w:lang w:val="en-US" w:eastAsia="zh-CN"/>
        </w:rPr>
        <w:t>在面对稀土样品时，稀土元素的含量低、基体元素的干扰以及稀土元素本身的发射谱线复杂是影响稀土元素检测的主要影响原因。该专利要解决的问题是在面对含稀土元素的复杂基体时，以及较低含量的稀土元素时，如何通过光谱分析准确地识别样品内部所含的稀土元素种类。</w:t>
      </w:r>
    </w:p>
    <w:p w14:paraId="220F1E96">
      <w:pPr>
        <w:pStyle w:val="23"/>
        <w:spacing w:line="240" w:lineRule="auto"/>
        <w:ind w:firstLine="425" w:firstLineChars="0"/>
        <w:jc w:val="both"/>
        <w:rPr>
          <w:rFonts w:hint="default" w:ascii="宋体"/>
          <w:b/>
          <w:color w:val="1D41D5"/>
          <w:sz w:val="24"/>
          <w:lang w:val="en-US" w:eastAsia="zh-CN"/>
        </w:rPr>
      </w:pPr>
    </w:p>
    <w:p w14:paraId="1255A6EA">
      <w:pPr>
        <w:pStyle w:val="23"/>
        <w:spacing w:line="240" w:lineRule="auto"/>
        <w:jc w:val="both"/>
        <w:rPr>
          <w:rFonts w:hint="eastAsia"/>
          <w:sz w:val="28"/>
          <w:szCs w:val="21"/>
        </w:rPr>
      </w:pPr>
      <w:r>
        <w:rPr>
          <w:rFonts w:hint="eastAsia" w:ascii="宋体"/>
          <w:b/>
          <w:sz w:val="28"/>
          <w:szCs w:val="21"/>
        </w:rPr>
        <w:t>4、技术相比，本发明有何优点</w:t>
      </w:r>
      <w:r>
        <w:rPr>
          <w:rFonts w:hint="eastAsia"/>
          <w:b/>
          <w:sz w:val="28"/>
          <w:szCs w:val="21"/>
        </w:rPr>
        <w:t>：</w:t>
      </w:r>
      <w:r>
        <w:rPr>
          <w:b/>
          <w:sz w:val="28"/>
          <w:szCs w:val="21"/>
        </w:rPr>
        <w:tab/>
      </w:r>
    </w:p>
    <w:p w14:paraId="711167E9">
      <w:pPr>
        <w:pStyle w:val="23"/>
        <w:numPr>
          <w:ilvl w:val="0"/>
          <w:numId w:val="1"/>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通过生成理论强度“梳”，对元素全光谱进行整体考量</w:t>
      </w:r>
    </w:p>
    <w:p w14:paraId="77FF5117">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利用相对强度计算公式对整体元素特征峰进行计算，最终的置信度考量与计算同样也是利用全体谱线进行，而非传统的孤立特征谱线判决。</w:t>
      </w:r>
    </w:p>
    <w:p w14:paraId="281273D4">
      <w:pPr>
        <w:pStyle w:val="23"/>
        <w:numPr>
          <w:ilvl w:val="0"/>
          <w:numId w:val="1"/>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“谱线开关”策略扩宽稀土元素特征谱线库</w:t>
      </w:r>
    </w:p>
    <w:p w14:paraId="3BC2EF54">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考虑到稀土元素特征峰复杂，相对强度低的问题，提出面对不同基体元素时，使用不同的特征谱线，可以使稀土元素检测时极大程度上免受基体元素的干扰。</w:t>
      </w:r>
    </w:p>
    <w:p w14:paraId="30D1F9CE">
      <w:pPr>
        <w:pStyle w:val="23"/>
        <w:spacing w:line="240" w:lineRule="auto"/>
        <w:jc w:val="both"/>
        <w:rPr>
          <w:rFonts w:hint="eastAsia"/>
          <w:sz w:val="24"/>
        </w:rPr>
      </w:pPr>
    </w:p>
    <w:p w14:paraId="59D4E61F">
      <w:pPr>
        <w:pStyle w:val="23"/>
        <w:spacing w:line="240" w:lineRule="auto"/>
        <w:jc w:val="both"/>
        <w:rPr>
          <w:rFonts w:hint="default" w:ascii="宋体" w:eastAsia="宋体"/>
          <w:b/>
          <w:bCs/>
          <w:color w:val="1329FF"/>
          <w:sz w:val="28"/>
          <w:szCs w:val="24"/>
          <w:lang w:val="en-US" w:eastAsia="zh-CN"/>
        </w:rPr>
      </w:pPr>
      <w:r>
        <w:rPr>
          <w:rFonts w:hint="eastAsia"/>
          <w:b/>
          <w:bCs/>
          <w:sz w:val="28"/>
          <w:szCs w:val="21"/>
        </w:rPr>
        <w:t>5、本发明技术方案的详细阐述</w:t>
      </w:r>
      <w:r>
        <w:rPr>
          <w:rFonts w:hint="eastAsia"/>
          <w:b/>
          <w:bCs/>
          <w:sz w:val="28"/>
          <w:szCs w:val="21"/>
          <w:lang w:eastAsia="zh-CN"/>
        </w:rPr>
        <w:t>：</w:t>
      </w:r>
    </w:p>
    <w:p w14:paraId="28F470D6">
      <w:pPr>
        <w:jc w:val="both"/>
        <w:rPr>
          <w:rFonts w:hint="eastAsia"/>
          <w:i/>
          <w:iCs/>
          <w:sz w:val="13"/>
          <w:szCs w:val="13"/>
          <w:shd w:val="clear" w:color="auto" w:fill="auto"/>
          <w:lang w:val="en-US" w:eastAsia="zh-CN"/>
        </w:rPr>
      </w:pPr>
      <w:r>
        <w:rPr>
          <w:rFonts w:hint="eastAsia"/>
          <w:i/>
          <w:iCs/>
          <w:sz w:val="13"/>
          <w:szCs w:val="13"/>
          <w:shd w:val="clear" w:color="auto" w:fill="auto"/>
          <w:lang w:val="en-US" w:eastAsia="zh-CN"/>
        </w:rPr>
        <w:t>名词说明：</w:t>
      </w:r>
    </w:p>
    <w:p w14:paraId="34C006B4">
      <w:pPr>
        <w:jc w:val="both"/>
        <w:rPr>
          <w:rFonts w:hint="eastAsia"/>
          <w:b w:val="0"/>
          <w:bCs w:val="0"/>
          <w:i/>
          <w:iCs/>
          <w:sz w:val="13"/>
          <w:szCs w:val="16"/>
          <w:shd w:val="clear" w:color="auto" w:fill="auto"/>
          <w:lang w:val="en-US" w:eastAsia="zh-CN"/>
        </w:rPr>
      </w:pPr>
      <w:r>
        <w:rPr>
          <w:rFonts w:hint="eastAsia"/>
          <w:i/>
          <w:iCs/>
          <w:sz w:val="13"/>
          <w:szCs w:val="13"/>
          <w:shd w:val="clear" w:color="auto" w:fill="auto"/>
          <w:lang w:val="en-US" w:eastAsia="zh-CN"/>
        </w:rPr>
        <w:t>基体元素：矿物样本中含有的除稀土元素外的其他元素，主要指</w:t>
      </w:r>
      <w:r>
        <w:rPr>
          <w:rFonts w:hint="eastAsia"/>
          <w:b w:val="0"/>
          <w:bCs w:val="0"/>
          <w:i/>
          <w:iCs/>
          <w:sz w:val="13"/>
          <w:szCs w:val="16"/>
          <w:shd w:val="clear" w:color="auto" w:fill="auto"/>
          <w:lang w:val="en-US" w:eastAsia="zh-CN"/>
        </w:rPr>
        <w:t>K、Na、Mg、Fe、Al、Ca、Si</w:t>
      </w:r>
    </w:p>
    <w:p w14:paraId="4E9F0847">
      <w:pPr>
        <w:jc w:val="both"/>
        <w:rPr>
          <w:rFonts w:hint="eastAsia"/>
          <w:b w:val="0"/>
          <w:bCs w:val="0"/>
          <w:i/>
          <w:iCs/>
          <w:sz w:val="13"/>
          <w:szCs w:val="16"/>
          <w:shd w:val="clear" w:color="auto" w:fill="auto"/>
          <w:lang w:val="en-US" w:eastAsia="zh-CN"/>
        </w:rPr>
      </w:pPr>
      <w:r>
        <w:rPr>
          <w:rFonts w:hint="eastAsia"/>
          <w:b w:val="0"/>
          <w:bCs w:val="0"/>
          <w:i/>
          <w:iCs/>
          <w:sz w:val="13"/>
          <w:szCs w:val="16"/>
          <w:shd w:val="clear" w:color="auto" w:fill="auto"/>
          <w:lang w:val="en-US" w:eastAsia="zh-CN"/>
        </w:rPr>
        <w:t>强度梳：指的是利用谱线数据以及相对强度计算公式算出的整体谱线库相对强度集合</w:t>
      </w:r>
    </w:p>
    <w:p w14:paraId="692ED61C">
      <w:pPr>
        <w:jc w:val="both"/>
        <w:rPr>
          <w:rFonts w:hint="default"/>
          <w:b w:val="0"/>
          <w:bCs w:val="0"/>
          <w:i/>
          <w:iCs/>
          <w:sz w:val="13"/>
          <w:szCs w:val="16"/>
          <w:shd w:val="clear" w:color="auto" w:fill="auto"/>
          <w:lang w:val="en-US" w:eastAsia="zh-CN"/>
        </w:rPr>
      </w:pPr>
    </w:p>
    <w:p w14:paraId="4D10C453">
      <w:pPr>
        <w:jc w:val="both"/>
        <w:rPr>
          <w:rFonts w:hint="eastAsia"/>
          <w:b/>
          <w:bCs/>
          <w:color w:val="auto"/>
          <w:sz w:val="24"/>
          <w:szCs w:val="24"/>
          <w:highlight w:val="none"/>
          <w:lang w:val="en-US" w:eastAsia="zh-CN"/>
        </w:rPr>
      </w:pPr>
      <w:r>
        <w:rPr>
          <w:rFonts w:hint="eastAsia"/>
          <w:b/>
          <w:bCs/>
          <w:color w:val="auto"/>
          <w:sz w:val="24"/>
          <w:szCs w:val="24"/>
          <w:highlight w:val="none"/>
          <w:lang w:val="en-US" w:eastAsia="zh-CN"/>
        </w:rPr>
        <w:t>前期准备工作：建立稀土元素特征谱线数据库</w:t>
      </w:r>
    </w:p>
    <w:p w14:paraId="4F47B806">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通过NIST数据库导入各稀土元素特征谱线，并且获取A、g、E等谱线参数</w:t>
      </w:r>
    </w:p>
    <w:p w14:paraId="01F9E57A">
      <w:pPr>
        <w:ind w:firstLine="420" w:firstLineChars="0"/>
        <w:jc w:val="both"/>
        <w:rPr>
          <w:rFonts w:hint="eastAsia"/>
          <w:color w:val="auto"/>
          <w:sz w:val="20"/>
          <w:szCs w:val="20"/>
          <w:highlight w:val="none"/>
          <w:lang w:val="en-US" w:eastAsia="zh-CN"/>
        </w:rPr>
      </w:pPr>
    </w:p>
    <w:p w14:paraId="38E30D3E">
      <w:pPr>
        <w:ind w:firstLine="420" w:firstLineChars="0"/>
        <w:jc w:val="both"/>
        <w:rPr>
          <w:rFonts w:hint="eastAsia"/>
          <w:color w:val="auto"/>
          <w:sz w:val="20"/>
          <w:szCs w:val="20"/>
          <w:highlight w:val="none"/>
          <w:lang w:val="en-US" w:eastAsia="zh-CN"/>
        </w:rPr>
      </w:pPr>
    </w:p>
    <w:p w14:paraId="43FC4F95">
      <w:pPr>
        <w:bidi w:val="0"/>
        <w:jc w:val="left"/>
        <w:rPr>
          <w:rFonts w:hint="default"/>
          <w:b/>
          <w:bCs/>
          <w:sz w:val="24"/>
          <w:szCs w:val="32"/>
          <w:lang w:val="en-US" w:eastAsia="zh-CN"/>
        </w:rPr>
      </w:pPr>
      <w:r>
        <w:rPr>
          <w:rFonts w:hint="eastAsia"/>
          <w:b/>
          <w:bCs/>
          <w:sz w:val="24"/>
          <w:szCs w:val="32"/>
          <w:lang w:val="en-US" w:eastAsia="zh-CN"/>
        </w:rPr>
        <w:t>第一步：稀土元素孤立峰的寻找</w:t>
      </w:r>
    </w:p>
    <w:p w14:paraId="6D479D08">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通过NIST数据库生成十五种稀土元素平均原子百分数（6.6 a.t%）的模拟光谱，随后对该模拟光谱进行寻峰处理，将各个稀土元素的谱线库与该模拟光谱的峰值进行</w:t>
      </w:r>
      <w:r>
        <w:rPr>
          <w:rFonts w:hint="eastAsia"/>
          <w:b/>
          <w:bCs/>
          <w:color w:val="FF0000"/>
          <w:sz w:val="22"/>
          <w:szCs w:val="22"/>
          <w:highlight w:val="none"/>
          <w:lang w:val="en-US" w:eastAsia="zh-CN"/>
        </w:rPr>
        <w:t>最近峰值距离计算</w:t>
      </w:r>
      <w:r>
        <w:rPr>
          <w:rFonts w:hint="eastAsia"/>
          <w:color w:val="auto"/>
          <w:sz w:val="22"/>
          <w:szCs w:val="22"/>
          <w:highlight w:val="none"/>
          <w:lang w:val="en-US" w:eastAsia="zh-CN"/>
        </w:rPr>
        <w:t>。最近峰值距离大于0.5nm的属于可用峰，最近峰值距离在0-0.5nm之间的属于重叠峰（重叠程度不同导致峰值距离不同），随后需要手动筛选出每个稀土元素的可用峰。</w:t>
      </w:r>
    </w:p>
    <w:p w14:paraId="578EB93F">
      <w:pPr>
        <w:ind w:firstLine="420" w:firstLineChars="0"/>
        <w:jc w:val="both"/>
        <w:rPr>
          <w:rFonts w:hint="default"/>
          <w:color w:val="auto"/>
          <w:sz w:val="20"/>
          <w:szCs w:val="20"/>
          <w:highlight w:val="none"/>
          <w:lang w:val="en-US" w:eastAsia="zh-CN"/>
        </w:rPr>
      </w:pPr>
    </w:p>
    <w:p w14:paraId="038417B8">
      <w:pPr>
        <w:ind w:firstLine="420" w:firstLineChars="0"/>
        <w:jc w:val="both"/>
        <w:rPr>
          <w:rFonts w:hint="default"/>
          <w:color w:val="auto"/>
          <w:sz w:val="20"/>
          <w:szCs w:val="20"/>
          <w:highlight w:val="none"/>
          <w:lang w:val="en-US" w:eastAsia="zh-CN"/>
        </w:rPr>
      </w:pPr>
    </w:p>
    <w:p w14:paraId="33B99AAA">
      <w:pPr>
        <w:bidi w:val="0"/>
        <w:jc w:val="left"/>
        <w:rPr>
          <w:rFonts w:hint="default"/>
          <w:b/>
          <w:bCs/>
          <w:sz w:val="24"/>
          <w:szCs w:val="32"/>
          <w:lang w:val="en-US" w:eastAsia="zh-CN"/>
        </w:rPr>
      </w:pPr>
      <w:r>
        <w:rPr>
          <w:rFonts w:hint="eastAsia"/>
          <w:b/>
          <w:bCs/>
          <w:sz w:val="24"/>
          <w:szCs w:val="32"/>
          <w:lang w:val="en-US" w:eastAsia="zh-CN"/>
        </w:rPr>
        <w:t>第二步：基体元素中干扰元素的寻找</w:t>
      </w:r>
    </w:p>
    <w:p w14:paraId="7FBA611D">
      <w:pPr>
        <w:bidi w:val="0"/>
        <w:ind w:firstLine="420" w:firstLineChars="0"/>
        <w:jc w:val="left"/>
        <w:rPr>
          <w:rFonts w:hint="default"/>
          <w:color w:val="0070C0"/>
          <w:sz w:val="22"/>
          <w:szCs w:val="21"/>
          <w:lang w:val="en-US" w:eastAsia="zh-CN"/>
        </w:rPr>
      </w:pPr>
      <w:r>
        <w:rPr>
          <w:rFonts w:hint="eastAsia"/>
          <w:sz w:val="22"/>
          <w:szCs w:val="21"/>
          <w:lang w:val="en-US" w:eastAsia="zh-CN"/>
        </w:rPr>
        <w:t>通过分析</w:t>
      </w:r>
      <w:r>
        <w:rPr>
          <w:rFonts w:hint="eastAsia"/>
          <w:b/>
          <w:bCs/>
          <w:color w:val="FF0000"/>
          <w:sz w:val="22"/>
          <w:szCs w:val="21"/>
          <w:lang w:val="en-US" w:eastAsia="zh-CN"/>
        </w:rPr>
        <w:t>分析光谱的斯塔克展宽，设定孤立峰认定阈值</w:t>
      </w:r>
      <w:r>
        <w:rPr>
          <w:rFonts w:hint="eastAsia"/>
          <w:sz w:val="22"/>
          <w:szCs w:val="21"/>
          <w:lang w:val="en-US" w:eastAsia="zh-CN"/>
        </w:rPr>
        <w:t>。随后将导入的稀土元素谱线库与岩石基体元素所生成的100%原子百分数的模拟光谱进行峰位比对，如果距离小于阈值，则该元素则确定会对该稀土元素的该峰位发生干扰。如此循环，最终每个稀土元素谱线库中的每个谱线都会</w:t>
      </w:r>
      <w:r>
        <w:rPr>
          <w:rFonts w:hint="eastAsia"/>
          <w:b/>
          <w:bCs/>
          <w:color w:val="FF0000"/>
          <w:sz w:val="22"/>
          <w:szCs w:val="21"/>
          <w:lang w:val="en-US" w:eastAsia="zh-CN"/>
        </w:rPr>
        <w:t>拥有可能干扰的基体元素列表</w:t>
      </w:r>
      <w:r>
        <w:rPr>
          <w:rFonts w:hint="eastAsia"/>
          <w:sz w:val="22"/>
          <w:szCs w:val="21"/>
          <w:lang w:val="en-US" w:eastAsia="zh-CN"/>
        </w:rPr>
        <w:t>。</w:t>
      </w:r>
    </w:p>
    <w:p w14:paraId="398967B9">
      <w:pPr>
        <w:bidi w:val="0"/>
        <w:ind w:firstLine="420" w:firstLineChars="0"/>
        <w:jc w:val="left"/>
        <w:rPr>
          <w:rFonts w:hint="default"/>
          <w:sz w:val="16"/>
          <w:szCs w:val="15"/>
          <w:lang w:val="en-US" w:eastAsia="zh-CN"/>
        </w:rPr>
      </w:pPr>
    </w:p>
    <w:p w14:paraId="7C1BFD8C">
      <w:pPr>
        <w:bidi w:val="0"/>
        <w:ind w:firstLine="420" w:firstLineChars="0"/>
        <w:jc w:val="left"/>
        <w:rPr>
          <w:rFonts w:hint="default"/>
          <w:sz w:val="16"/>
          <w:szCs w:val="15"/>
          <w:lang w:val="en-US" w:eastAsia="zh-CN"/>
        </w:rPr>
      </w:pPr>
    </w:p>
    <w:p w14:paraId="3DCC9A5F">
      <w:pPr>
        <w:bidi w:val="0"/>
        <w:jc w:val="left"/>
        <w:rPr>
          <w:rFonts w:hint="eastAsia"/>
          <w:b/>
          <w:bCs/>
          <w:sz w:val="24"/>
          <w:szCs w:val="32"/>
          <w:lang w:val="en-US" w:eastAsia="zh-CN"/>
        </w:rPr>
      </w:pPr>
      <w:r>
        <w:rPr>
          <w:rFonts w:hint="eastAsia"/>
          <w:b/>
          <w:bCs/>
          <w:sz w:val="24"/>
          <w:szCs w:val="32"/>
          <w:lang w:val="en-US" w:eastAsia="zh-CN"/>
        </w:rPr>
        <w:t>第三步：制作元素谱线理论强度“梳”</w:t>
      </w:r>
    </w:p>
    <w:p w14:paraId="43267101">
      <w:pPr>
        <w:bidi w:val="0"/>
        <w:ind w:firstLine="420" w:firstLineChars="0"/>
        <w:jc w:val="left"/>
        <w:rPr>
          <w:rFonts w:hint="eastAsia" w:hAnsi="Cambria Math" w:cs="Cambria Math"/>
          <w:b/>
          <w:bCs/>
          <w:i w:val="0"/>
          <w:color w:val="FF0000"/>
          <w:sz w:val="22"/>
          <w:szCs w:val="22"/>
          <w:lang w:val="en-US" w:eastAsia="zh-CN"/>
        </w:rPr>
      </w:pPr>
      <w:r>
        <w:rPr>
          <w:rFonts w:hint="eastAsia"/>
          <w:sz w:val="22"/>
          <w:szCs w:val="22"/>
          <w:lang w:val="en-US" w:eastAsia="zh-CN"/>
        </w:rPr>
        <w:t>利用公式</w:t>
      </w:r>
      <m:oMath>
        <m:sSubSup>
          <m:sSubSupPr>
            <m:ctrlPr>
              <w:rPr>
                <w:rFonts w:hint="default" w:ascii="Cambria Math" w:hAnsi="Cambria Math"/>
                <w:i/>
                <w:sz w:val="22"/>
                <w:szCs w:val="22"/>
                <w:lang w:val="en-US"/>
              </w:rPr>
            </m:ctrlPr>
          </m:sSubSupPr>
          <m:e>
            <m:r>
              <m:rPr/>
              <w:rPr>
                <w:rFonts w:hint="default" w:ascii="Cambria Math" w:hAnsi="Cambria Math"/>
                <w:sz w:val="22"/>
                <w:szCs w:val="22"/>
                <w:lang w:val="en-US" w:eastAsia="zh-CN"/>
              </w:rPr>
              <m:t>I</m:t>
            </m:r>
            <m:ctrlPr>
              <w:rPr>
                <w:rFonts w:hint="default" w:ascii="Cambria Math" w:hAnsi="Cambria Math"/>
                <w:i/>
                <w:sz w:val="22"/>
                <w:szCs w:val="22"/>
                <w:lang w:val="en-US"/>
              </w:rPr>
            </m:ctrlPr>
          </m:e>
          <m:sub>
            <m:r>
              <m:rPr/>
              <w:rPr>
                <w:rFonts w:hint="default" w:ascii="Cambria Math" w:hAnsi="Cambria Math"/>
                <w:sz w:val="22"/>
                <w:szCs w:val="22"/>
                <w:lang w:val="en-US"/>
              </w:rPr>
              <m:t>λ</m:t>
            </m:r>
            <m:ctrlPr>
              <w:rPr>
                <w:rFonts w:hint="default" w:ascii="Cambria Math" w:hAnsi="Cambria Math"/>
                <w:i/>
                <w:sz w:val="22"/>
                <w:szCs w:val="22"/>
                <w:lang w:val="en-US"/>
              </w:rPr>
            </m:ctrlPr>
          </m:sub>
          <m:sup>
            <m:r>
              <m:rPr/>
              <w:rPr>
                <w:rFonts w:hint="default" w:ascii="Cambria Math" w:hAnsi="Cambria Math"/>
                <w:sz w:val="22"/>
                <w:szCs w:val="22"/>
                <w:lang w:val="en-US" w:eastAsia="zh-CN"/>
              </w:rPr>
              <m:t>ij</m:t>
            </m:r>
            <m:ctrlPr>
              <w:rPr>
                <w:rFonts w:hint="default" w:ascii="Cambria Math" w:hAnsi="Cambria Math"/>
                <w:i/>
                <w:sz w:val="22"/>
                <w:szCs w:val="22"/>
                <w:lang w:val="en-US"/>
              </w:rPr>
            </m:ctrlPr>
          </m:sup>
        </m:sSubSup>
        <m:r>
          <m:rPr/>
          <w:rPr>
            <w:rFonts w:hint="default" w:ascii="Cambria Math" w:hAnsi="Cambria Math" w:cs="Cambria Math"/>
            <w:sz w:val="22"/>
            <w:szCs w:val="22"/>
            <w:lang w:val="en-US"/>
          </w:rPr>
          <m:t>∝</m:t>
        </m:r>
        <m:f>
          <m:fPr>
            <m:ctrlPr>
              <w:rPr>
                <w:rFonts w:hint="default" w:ascii="Cambria Math" w:hAnsi="Cambria Math" w:cs="Cambria Math"/>
                <w:i/>
                <w:sz w:val="22"/>
                <w:szCs w:val="22"/>
                <w:lang w:val="en-US"/>
              </w:rPr>
            </m:ctrlPr>
          </m:fPr>
          <m:num>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g</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rPr>
                </m:ctrlPr>
              </m:sub>
            </m:sSub>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A</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ik</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exp(−</m:t>
            </m:r>
            <m:sSub>
              <m:sSubPr>
                <m:ctrlPr>
                  <w:rPr>
                    <w:rFonts w:hint="default" w:ascii="Cambria Math" w:hAnsi="Cambria Math" w:cs="Cambria Math"/>
                    <w:i/>
                    <w:sz w:val="22"/>
                    <w:szCs w:val="22"/>
                    <w:lang w:val="en-US" w:eastAsia="zh-CN"/>
                  </w:rPr>
                </m:ctrlPr>
              </m:sSubPr>
              <m:e>
                <m:r>
                  <m:rPr/>
                  <w:rPr>
                    <w:rFonts w:hint="default" w:ascii="Cambria Math" w:hAnsi="Cambria Math" w:cs="Cambria Math"/>
                    <w:sz w:val="22"/>
                    <w:szCs w:val="22"/>
                    <w:lang w:val="en-US" w:eastAsia="zh-CN"/>
                  </w:rPr>
                  <m:t>E</m:t>
                </m:r>
                <m:ctrlPr>
                  <w:rPr>
                    <w:rFonts w:hint="default" w:ascii="Cambria Math" w:hAnsi="Cambria Math" w:cs="Cambria Math"/>
                    <w:i/>
                    <w:sz w:val="22"/>
                    <w:szCs w:val="22"/>
                    <w:lang w:val="en-US" w:eastAsia="zh-CN"/>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eastAsia="zh-CN"/>
                  </w:rPr>
                </m:ctrlPr>
              </m:sub>
            </m:sSub>
            <m:r>
              <m:rPr/>
              <w:rPr>
                <w:rFonts w:hint="default" w:ascii="Cambria Math" w:hAnsi="Cambria Math" w:cs="Cambria Math"/>
                <w:sz w:val="22"/>
                <w:szCs w:val="22"/>
                <w:lang w:val="en-US" w:eastAsia="zh-CN"/>
              </w:rPr>
              <m:t>/kT)</m:t>
            </m:r>
            <m:ctrlPr>
              <w:rPr>
                <w:rFonts w:hint="default" w:ascii="Cambria Math" w:hAnsi="Cambria Math" w:cs="Cambria Math"/>
                <w:i/>
                <w:sz w:val="22"/>
                <w:szCs w:val="22"/>
                <w:lang w:val="en-US"/>
              </w:rPr>
            </m:ctrlPr>
          </m:num>
          <m:den>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U</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s</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(T)</m:t>
            </m:r>
            <m:ctrlPr>
              <w:rPr>
                <w:rFonts w:hint="default" w:ascii="Cambria Math" w:hAnsi="Cambria Math" w:cs="Cambria Math"/>
                <w:i/>
                <w:sz w:val="22"/>
                <w:szCs w:val="22"/>
                <w:lang w:val="en-US"/>
              </w:rPr>
            </m:ctrlPr>
          </m:den>
        </m:f>
      </m:oMath>
      <w:r>
        <w:rPr>
          <w:rFonts w:hint="eastAsia" w:hAnsi="Cambria Math" w:cs="Cambria Math"/>
          <w:i w:val="0"/>
          <w:sz w:val="22"/>
          <w:szCs w:val="22"/>
          <w:lang w:val="en-US" w:eastAsia="zh-CN"/>
        </w:rPr>
        <w:t>对筛选出的元素特征谱线进行归一化相对强度计算，随后获得</w:t>
      </w:r>
      <w:r>
        <w:rPr>
          <w:rFonts w:hint="eastAsia" w:hAnsi="Cambria Math" w:cs="Cambria Math"/>
          <w:b/>
          <w:bCs/>
          <w:i w:val="0"/>
          <w:color w:val="FF0000"/>
          <w:sz w:val="22"/>
          <w:szCs w:val="22"/>
          <w:lang w:val="en-US" w:eastAsia="zh-CN"/>
        </w:rPr>
        <w:t>元素理论强度“梳”</w:t>
      </w:r>
    </w:p>
    <w:p w14:paraId="32326F89">
      <w:pPr>
        <w:bidi w:val="0"/>
        <w:ind w:firstLine="420" w:firstLineChars="0"/>
        <w:jc w:val="center"/>
        <w:rPr>
          <w:rFonts w:hint="eastAsia" w:hAnsi="Cambria Math" w:cs="Cambria Math"/>
          <w:i w:val="0"/>
          <w:sz w:val="16"/>
          <w:szCs w:val="15"/>
          <w:lang w:val="en-US" w:eastAsia="zh-CN"/>
        </w:rPr>
      </w:pPr>
      <w:r>
        <w:rPr>
          <w:sz w:val="16"/>
          <w:szCs w:val="15"/>
        </w:rPr>
        <w:drawing>
          <wp:inline distT="0" distB="0" distL="114300" distR="114300">
            <wp:extent cx="2508250" cy="1440180"/>
            <wp:effectExtent l="0" t="0" r="6350"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2508250" cy="1440180"/>
                    </a:xfrm>
                    <a:prstGeom prst="rect">
                      <a:avLst/>
                    </a:prstGeom>
                    <a:noFill/>
                    <a:ln>
                      <a:noFill/>
                    </a:ln>
                  </pic:spPr>
                </pic:pic>
              </a:graphicData>
            </a:graphic>
          </wp:inline>
        </w:drawing>
      </w:r>
    </w:p>
    <w:p w14:paraId="71C02144">
      <w:pPr>
        <w:bidi w:val="0"/>
        <w:ind w:firstLine="420" w:firstLineChars="0"/>
        <w:jc w:val="center"/>
        <w:rPr>
          <w:rFonts w:hint="default" w:hAnsi="Cambria Math" w:cs="Cambria Math"/>
          <w:b w:val="0"/>
          <w:bCs w:val="0"/>
          <w:i w:val="0"/>
          <w:sz w:val="13"/>
          <w:szCs w:val="16"/>
          <w:lang w:val="en-US" w:eastAsia="zh-CN"/>
        </w:rPr>
      </w:pPr>
      <w:r>
        <w:rPr>
          <w:rFonts w:hint="eastAsia" w:hAnsi="Cambria Math" w:cs="Cambria Math"/>
          <w:b w:val="0"/>
          <w:bCs w:val="0"/>
          <w:i w:val="0"/>
          <w:sz w:val="13"/>
          <w:szCs w:val="16"/>
          <w:lang w:val="en-US" w:eastAsia="zh-CN"/>
        </w:rPr>
        <w:t>图1 元素“梳”示意图（浅蓝部分）</w:t>
      </w:r>
    </w:p>
    <w:p w14:paraId="6C3479C1">
      <w:pPr>
        <w:bidi w:val="0"/>
        <w:jc w:val="left"/>
        <w:rPr>
          <w:rFonts w:hint="default"/>
          <w:sz w:val="18"/>
          <w:szCs w:val="16"/>
          <w:lang w:val="en-US" w:eastAsia="zh-CN"/>
        </w:rPr>
      </w:pPr>
    </w:p>
    <w:p w14:paraId="1E5615B1">
      <w:pPr>
        <w:bidi w:val="0"/>
        <w:jc w:val="left"/>
        <w:rPr>
          <w:rFonts w:hint="eastAsia"/>
          <w:b/>
          <w:bCs/>
          <w:sz w:val="24"/>
          <w:szCs w:val="32"/>
          <w:lang w:val="en-US" w:eastAsia="zh-CN"/>
        </w:rPr>
      </w:pPr>
      <w:r>
        <w:rPr>
          <w:rFonts w:hint="eastAsia"/>
          <w:b/>
          <w:bCs/>
          <w:sz w:val="24"/>
          <w:szCs w:val="32"/>
          <w:lang w:val="en-US" w:eastAsia="zh-CN"/>
        </w:rPr>
        <w:t>第四步：光谱信号的小波寻峰</w:t>
      </w:r>
    </w:p>
    <w:p w14:paraId="43C01D7D">
      <w:pPr>
        <w:bidi w:val="0"/>
        <w:ind w:firstLine="420" w:firstLineChars="0"/>
        <w:jc w:val="left"/>
        <w:rPr>
          <w:rFonts w:hint="eastAsia"/>
          <w:sz w:val="22"/>
          <w:szCs w:val="21"/>
          <w:lang w:val="en-US" w:eastAsia="zh-CN"/>
        </w:rPr>
      </w:pPr>
      <w:r>
        <w:rPr>
          <w:rFonts w:hint="eastAsia"/>
          <w:b/>
          <w:bCs/>
          <w:color w:val="FF0000"/>
          <w:sz w:val="22"/>
          <w:szCs w:val="21"/>
          <w:lang w:val="en-US" w:eastAsia="zh-CN"/>
        </w:rPr>
        <w:t>利用墨西哥帽小波对光谱进行寻峰</w:t>
      </w:r>
      <w:r>
        <w:rPr>
          <w:rFonts w:hint="eastAsia"/>
          <w:sz w:val="22"/>
          <w:szCs w:val="21"/>
          <w:lang w:val="en-US" w:eastAsia="zh-CN"/>
        </w:rPr>
        <w:t>，并且记录峰值强度与位置</w:t>
      </w:r>
    </w:p>
    <w:p w14:paraId="2846A3AF">
      <w:pPr>
        <w:bidi w:val="0"/>
        <w:ind w:firstLine="420" w:firstLineChars="0"/>
        <w:jc w:val="left"/>
        <w:rPr>
          <w:rFonts w:hint="eastAsia"/>
          <w:sz w:val="16"/>
          <w:szCs w:val="15"/>
          <w:lang w:val="en-US" w:eastAsia="zh-CN"/>
        </w:rPr>
      </w:pPr>
    </w:p>
    <w:p w14:paraId="01DBE2F3">
      <w:pPr>
        <w:bidi w:val="0"/>
        <w:ind w:firstLine="420" w:firstLineChars="0"/>
        <w:jc w:val="left"/>
        <w:rPr>
          <w:rFonts w:hint="eastAsia"/>
          <w:sz w:val="16"/>
          <w:szCs w:val="15"/>
          <w:lang w:val="en-US" w:eastAsia="zh-CN"/>
        </w:rPr>
      </w:pPr>
    </w:p>
    <w:p w14:paraId="34695DB4">
      <w:pPr>
        <w:bidi w:val="0"/>
        <w:jc w:val="left"/>
        <w:rPr>
          <w:rFonts w:hint="default"/>
          <w:b/>
          <w:bCs/>
          <w:sz w:val="24"/>
          <w:szCs w:val="32"/>
          <w:lang w:val="en-US" w:eastAsia="zh-CN"/>
        </w:rPr>
      </w:pPr>
      <w:r>
        <w:rPr>
          <w:rFonts w:hint="eastAsia"/>
          <w:b/>
          <w:bCs/>
          <w:sz w:val="24"/>
          <w:szCs w:val="32"/>
          <w:lang w:val="en-US" w:eastAsia="zh-CN"/>
        </w:rPr>
        <w:t>第五步：基体元素判断与谱线开关</w:t>
      </w:r>
    </w:p>
    <w:p w14:paraId="00E9A6B5">
      <w:pPr>
        <w:bidi w:val="0"/>
        <w:ind w:firstLine="420" w:firstLineChars="0"/>
        <w:jc w:val="left"/>
        <w:rPr>
          <w:rFonts w:hint="default"/>
          <w:b/>
          <w:bCs/>
          <w:color w:val="FF0000"/>
          <w:sz w:val="22"/>
          <w:szCs w:val="22"/>
          <w:lang w:val="en-US" w:eastAsia="zh-CN"/>
        </w:rPr>
      </w:pPr>
      <w:r>
        <w:rPr>
          <w:rFonts w:hint="eastAsia"/>
          <w:sz w:val="22"/>
          <w:szCs w:val="22"/>
          <w:lang w:val="en-US" w:eastAsia="zh-CN"/>
        </w:rPr>
        <w:t>对实验光谱利用该元素识别算法的全部流程进行基体干扰元素种类的判断，随后调整稀土元素谱线库，</w:t>
      </w:r>
      <w:r>
        <w:rPr>
          <w:rFonts w:hint="eastAsia"/>
          <w:b/>
          <w:bCs/>
          <w:color w:val="FF0000"/>
          <w:sz w:val="22"/>
          <w:szCs w:val="22"/>
          <w:lang w:val="en-US" w:eastAsia="zh-CN"/>
        </w:rPr>
        <w:t>如果没有对于干扰元素的谱线将会被开启，反之则被关闭。</w:t>
      </w:r>
    </w:p>
    <w:p w14:paraId="48FAAE39">
      <w:pPr>
        <w:bidi w:val="0"/>
        <w:jc w:val="left"/>
        <w:rPr>
          <w:rFonts w:hint="default"/>
          <w:sz w:val="16"/>
          <w:szCs w:val="15"/>
          <w:lang w:val="en-US" w:eastAsia="zh-CN"/>
        </w:rPr>
      </w:pPr>
    </w:p>
    <w:p w14:paraId="5FD0E289">
      <w:pPr>
        <w:bidi w:val="0"/>
        <w:jc w:val="left"/>
        <w:rPr>
          <w:rFonts w:hint="default"/>
          <w:sz w:val="16"/>
          <w:szCs w:val="15"/>
          <w:lang w:val="en-US" w:eastAsia="zh-CN"/>
        </w:rPr>
      </w:pPr>
    </w:p>
    <w:p w14:paraId="76ED66C4">
      <w:pPr>
        <w:bidi w:val="0"/>
        <w:jc w:val="left"/>
        <w:rPr>
          <w:rFonts w:hint="default"/>
          <w:sz w:val="16"/>
          <w:szCs w:val="15"/>
          <w:lang w:val="en-US" w:eastAsia="zh-CN"/>
        </w:rPr>
      </w:pPr>
    </w:p>
    <w:p w14:paraId="1C34ABC7">
      <w:pPr>
        <w:bidi w:val="0"/>
        <w:jc w:val="left"/>
        <w:rPr>
          <w:rFonts w:hint="default"/>
          <w:b/>
          <w:bCs/>
          <w:sz w:val="24"/>
          <w:szCs w:val="32"/>
          <w:lang w:val="en-US" w:eastAsia="zh-CN"/>
        </w:rPr>
      </w:pPr>
      <w:r>
        <w:rPr>
          <w:rFonts w:hint="eastAsia"/>
          <w:b/>
          <w:bCs/>
          <w:sz w:val="24"/>
          <w:szCs w:val="32"/>
          <w:lang w:val="en-US" w:eastAsia="zh-CN"/>
        </w:rPr>
        <w:t>第六步：计算元素实验强度“梳”</w:t>
      </w:r>
    </w:p>
    <w:p w14:paraId="41898474">
      <w:pPr>
        <w:bidi w:val="0"/>
        <w:ind w:firstLine="420" w:firstLineChars="0"/>
        <w:jc w:val="left"/>
        <w:rPr>
          <w:rFonts w:hint="default"/>
          <w:b w:val="0"/>
          <w:bCs w:val="0"/>
          <w:sz w:val="22"/>
          <w:szCs w:val="21"/>
          <w:lang w:val="en-US" w:eastAsia="zh-CN"/>
        </w:rPr>
      </w:pPr>
      <w:r>
        <w:rPr>
          <w:rFonts w:hint="eastAsia"/>
          <w:sz w:val="22"/>
          <w:szCs w:val="21"/>
          <w:lang w:val="en-US" w:eastAsia="zh-CN"/>
        </w:rPr>
        <w:t>利用</w:t>
      </w:r>
      <w:r>
        <w:rPr>
          <w:rFonts w:hint="eastAsia"/>
          <w:b/>
          <w:bCs/>
          <w:color w:val="FF0000"/>
          <w:sz w:val="22"/>
          <w:szCs w:val="21"/>
          <w:lang w:val="en-US" w:eastAsia="zh-CN"/>
        </w:rPr>
        <w:t>一定的算法策略</w:t>
      </w:r>
      <w:r>
        <w:rPr>
          <w:rFonts w:hint="eastAsia"/>
          <w:sz w:val="22"/>
          <w:szCs w:val="21"/>
          <w:lang w:val="en-US" w:eastAsia="zh-CN"/>
        </w:rPr>
        <w:t>，在稀土元素“梳”的每个“齿”附近筛选峰值强度。再对筛选得到的实验峰值强度进行归一化处理，获得元素</w:t>
      </w:r>
      <w:r>
        <w:rPr>
          <w:rFonts w:hint="eastAsia"/>
          <w:b/>
          <w:bCs/>
          <w:color w:val="FF0000"/>
          <w:sz w:val="22"/>
          <w:szCs w:val="21"/>
          <w:lang w:val="en-US" w:eastAsia="zh-CN"/>
        </w:rPr>
        <w:t>实验强度“梳”。</w:t>
      </w:r>
      <w:r>
        <w:rPr>
          <w:rFonts w:hint="eastAsia"/>
          <w:b/>
          <w:bCs/>
          <w:sz w:val="22"/>
          <w:szCs w:val="21"/>
          <w:lang w:val="en-US" w:eastAsia="zh-CN"/>
        </w:rPr>
        <w:t>（</w:t>
      </w:r>
      <w:r>
        <w:rPr>
          <w:rFonts w:hint="eastAsia"/>
          <w:b w:val="0"/>
          <w:bCs w:val="0"/>
          <w:sz w:val="22"/>
          <w:szCs w:val="21"/>
          <w:lang w:val="en-US" w:eastAsia="zh-CN"/>
        </w:rPr>
        <w:t>需要注意，此时理论强度“梳”上有些“齿”无法找到对应实验峰值，此时会对理论“梳”上的齿做剔除，重新归一化获得新的理论强度“梳”）</w:t>
      </w:r>
    </w:p>
    <w:p w14:paraId="2798A3B4">
      <w:pPr>
        <w:bidi w:val="0"/>
        <w:ind w:firstLine="420" w:firstLineChars="0"/>
        <w:jc w:val="center"/>
        <w:rPr>
          <w:sz w:val="16"/>
          <w:szCs w:val="15"/>
        </w:rPr>
      </w:pPr>
      <w:r>
        <w:rPr>
          <w:sz w:val="16"/>
          <w:szCs w:val="15"/>
        </w:rPr>
        <w:drawing>
          <wp:inline distT="0" distB="0" distL="114300" distR="114300">
            <wp:extent cx="2509520" cy="1440180"/>
            <wp:effectExtent l="0" t="0" r="508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2509520" cy="1440180"/>
                    </a:xfrm>
                    <a:prstGeom prst="rect">
                      <a:avLst/>
                    </a:prstGeom>
                    <a:noFill/>
                    <a:ln>
                      <a:noFill/>
                    </a:ln>
                  </pic:spPr>
                </pic:pic>
              </a:graphicData>
            </a:graphic>
          </wp:inline>
        </w:drawing>
      </w:r>
    </w:p>
    <w:p w14:paraId="1BBCBB10">
      <w:pPr>
        <w:bidi w:val="0"/>
        <w:ind w:firstLine="420" w:firstLineChars="0"/>
        <w:jc w:val="center"/>
        <w:rPr>
          <w:rFonts w:hint="eastAsia"/>
          <w:sz w:val="13"/>
          <w:szCs w:val="16"/>
          <w:lang w:val="en-US" w:eastAsia="zh-CN"/>
        </w:rPr>
      </w:pPr>
      <w:r>
        <w:rPr>
          <w:rFonts w:hint="eastAsia"/>
          <w:sz w:val="13"/>
          <w:szCs w:val="16"/>
          <w:lang w:val="en-US" w:eastAsia="zh-CN"/>
        </w:rPr>
        <w:t>图2 峰值筛选过程（浅蓝色为特征谱线位置，红点为筛选得出的实验峰值位置）</w:t>
      </w:r>
    </w:p>
    <w:p w14:paraId="6D393427">
      <w:pPr>
        <w:bidi w:val="0"/>
        <w:ind w:firstLine="420" w:firstLineChars="0"/>
        <w:jc w:val="center"/>
        <w:rPr>
          <w:rFonts w:hint="eastAsia"/>
          <w:sz w:val="13"/>
          <w:szCs w:val="16"/>
          <w:lang w:val="en-US" w:eastAsia="zh-CN"/>
        </w:rPr>
      </w:pPr>
    </w:p>
    <w:p w14:paraId="39A12B95">
      <w:pPr>
        <w:bidi w:val="0"/>
        <w:ind w:firstLine="420" w:firstLineChars="0"/>
        <w:jc w:val="center"/>
        <w:rPr>
          <w:rFonts w:hint="eastAsia"/>
          <w:sz w:val="13"/>
          <w:szCs w:val="16"/>
          <w:lang w:val="en-US" w:eastAsia="zh-CN"/>
        </w:rPr>
      </w:pPr>
    </w:p>
    <w:p w14:paraId="5C3F3CF2">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第七步：元素理论强度“梳”与实验强度“梳”的对应并计算置信度</w:t>
      </w:r>
    </w:p>
    <w:p w14:paraId="51F89F1E">
      <w:pPr>
        <w:bidi w:val="0"/>
        <w:ind w:firstLine="420" w:firstLineChars="0"/>
        <w:jc w:val="both"/>
        <w:rPr>
          <w:rFonts w:hint="eastAsia"/>
          <w:b w:val="0"/>
          <w:bCs w:val="0"/>
          <w:sz w:val="22"/>
          <w:szCs w:val="22"/>
          <w:vertAlign w:val="baseline"/>
          <w:lang w:val="en-US" w:eastAsia="zh-CN"/>
        </w:rPr>
      </w:pPr>
      <w:r>
        <w:rPr>
          <w:rFonts w:hint="eastAsia"/>
          <w:b w:val="0"/>
          <w:bCs w:val="0"/>
          <w:sz w:val="22"/>
          <w:szCs w:val="22"/>
          <w:vertAlign w:val="baseline"/>
          <w:lang w:val="en-US" w:eastAsia="zh-CN"/>
        </w:rPr>
        <w:t>选择代表元素的粒子后，通过计算实验强度“梳”和理论强度“梳”的</w:t>
      </w:r>
      <w:r>
        <w:rPr>
          <w:rFonts w:hint="eastAsia"/>
          <w:b/>
          <w:bCs/>
          <w:color w:val="FF0000"/>
          <w:sz w:val="22"/>
          <w:szCs w:val="22"/>
          <w:vertAlign w:val="baseline"/>
          <w:lang w:val="en-US" w:eastAsia="zh-CN"/>
        </w:rPr>
        <w:t>欧氏距离</w:t>
      </w:r>
      <w:r>
        <w:rPr>
          <w:rFonts w:hint="eastAsia"/>
          <w:b w:val="0"/>
          <w:bCs w:val="0"/>
          <w:sz w:val="22"/>
          <w:szCs w:val="22"/>
          <w:vertAlign w:val="baseline"/>
          <w:lang w:val="en-US" w:eastAsia="zh-CN"/>
        </w:rPr>
        <w:t>，最后通过</w:t>
      </w:r>
      <w:r>
        <w:rPr>
          <w:rFonts w:hint="eastAsia"/>
          <w:b/>
          <w:bCs/>
          <w:color w:val="FF0000"/>
          <w:sz w:val="22"/>
          <w:szCs w:val="22"/>
          <w:vertAlign w:val="baseline"/>
          <w:lang w:val="en-US" w:eastAsia="zh-CN"/>
        </w:rPr>
        <w:t>指数映射，获得元素存在置信度的输出。</w:t>
      </w:r>
    </w:p>
    <w:p w14:paraId="7380215D">
      <w:pPr>
        <w:bidi w:val="0"/>
        <w:ind w:firstLine="420" w:firstLineChars="0"/>
        <w:jc w:val="center"/>
        <w:rPr>
          <w:sz w:val="16"/>
          <w:szCs w:val="15"/>
        </w:rPr>
      </w:pPr>
      <w:r>
        <w:rPr>
          <w:sz w:val="16"/>
          <w:szCs w:val="15"/>
        </w:rPr>
        <w:drawing>
          <wp:inline distT="0" distB="0" distL="114300" distR="114300">
            <wp:extent cx="2510155" cy="1440180"/>
            <wp:effectExtent l="0" t="0" r="4445" b="762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2510155" cy="1440180"/>
                    </a:xfrm>
                    <a:prstGeom prst="rect">
                      <a:avLst/>
                    </a:prstGeom>
                    <a:noFill/>
                    <a:ln>
                      <a:noFill/>
                    </a:ln>
                  </pic:spPr>
                </pic:pic>
              </a:graphicData>
            </a:graphic>
          </wp:inline>
        </w:drawing>
      </w:r>
    </w:p>
    <w:p w14:paraId="236879A5">
      <w:pPr>
        <w:bidi w:val="0"/>
        <w:ind w:firstLine="420" w:firstLineChars="0"/>
        <w:jc w:val="center"/>
        <w:rPr>
          <w:rFonts w:hint="eastAsia"/>
          <w:sz w:val="13"/>
          <w:szCs w:val="16"/>
          <w:lang w:val="en-US" w:eastAsia="zh-CN"/>
        </w:rPr>
      </w:pPr>
      <w:r>
        <w:rPr>
          <w:rFonts w:hint="eastAsia"/>
          <w:sz w:val="13"/>
          <w:szCs w:val="16"/>
          <w:lang w:val="en-US" w:eastAsia="zh-CN"/>
        </w:rPr>
        <w:t>图3 理论“梳”与实验“梳”对应过程（蓝色为理论“梳”，红色为实验“梳”）</w:t>
      </w:r>
    </w:p>
    <w:p w14:paraId="58028417">
      <w:pPr>
        <w:bidi w:val="0"/>
        <w:ind w:firstLine="420" w:firstLineChars="0"/>
        <w:jc w:val="left"/>
        <w:rPr>
          <w:rFonts w:hint="eastAsia"/>
          <w:b w:val="0"/>
          <w:bCs w:val="0"/>
          <w:sz w:val="22"/>
          <w:szCs w:val="22"/>
          <w:lang w:val="en-US" w:eastAsia="zh-CN"/>
        </w:rPr>
      </w:pPr>
      <w:r>
        <w:rPr>
          <w:rFonts w:hint="eastAsia"/>
          <w:b w:val="0"/>
          <w:bCs w:val="0"/>
          <w:sz w:val="22"/>
          <w:szCs w:val="28"/>
          <w:lang w:val="en-US" w:eastAsia="zh-CN"/>
        </w:rPr>
        <w:t>目前</w:t>
      </w:r>
      <w:r>
        <w:rPr>
          <w:rFonts w:hint="eastAsia"/>
          <w:sz w:val="22"/>
          <w:szCs w:val="22"/>
          <w:lang w:val="en-US" w:eastAsia="zh-CN"/>
        </w:rPr>
        <w:t>元素识别算法目前对每种元素都考虑原子以及一次电离态两种粒子状态。考虑到某些元素可能原子光谱更为明显，某些元素可能一次电离态的光谱更为明显，所以在进行元素存在置信度计算前首先需要</w:t>
      </w:r>
      <w:r>
        <w:rPr>
          <w:rFonts w:hint="eastAsia"/>
          <w:b/>
          <w:bCs/>
          <w:color w:val="FF0000"/>
          <w:sz w:val="22"/>
          <w:szCs w:val="22"/>
          <w:lang w:val="en-US" w:eastAsia="zh-CN"/>
        </w:rPr>
        <w:t>选择粒子状态以代表元素</w:t>
      </w:r>
      <w:r>
        <w:rPr>
          <w:rFonts w:hint="eastAsia"/>
          <w:b/>
          <w:bCs/>
          <w:sz w:val="22"/>
          <w:szCs w:val="22"/>
          <w:lang w:val="en-US" w:eastAsia="zh-CN"/>
        </w:rPr>
        <w:t>，</w:t>
      </w:r>
      <w:r>
        <w:rPr>
          <w:rFonts w:hint="eastAsia"/>
          <w:b w:val="0"/>
          <w:bCs w:val="0"/>
          <w:sz w:val="22"/>
          <w:szCs w:val="22"/>
          <w:lang w:val="en-US" w:eastAsia="zh-CN"/>
        </w:rPr>
        <w:t>具体流程如下：</w:t>
      </w:r>
    </w:p>
    <w:p w14:paraId="15EAD96B">
      <w:pPr>
        <w:bidi w:val="0"/>
        <w:ind w:firstLine="420" w:firstLineChars="0"/>
        <w:jc w:val="both"/>
        <w:rPr>
          <w:rFonts w:hint="eastAsia"/>
          <w:b w:val="0"/>
          <w:bCs w:val="0"/>
          <w:sz w:val="22"/>
          <w:szCs w:val="22"/>
          <w:vertAlign w:val="baseline"/>
          <w:lang w:val="en-US" w:eastAsia="zh-CN"/>
        </w:rPr>
      </w:pPr>
      <w:r>
        <w:rPr>
          <w:rFonts w:hint="eastAsia"/>
          <w:b w:val="0"/>
          <w:bCs w:val="0"/>
          <w:sz w:val="22"/>
          <w:szCs w:val="22"/>
          <w:lang w:val="en-US" w:eastAsia="zh-CN"/>
        </w:rPr>
        <w:t>通过对每种粒子绘制Boltzmann平面，通过拟合算出粒子的温度T以及R</w:t>
      </w:r>
      <w:r>
        <w:rPr>
          <w:rFonts w:hint="eastAsia"/>
          <w:b w:val="0"/>
          <w:bCs w:val="0"/>
          <w:sz w:val="22"/>
          <w:szCs w:val="22"/>
          <w:vertAlign w:val="superscript"/>
          <w:lang w:val="en-US" w:eastAsia="zh-CN"/>
        </w:rPr>
        <w:t>2</w:t>
      </w:r>
      <w:r>
        <w:rPr>
          <w:rFonts w:hint="eastAsia"/>
          <w:b w:val="0"/>
          <w:bCs w:val="0"/>
          <w:sz w:val="22"/>
          <w:szCs w:val="22"/>
          <w:lang w:val="en-US" w:eastAsia="zh-CN"/>
        </w:rPr>
        <w:t>。首先筛选T∈（5000，20000）范围内的粒子，如果两个粒子都被选入，那么选择R</w:t>
      </w:r>
      <w:r>
        <w:rPr>
          <w:rFonts w:hint="eastAsia"/>
          <w:b w:val="0"/>
          <w:bCs w:val="0"/>
          <w:sz w:val="22"/>
          <w:szCs w:val="22"/>
          <w:vertAlign w:val="superscript"/>
          <w:lang w:val="en-US" w:eastAsia="zh-CN"/>
        </w:rPr>
        <w:t>2</w:t>
      </w:r>
      <w:r>
        <w:rPr>
          <w:rFonts w:hint="eastAsia"/>
          <w:b w:val="0"/>
          <w:bCs w:val="0"/>
          <w:sz w:val="22"/>
          <w:szCs w:val="22"/>
          <w:vertAlign w:val="baseline"/>
          <w:lang w:val="en-US" w:eastAsia="zh-CN"/>
        </w:rPr>
        <w:t>较大的粒子来代表元素。</w:t>
      </w:r>
    </w:p>
    <w:p w14:paraId="2D869394">
      <w:pPr>
        <w:bidi w:val="0"/>
        <w:ind w:firstLine="420" w:firstLineChars="0"/>
        <w:jc w:val="both"/>
        <w:rPr>
          <w:rFonts w:hint="eastAsia"/>
          <w:b w:val="0"/>
          <w:bCs w:val="0"/>
          <w:sz w:val="16"/>
          <w:szCs w:val="16"/>
          <w:vertAlign w:val="baseline"/>
          <w:lang w:val="en-US" w:eastAsia="zh-CN"/>
        </w:rPr>
      </w:pPr>
    </w:p>
    <w:p w14:paraId="33250E87">
      <w:pPr>
        <w:bidi w:val="0"/>
        <w:ind w:firstLine="420" w:firstLineChars="0"/>
        <w:jc w:val="center"/>
        <w:rPr>
          <w:sz w:val="16"/>
          <w:szCs w:val="15"/>
        </w:rPr>
      </w:pPr>
      <w:r>
        <w:rPr>
          <w:sz w:val="16"/>
          <w:szCs w:val="15"/>
        </w:rPr>
        <w:drawing>
          <wp:inline distT="0" distB="0" distL="114300" distR="114300">
            <wp:extent cx="2855595" cy="1418590"/>
            <wp:effectExtent l="0" t="0" r="1905" b="6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2855595" cy="1418590"/>
                    </a:xfrm>
                    <a:prstGeom prst="rect">
                      <a:avLst/>
                    </a:prstGeom>
                    <a:noFill/>
                    <a:ln>
                      <a:noFill/>
                    </a:ln>
                  </pic:spPr>
                </pic:pic>
              </a:graphicData>
            </a:graphic>
          </wp:inline>
        </w:drawing>
      </w:r>
    </w:p>
    <w:p w14:paraId="07EE8A43">
      <w:pPr>
        <w:bidi w:val="0"/>
        <w:ind w:firstLine="420" w:firstLineChars="0"/>
        <w:jc w:val="center"/>
        <w:rPr>
          <w:rFonts w:hint="default" w:eastAsiaTheme="minorEastAsia"/>
          <w:sz w:val="16"/>
          <w:szCs w:val="15"/>
          <w:lang w:val="en-US" w:eastAsia="zh-CN"/>
        </w:rPr>
      </w:pPr>
      <w:r>
        <w:rPr>
          <w:rFonts w:hint="eastAsia"/>
          <w:sz w:val="13"/>
          <w:szCs w:val="16"/>
          <w:lang w:val="en-US" w:eastAsia="zh-CN"/>
        </w:rPr>
        <w:t>图4 程序最终输出</w:t>
      </w:r>
    </w:p>
    <w:p w14:paraId="45ACFEFE">
      <w:pPr>
        <w:ind w:firstLine="420" w:firstLineChars="200"/>
        <w:rPr>
          <w:rFonts w:hint="eastAsia"/>
          <w:sz w:val="24"/>
          <w:szCs w:val="21"/>
        </w:rPr>
      </w:pPr>
      <w:r>
        <w:rPr>
          <w:rFonts w:ascii="宋体"/>
          <w:color w:val="FF0000"/>
        </w:rPr>
        <w:br w:type="textWrapping"/>
      </w:r>
    </w:p>
    <w:p w14:paraId="79FEA7F5">
      <w:pPr>
        <w:numPr>
          <w:ilvl w:val="0"/>
          <w:numId w:val="2"/>
        </w:numPr>
        <w:ind w:left="0" w:leftChars="0" w:firstLine="0" w:firstLineChars="0"/>
        <w:jc w:val="both"/>
        <w:rPr>
          <w:rFonts w:hint="eastAsia"/>
          <w:sz w:val="28"/>
          <w:szCs w:val="28"/>
        </w:rPr>
      </w:pPr>
      <w:r>
        <w:rPr>
          <w:rFonts w:hint="eastAsia"/>
          <w:b/>
          <w:sz w:val="28"/>
          <w:szCs w:val="28"/>
        </w:rPr>
        <w:t>本发明欲保护的创新点</w:t>
      </w:r>
    </w:p>
    <w:p w14:paraId="1CC5A4F2">
      <w:pPr>
        <w:numPr>
          <w:ilvl w:val="0"/>
          <w:numId w:val="3"/>
        </w:numPr>
        <w:rPr>
          <w:rFonts w:hint="eastAsia"/>
          <w:b/>
          <w:bCs/>
          <w:color w:val="1329FF"/>
          <w:lang w:val="en-US" w:eastAsia="zh-CN"/>
        </w:rPr>
      </w:pPr>
      <w:r>
        <w:rPr>
          <w:rFonts w:hint="eastAsia"/>
          <w:b/>
          <w:bCs/>
          <w:color w:val="1329FF"/>
          <w:lang w:val="en-US" w:eastAsia="zh-CN"/>
        </w:rPr>
        <w:t>利用“元素强度梳”进行的光谱分析</w:t>
      </w:r>
    </w:p>
    <w:p w14:paraId="1ABDD55D">
      <w:pPr>
        <w:numPr>
          <w:ilvl w:val="0"/>
          <w:numId w:val="3"/>
        </w:numPr>
        <w:rPr>
          <w:rFonts w:hint="default"/>
          <w:b/>
          <w:bCs/>
          <w:color w:val="1329FF"/>
          <w:lang w:val="en-US" w:eastAsia="zh-CN"/>
        </w:rPr>
      </w:pPr>
      <w:r>
        <w:rPr>
          <w:rFonts w:hint="eastAsia"/>
          <w:b/>
          <w:bCs/>
          <w:color w:val="1329FF"/>
          <w:lang w:val="en-US" w:eastAsia="zh-CN"/>
        </w:rPr>
        <w:t>面向稀土元素的“谱线开关”策略</w:t>
      </w:r>
    </w:p>
    <w:p w14:paraId="40485CEF">
      <w:pPr>
        <w:numPr>
          <w:ilvl w:val="0"/>
          <w:numId w:val="3"/>
        </w:numPr>
        <w:rPr>
          <w:rFonts w:hint="default"/>
          <w:b/>
          <w:bCs/>
          <w:color w:val="1329FF"/>
          <w:lang w:val="en-US" w:eastAsia="zh-CN"/>
        </w:rPr>
      </w:pPr>
      <w:r>
        <w:rPr>
          <w:rFonts w:hint="eastAsia"/>
          <w:b/>
          <w:bCs/>
          <w:color w:val="1329FF"/>
          <w:lang w:val="en-US" w:eastAsia="zh-CN"/>
        </w:rPr>
        <w:t>置信度设置策略</w:t>
      </w:r>
    </w:p>
    <w:p w14:paraId="624BF86B">
      <w:pPr>
        <w:jc w:val="left"/>
        <w:rPr>
          <w:rFonts w:hint="eastAsia"/>
          <w:kern w:val="0"/>
          <w:sz w:val="24"/>
        </w:rPr>
      </w:pPr>
    </w:p>
    <w:p w14:paraId="64162410">
      <w:pPr>
        <w:numPr>
          <w:ilvl w:val="0"/>
          <w:numId w:val="4"/>
        </w:numPr>
        <w:rPr>
          <w:rFonts w:hint="eastAsia" w:ascii="宋体"/>
          <w:b/>
          <w:sz w:val="28"/>
          <w:szCs w:val="21"/>
        </w:rPr>
      </w:pPr>
      <w:r>
        <w:rPr>
          <w:rFonts w:hint="eastAsia" w:ascii="宋体"/>
          <w:b/>
          <w:sz w:val="28"/>
          <w:szCs w:val="21"/>
          <w:lang w:val="en-US" w:eastAsia="zh-CN"/>
        </w:rPr>
        <w:t>算法效果验证集</w:t>
      </w:r>
    </w:p>
    <w:p w14:paraId="42520532">
      <w:pPr>
        <w:numPr>
          <w:ilvl w:val="0"/>
          <w:numId w:val="5"/>
        </w:numPr>
        <w:ind w:left="420" w:leftChars="0"/>
        <w:rPr>
          <w:rFonts w:hint="eastAsia" w:ascii="宋体"/>
          <w:b/>
          <w:sz w:val="22"/>
          <w:szCs w:val="18"/>
          <w:lang w:val="en-US" w:eastAsia="zh-CN"/>
        </w:rPr>
      </w:pPr>
      <w:r>
        <w:rPr>
          <w:rFonts w:hint="eastAsia" w:ascii="宋体"/>
          <w:b/>
          <w:sz w:val="22"/>
          <w:szCs w:val="18"/>
          <w:lang w:val="en-US" w:eastAsia="zh-CN"/>
        </w:rPr>
        <w:t>基体元素集</w:t>
      </w:r>
    </w:p>
    <w:p w14:paraId="702854AC">
      <w:pPr>
        <w:numPr>
          <w:ilvl w:val="0"/>
          <w:numId w:val="0"/>
        </w:numPr>
        <w:ind w:firstLine="425" w:firstLineChars="0"/>
        <w:rPr>
          <w:rFonts w:hint="default" w:ascii="宋体"/>
          <w:b/>
          <w:sz w:val="22"/>
          <w:szCs w:val="18"/>
          <w:lang w:val="en-US" w:eastAsia="zh-CN"/>
        </w:rPr>
      </w:pPr>
      <w:r>
        <w:rPr>
          <w:rFonts w:hint="eastAsia"/>
          <w:b/>
          <w:bCs/>
          <w:color w:val="1329FF"/>
          <w:sz w:val="22"/>
          <w:szCs w:val="18"/>
          <w:lang w:val="en-US" w:eastAsia="zh-CN"/>
        </w:rPr>
        <w:t>在面对土壤中的基体元素时（主要关注Si,Ca,Mg,Al,Fe,Na,K）,通过国家标准土壤标准物质的元素比例生成多种土壤样本的虚拟光谱，发现对于基体元素的检测阈在1%（a.t%）左右。</w:t>
      </w:r>
    </w:p>
    <w:p w14:paraId="6B1C919A">
      <w:pPr>
        <w:numPr>
          <w:ilvl w:val="0"/>
          <w:numId w:val="5"/>
        </w:numPr>
        <w:ind w:left="420" w:leftChars="0"/>
        <w:rPr>
          <w:rFonts w:hint="default" w:ascii="宋体"/>
          <w:b/>
          <w:sz w:val="22"/>
          <w:szCs w:val="18"/>
          <w:lang w:val="en-US" w:eastAsia="zh-CN"/>
        </w:rPr>
      </w:pPr>
      <w:r>
        <w:rPr>
          <w:rFonts w:hint="eastAsia" w:ascii="宋体"/>
          <w:b/>
          <w:sz w:val="22"/>
          <w:szCs w:val="18"/>
          <w:lang w:val="en-US" w:eastAsia="zh-CN"/>
        </w:rPr>
        <w:t>稀土元素集</w:t>
      </w:r>
    </w:p>
    <w:p w14:paraId="09E80D4A">
      <w:pPr>
        <w:numPr>
          <w:ilvl w:val="0"/>
          <w:numId w:val="0"/>
        </w:numPr>
        <w:ind w:firstLine="425" w:firstLineChars="0"/>
        <w:rPr>
          <w:rFonts w:hint="eastAsia"/>
          <w:b/>
          <w:bCs/>
          <w:color w:val="1329FF"/>
          <w:sz w:val="24"/>
          <w:lang w:val="en-US" w:eastAsia="zh-CN"/>
        </w:rPr>
      </w:pPr>
      <w:r>
        <w:rPr>
          <w:rFonts w:hint="eastAsia"/>
          <w:b/>
          <w:bCs/>
          <w:color w:val="1329FF"/>
          <w:sz w:val="22"/>
          <w:szCs w:val="18"/>
          <w:lang w:val="en-US" w:eastAsia="zh-CN"/>
        </w:rPr>
        <w:t>利用上述国家土壤标准物质的含量表，通过参加稀土元素，再通过NIST数据库生成掺杂样品的模拟光谱，验证算法检测效果。发现算法在稀土元素含量为0.3571%（a.t%）的情况下，平均能检测出来四种稀土元素。而在稀土元素含量为0.4545%(a.t%)的情况下，且提高100模拟光谱分辨率的情况下，平均能检测出六种稀土元素</w:t>
      </w:r>
      <w:r>
        <w:rPr>
          <w:rFonts w:hint="eastAsia"/>
          <w:b/>
          <w:bCs/>
          <w:color w:val="1329FF"/>
          <w:sz w:val="24"/>
          <w:lang w:val="en-US" w:eastAsia="zh-CN"/>
        </w:rPr>
        <w:t>。</w:t>
      </w:r>
    </w:p>
    <w:p w14:paraId="48EDD13B">
      <w:pPr>
        <w:numPr>
          <w:ilvl w:val="0"/>
          <w:numId w:val="0"/>
        </w:numPr>
        <w:ind w:firstLine="425" w:firstLineChars="0"/>
        <w:rPr>
          <w:rFonts w:hint="default"/>
          <w:b/>
          <w:bCs/>
          <w:color w:val="1329FF"/>
          <w:sz w:val="24"/>
          <w:lang w:val="en-US" w:eastAsia="zh-CN"/>
        </w:rPr>
      </w:pPr>
    </w:p>
    <w:p w14:paraId="1A356C28">
      <w:pPr>
        <w:numPr>
          <w:ilvl w:val="0"/>
          <w:numId w:val="4"/>
        </w:numPr>
        <w:rPr>
          <w:rFonts w:hint="eastAsia" w:ascii="宋体"/>
          <w:b/>
          <w:sz w:val="28"/>
          <w:szCs w:val="21"/>
        </w:rPr>
      </w:pPr>
      <w:r>
        <w:rPr>
          <w:rFonts w:hint="eastAsia" w:ascii="宋体"/>
          <w:b/>
          <w:sz w:val="28"/>
          <w:szCs w:val="21"/>
        </w:rPr>
        <w:t>其他有助于专利代理人理解本技术的资料</w:t>
      </w:r>
    </w:p>
    <w:p w14:paraId="75119357">
      <w:pPr>
        <w:numPr>
          <w:ilvl w:val="0"/>
          <w:numId w:val="0"/>
        </w:numPr>
        <w:rPr>
          <w:rFonts w:hint="eastAsia" w:ascii="宋体"/>
          <w:b/>
          <w:sz w:val="24"/>
        </w:rPr>
      </w:pPr>
    </w:p>
    <w:p w14:paraId="0968BBD2">
      <w:pPr>
        <w:pStyle w:val="28"/>
        <w:spacing w:line="360" w:lineRule="exact"/>
        <w:rPr>
          <w:rFonts w:hint="eastAsia"/>
          <w:color w:val="FF0000"/>
          <w:sz w:val="21"/>
          <w:szCs w:val="21"/>
        </w:rPr>
      </w:pPr>
      <w:r>
        <w:rPr>
          <w:rFonts w:hint="eastAsia"/>
          <w:color w:val="FF0000"/>
          <w:szCs w:val="21"/>
        </w:rPr>
        <w:t>（填写说明</w:t>
      </w:r>
      <w:r>
        <w:rPr>
          <w:rFonts w:hint="eastAsia"/>
          <w:color w:val="FF0000"/>
          <w:sz w:val="21"/>
          <w:szCs w:val="21"/>
        </w:rPr>
        <w:t>：给代理人提供更多的信息，可以有助于代理人更好更快的完成申请文件。）</w:t>
      </w:r>
    </w:p>
    <w:p w14:paraId="49FF0D98">
      <w:pPr>
        <w:rPr>
          <w:rFonts w:hint="eastAsia" w:ascii="宋体"/>
          <w:b/>
          <w:sz w:val="24"/>
        </w:rPr>
      </w:pPr>
    </w:p>
    <w:p w14:paraId="271CC213">
      <w:pPr>
        <w:rPr>
          <w:rFonts w:hint="eastAsia" w:ascii="宋体"/>
          <w:b/>
          <w:sz w:val="24"/>
        </w:rPr>
      </w:pPr>
    </w:p>
    <w:p w14:paraId="075B4A17">
      <w:pPr>
        <w:rPr>
          <w:rFonts w:hint="eastAsia" w:ascii="宋体"/>
          <w:b/>
          <w:sz w:val="24"/>
        </w:rPr>
      </w:pPr>
    </w:p>
    <w:p w14:paraId="19959B8E">
      <w:pPr>
        <w:rPr>
          <w:rFonts w:hint="eastAsia" w:ascii="宋体"/>
          <w:b/>
          <w:sz w:val="28"/>
          <w:szCs w:val="21"/>
        </w:rPr>
      </w:pPr>
      <w:r>
        <w:rPr>
          <w:rFonts w:hint="eastAsia" w:ascii="宋体"/>
          <w:b/>
          <w:sz w:val="28"/>
          <w:szCs w:val="21"/>
          <w:lang w:val="en-US" w:eastAsia="zh-CN"/>
        </w:rPr>
        <w:t>9</w:t>
      </w:r>
      <w:r>
        <w:rPr>
          <w:rFonts w:hint="eastAsia" w:ascii="宋体"/>
          <w:b/>
          <w:sz w:val="28"/>
          <w:szCs w:val="21"/>
        </w:rPr>
        <w:t>．CAD结构图、框图、电路图、电气原理图等</w:t>
      </w:r>
    </w:p>
    <w:p w14:paraId="165447AA">
      <w:pPr>
        <w:pStyle w:val="23"/>
        <w:spacing w:line="240" w:lineRule="auto"/>
        <w:rPr>
          <w:rFonts w:hint="eastAsia"/>
          <w:sz w:val="24"/>
        </w:rPr>
      </w:pPr>
    </w:p>
    <w:p w14:paraId="69A4116A">
      <w:pPr>
        <w:rPr>
          <w:rFonts w:hint="eastAsia" w:ascii="宋体"/>
          <w:b/>
          <w:sz w:val="24"/>
        </w:rPr>
      </w:pPr>
    </w:p>
    <w:p w14:paraId="6341D956">
      <w:pPr>
        <w:jc w:val="center"/>
        <w:rPr>
          <w:rFonts w:hint="eastAsia" w:ascii="宋体" w:eastAsia="宋体"/>
          <w:b/>
          <w:sz w:val="24"/>
          <w:lang w:eastAsia="zh-CN"/>
        </w:rPr>
      </w:pPr>
      <w:r>
        <w:rPr>
          <w:rFonts w:hint="eastAsia" w:ascii="宋体" w:eastAsia="宋体"/>
          <w:b/>
          <w:sz w:val="24"/>
          <w:lang w:eastAsia="zh-CN"/>
        </w:rPr>
        <w:drawing>
          <wp:inline distT="0" distB="0" distL="114300" distR="114300">
            <wp:extent cx="5937885" cy="3345180"/>
            <wp:effectExtent l="0" t="0" r="5715" b="7620"/>
            <wp:docPr id="1" name="图片 1" descr="稀土元素识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稀土元素识别"/>
                    <pic:cNvPicPr>
                      <a:picLocks noChangeAspect="1"/>
                    </pic:cNvPicPr>
                  </pic:nvPicPr>
                  <pic:blipFill>
                    <a:blip r:embed="rId10"/>
                    <a:stretch>
                      <a:fillRect/>
                    </a:stretch>
                  </pic:blipFill>
                  <pic:spPr>
                    <a:xfrm>
                      <a:off x="0" y="0"/>
                      <a:ext cx="5937885" cy="3345180"/>
                    </a:xfrm>
                    <a:prstGeom prst="rect">
                      <a:avLst/>
                    </a:prstGeom>
                    <a:noFill/>
                    <a:ln>
                      <a:noFill/>
                    </a:ln>
                  </pic:spPr>
                </pic:pic>
              </a:graphicData>
            </a:graphic>
          </wp:inline>
        </w:drawing>
      </w:r>
    </w:p>
    <w:p w14:paraId="3C1CE818">
      <w:pPr>
        <w:rPr>
          <w:rFonts w:hint="eastAsia" w:ascii="宋体"/>
          <w:b/>
          <w:sz w:val="24"/>
        </w:rPr>
      </w:pPr>
    </w:p>
    <w:p w14:paraId="3634F435">
      <w:pPr>
        <w:rPr>
          <w:rFonts w:hint="eastAsia" w:ascii="宋体"/>
          <w:b/>
          <w:sz w:val="24"/>
        </w:rPr>
      </w:pPr>
    </w:p>
    <w:p w14:paraId="4742988B">
      <w:pPr>
        <w:rPr>
          <w:rFonts w:hint="eastAsia" w:ascii="宋体"/>
          <w:b/>
          <w:sz w:val="24"/>
        </w:rPr>
      </w:pPr>
    </w:p>
    <w:p w14:paraId="6AC7A970">
      <w:pPr>
        <w:rPr>
          <w:rFonts w:hint="eastAsia" w:ascii="宋体"/>
          <w:b/>
          <w:sz w:val="24"/>
        </w:rPr>
      </w:pPr>
    </w:p>
    <w:p w14:paraId="7CB3BBAA">
      <w:pPr>
        <w:pStyle w:val="23"/>
        <w:spacing w:line="240" w:lineRule="auto"/>
        <w:rPr>
          <w:sz w:val="24"/>
        </w:rPr>
      </w:pPr>
      <w:r>
        <w:rPr>
          <w:rFonts w:hint="eastAsia"/>
          <w:sz w:val="24"/>
        </w:rPr>
        <w:t>附件：</w:t>
      </w:r>
    </w:p>
    <w:p w14:paraId="5DDE7B06">
      <w:pPr>
        <w:pStyle w:val="23"/>
        <w:spacing w:line="240" w:lineRule="auto"/>
        <w:rPr>
          <w:rFonts w:hint="eastAsia"/>
          <w:sz w:val="24"/>
        </w:rPr>
      </w:pPr>
      <w:r>
        <w:rPr>
          <w:rFonts w:hint="eastAsia"/>
          <w:sz w:val="24"/>
        </w:rPr>
        <w:t>参考文献（如专利</w:t>
      </w:r>
      <w:r>
        <w:rPr>
          <w:sz w:val="24"/>
        </w:rPr>
        <w:t>/</w:t>
      </w:r>
      <w:r>
        <w:rPr>
          <w:rFonts w:hint="eastAsia"/>
          <w:sz w:val="24"/>
        </w:rPr>
        <w:t>论文</w:t>
      </w:r>
      <w:r>
        <w:rPr>
          <w:sz w:val="24"/>
        </w:rPr>
        <w:t>/</w:t>
      </w:r>
      <w:r>
        <w:rPr>
          <w:rFonts w:hint="eastAsia"/>
          <w:sz w:val="24"/>
        </w:rPr>
        <w:t>标准）</w:t>
      </w:r>
    </w:p>
    <w:p w14:paraId="0B5B5A61">
      <w:pPr>
        <w:pStyle w:val="23"/>
        <w:spacing w:line="240" w:lineRule="auto"/>
        <w:rPr>
          <w:rFonts w:hint="eastAsia"/>
          <w:sz w:val="24"/>
        </w:rPr>
      </w:pPr>
    </w:p>
    <w:p w14:paraId="336B44BF">
      <w:pPr>
        <w:pStyle w:val="23"/>
        <w:spacing w:line="240" w:lineRule="auto"/>
        <w:rPr>
          <w:rFonts w:hint="eastAsia"/>
          <w:sz w:val="24"/>
        </w:rPr>
      </w:pPr>
    </w:p>
    <w:sectPr>
      <w:headerReference r:id="rId3" w:type="default"/>
      <w:footerReference r:id="rId4" w:type="default"/>
      <w:pgSz w:w="11906" w:h="16838"/>
      <w:pgMar w:top="1134" w:right="1134" w:bottom="1134" w:left="1418" w:header="159"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B13F41">
    <w:pPr>
      <w:pStyle w:val="8"/>
      <w:tabs>
        <w:tab w:val="center" w:pos="4770"/>
        <w:tab w:val="right" w:pos="9072"/>
        <w:tab w:val="clear" w:pos="4153"/>
        <w:tab w:val="clear" w:pos="8306"/>
      </w:tabs>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C45420">
    <w:pPr>
      <w:pStyle w:val="9"/>
      <w:jc w:val="both"/>
      <w:rPr>
        <w:rFonts w:hint="eastAsia"/>
        <w:sz w:val="24"/>
        <w:szCs w:val="24"/>
      </w:rPr>
    </w:pPr>
    <w:r>
      <w:rPr>
        <w:sz w:val="24"/>
        <w:szCs w:val="24"/>
      </w:rPr>
      <w:tab/>
    </w:r>
    <w:r>
      <w:rPr>
        <w:sz w:val="24"/>
        <w:szCs w:val="24"/>
      </w:rPr>
      <w:tab/>
    </w:r>
  </w:p>
  <w:p w14:paraId="139E26B1">
    <w:pPr>
      <w:pStyle w:val="9"/>
      <w:rPr>
        <w:rFonts w:hint="eastAsia"/>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BAD929"/>
    <w:multiLevelType w:val="multilevel"/>
    <w:tmpl w:val="B6BAD929"/>
    <w:lvl w:ilvl="0" w:tentative="0">
      <w:start w:val="6"/>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F94D19CF"/>
    <w:multiLevelType w:val="singleLevel"/>
    <w:tmpl w:val="F94D19CF"/>
    <w:lvl w:ilvl="0" w:tentative="0">
      <w:start w:val="1"/>
      <w:numFmt w:val="decimal"/>
      <w:suff w:val="nothing"/>
      <w:lvlText w:val="%1、"/>
      <w:lvlJc w:val="left"/>
    </w:lvl>
  </w:abstractNum>
  <w:abstractNum w:abstractNumId="2">
    <w:nsid w:val="176EA8EC"/>
    <w:multiLevelType w:val="singleLevel"/>
    <w:tmpl w:val="176EA8EC"/>
    <w:lvl w:ilvl="0" w:tentative="0">
      <w:start w:val="1"/>
      <w:numFmt w:val="decimal"/>
      <w:suff w:val="nothing"/>
      <w:lvlText w:val="%1、"/>
      <w:lvlJc w:val="left"/>
      <w:pPr>
        <w:ind w:left="420"/>
      </w:pPr>
    </w:lvl>
  </w:abstractNum>
  <w:abstractNum w:abstractNumId="3">
    <w:nsid w:val="4FF54688"/>
    <w:multiLevelType w:val="singleLevel"/>
    <w:tmpl w:val="4FF54688"/>
    <w:lvl w:ilvl="0" w:tentative="0">
      <w:start w:val="7"/>
      <w:numFmt w:val="decimal"/>
      <w:suff w:val="nothing"/>
      <w:lvlText w:val="%1．"/>
      <w:lvlJc w:val="left"/>
    </w:lvl>
  </w:abstractNum>
  <w:abstractNum w:abstractNumId="4">
    <w:nsid w:val="6731F9E6"/>
    <w:multiLevelType w:val="singleLevel"/>
    <w:tmpl w:val="6731F9E6"/>
    <w:lvl w:ilvl="0" w:tentative="0">
      <w:start w:val="1"/>
      <w:numFmt w:val="decimal"/>
      <w:suff w:val="nothing"/>
      <w:lvlText w:val="%1、"/>
      <w:lvlJc w:val="left"/>
    </w:lvl>
  </w:abstractNum>
  <w:num w:numId="1">
    <w:abstractNumId w:val="4"/>
  </w:num>
  <w:num w:numId="2">
    <w:abstractNumId w:val="0"/>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3"/>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ZlZmY3YjkxOGM2MjEzMzg1NjQ1N2ZhNGM2ZjM3MGMifQ=="/>
  </w:docVars>
  <w:rsids>
    <w:rsidRoot w:val="00B17A42"/>
    <w:rsid w:val="000006CA"/>
    <w:rsid w:val="000032BF"/>
    <w:rsid w:val="000129C8"/>
    <w:rsid w:val="000574CB"/>
    <w:rsid w:val="00095334"/>
    <w:rsid w:val="000F6394"/>
    <w:rsid w:val="00105284"/>
    <w:rsid w:val="001052BB"/>
    <w:rsid w:val="00115AB2"/>
    <w:rsid w:val="00124817"/>
    <w:rsid w:val="00126AC3"/>
    <w:rsid w:val="00165D5F"/>
    <w:rsid w:val="0018178A"/>
    <w:rsid w:val="0018412D"/>
    <w:rsid w:val="00184FA5"/>
    <w:rsid w:val="00186C90"/>
    <w:rsid w:val="0019435F"/>
    <w:rsid w:val="001A092B"/>
    <w:rsid w:val="001B0ACC"/>
    <w:rsid w:val="001B2A59"/>
    <w:rsid w:val="001C43A6"/>
    <w:rsid w:val="001F69A0"/>
    <w:rsid w:val="002015B4"/>
    <w:rsid w:val="002177D7"/>
    <w:rsid w:val="00223597"/>
    <w:rsid w:val="002235D5"/>
    <w:rsid w:val="00227A23"/>
    <w:rsid w:val="002556C4"/>
    <w:rsid w:val="00260965"/>
    <w:rsid w:val="00262BD6"/>
    <w:rsid w:val="0027023A"/>
    <w:rsid w:val="00297FFE"/>
    <w:rsid w:val="002B103A"/>
    <w:rsid w:val="002B50FD"/>
    <w:rsid w:val="002D00BA"/>
    <w:rsid w:val="002E50CB"/>
    <w:rsid w:val="002F0A09"/>
    <w:rsid w:val="00323D9E"/>
    <w:rsid w:val="0035764E"/>
    <w:rsid w:val="00364E9D"/>
    <w:rsid w:val="003A4C91"/>
    <w:rsid w:val="003B0F8A"/>
    <w:rsid w:val="003C7E20"/>
    <w:rsid w:val="003D1251"/>
    <w:rsid w:val="003D741E"/>
    <w:rsid w:val="003D7546"/>
    <w:rsid w:val="003F6DED"/>
    <w:rsid w:val="00410FDE"/>
    <w:rsid w:val="004407CF"/>
    <w:rsid w:val="00455FD2"/>
    <w:rsid w:val="00480212"/>
    <w:rsid w:val="00480616"/>
    <w:rsid w:val="004A78B4"/>
    <w:rsid w:val="004B58C6"/>
    <w:rsid w:val="005043B5"/>
    <w:rsid w:val="00512B6E"/>
    <w:rsid w:val="00577CD6"/>
    <w:rsid w:val="00596FEA"/>
    <w:rsid w:val="005B7F08"/>
    <w:rsid w:val="005D084F"/>
    <w:rsid w:val="005F12A5"/>
    <w:rsid w:val="005F7865"/>
    <w:rsid w:val="00620D18"/>
    <w:rsid w:val="00627F35"/>
    <w:rsid w:val="00631567"/>
    <w:rsid w:val="00635445"/>
    <w:rsid w:val="00677CF0"/>
    <w:rsid w:val="00681424"/>
    <w:rsid w:val="006832AA"/>
    <w:rsid w:val="0069135A"/>
    <w:rsid w:val="006A0B7C"/>
    <w:rsid w:val="006A3DED"/>
    <w:rsid w:val="006A6C35"/>
    <w:rsid w:val="006C1F19"/>
    <w:rsid w:val="006E0552"/>
    <w:rsid w:val="007A42A8"/>
    <w:rsid w:val="007A6C7D"/>
    <w:rsid w:val="007B568F"/>
    <w:rsid w:val="007C10B8"/>
    <w:rsid w:val="007D21C6"/>
    <w:rsid w:val="007D280F"/>
    <w:rsid w:val="007F168D"/>
    <w:rsid w:val="00811894"/>
    <w:rsid w:val="00814AA4"/>
    <w:rsid w:val="008166C1"/>
    <w:rsid w:val="008A2DAA"/>
    <w:rsid w:val="008B5738"/>
    <w:rsid w:val="008C4B70"/>
    <w:rsid w:val="008E387B"/>
    <w:rsid w:val="008F27F2"/>
    <w:rsid w:val="008F51B9"/>
    <w:rsid w:val="00905579"/>
    <w:rsid w:val="00920C89"/>
    <w:rsid w:val="00923483"/>
    <w:rsid w:val="00954DEA"/>
    <w:rsid w:val="00975D82"/>
    <w:rsid w:val="00976A39"/>
    <w:rsid w:val="00980619"/>
    <w:rsid w:val="009B7C53"/>
    <w:rsid w:val="009D4E63"/>
    <w:rsid w:val="009D6852"/>
    <w:rsid w:val="009E3C72"/>
    <w:rsid w:val="009E4348"/>
    <w:rsid w:val="009F2AB3"/>
    <w:rsid w:val="00A053B3"/>
    <w:rsid w:val="00A17780"/>
    <w:rsid w:val="00A267B3"/>
    <w:rsid w:val="00A61381"/>
    <w:rsid w:val="00A6553F"/>
    <w:rsid w:val="00A81B00"/>
    <w:rsid w:val="00A90164"/>
    <w:rsid w:val="00AA4FF7"/>
    <w:rsid w:val="00AA61ED"/>
    <w:rsid w:val="00AC28DE"/>
    <w:rsid w:val="00AD2537"/>
    <w:rsid w:val="00AD60AC"/>
    <w:rsid w:val="00AE7FB5"/>
    <w:rsid w:val="00B17A42"/>
    <w:rsid w:val="00B23F4C"/>
    <w:rsid w:val="00B42CDE"/>
    <w:rsid w:val="00B440F1"/>
    <w:rsid w:val="00B47F48"/>
    <w:rsid w:val="00B73D2D"/>
    <w:rsid w:val="00B850B3"/>
    <w:rsid w:val="00B851B5"/>
    <w:rsid w:val="00BD0B25"/>
    <w:rsid w:val="00C21CA2"/>
    <w:rsid w:val="00C34103"/>
    <w:rsid w:val="00C4283A"/>
    <w:rsid w:val="00C524EF"/>
    <w:rsid w:val="00C9763F"/>
    <w:rsid w:val="00CA20D7"/>
    <w:rsid w:val="00CB03FD"/>
    <w:rsid w:val="00CD1370"/>
    <w:rsid w:val="00CE1A3E"/>
    <w:rsid w:val="00CF3273"/>
    <w:rsid w:val="00D03F8B"/>
    <w:rsid w:val="00D0449C"/>
    <w:rsid w:val="00D06D9F"/>
    <w:rsid w:val="00D66243"/>
    <w:rsid w:val="00D7202A"/>
    <w:rsid w:val="00D73532"/>
    <w:rsid w:val="00D95C88"/>
    <w:rsid w:val="00DB667B"/>
    <w:rsid w:val="00DD6E5B"/>
    <w:rsid w:val="00DE5DF9"/>
    <w:rsid w:val="00E0200B"/>
    <w:rsid w:val="00E03632"/>
    <w:rsid w:val="00E112D0"/>
    <w:rsid w:val="00E356A7"/>
    <w:rsid w:val="00E45FA4"/>
    <w:rsid w:val="00E46F4F"/>
    <w:rsid w:val="00E54BCC"/>
    <w:rsid w:val="00E71827"/>
    <w:rsid w:val="00E936EF"/>
    <w:rsid w:val="00E96809"/>
    <w:rsid w:val="00EA7CD3"/>
    <w:rsid w:val="00EB61A2"/>
    <w:rsid w:val="00F14067"/>
    <w:rsid w:val="00F276F1"/>
    <w:rsid w:val="00F31954"/>
    <w:rsid w:val="00F375AA"/>
    <w:rsid w:val="00F71DA4"/>
    <w:rsid w:val="00F75F65"/>
    <w:rsid w:val="00F95714"/>
    <w:rsid w:val="00FA4A91"/>
    <w:rsid w:val="00FA6100"/>
    <w:rsid w:val="00FC21BD"/>
    <w:rsid w:val="00FC78E2"/>
    <w:rsid w:val="00FE71D2"/>
    <w:rsid w:val="00FF13A9"/>
    <w:rsid w:val="01E94ED4"/>
    <w:rsid w:val="047D000C"/>
    <w:rsid w:val="0B3E2873"/>
    <w:rsid w:val="10B154F6"/>
    <w:rsid w:val="119B4566"/>
    <w:rsid w:val="131F4E99"/>
    <w:rsid w:val="1A3C3F06"/>
    <w:rsid w:val="1BF956CF"/>
    <w:rsid w:val="20D97268"/>
    <w:rsid w:val="24091FE6"/>
    <w:rsid w:val="2509643C"/>
    <w:rsid w:val="2DF70699"/>
    <w:rsid w:val="3DB43F5B"/>
    <w:rsid w:val="4160481C"/>
    <w:rsid w:val="44983428"/>
    <w:rsid w:val="45C53DA9"/>
    <w:rsid w:val="4B5830BF"/>
    <w:rsid w:val="4D891EC8"/>
    <w:rsid w:val="4DAC5968"/>
    <w:rsid w:val="55C51BA3"/>
    <w:rsid w:val="5C73082E"/>
    <w:rsid w:val="65877D17"/>
    <w:rsid w:val="6AA656A7"/>
    <w:rsid w:val="7FC9210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qFormat/>
    <w:uiPriority w:val="0"/>
    <w:pPr>
      <w:numPr>
        <w:ilvl w:val="0"/>
        <w:numId w:val="0"/>
      </w:numPr>
      <w:autoSpaceDE w:val="0"/>
      <w:autoSpaceDN w:val="0"/>
      <w:adjustRightInd w:val="0"/>
      <w:spacing w:before="240" w:after="120" w:line="360" w:lineRule="auto"/>
      <w:ind w:left="283" w:hanging="283"/>
      <w:outlineLvl w:val="0"/>
    </w:pPr>
    <w:rPr>
      <w:rFonts w:ascii="Arial" w:hAnsi="Arial"/>
      <w:b/>
      <w:kern w:val="0"/>
      <w:sz w:val="24"/>
    </w:rPr>
  </w:style>
  <w:style w:type="character" w:default="1" w:styleId="15">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annotation text"/>
    <w:basedOn w:val="1"/>
    <w:semiHidden/>
    <w:qFormat/>
    <w:uiPriority w:val="0"/>
    <w:pPr>
      <w:jc w:val="left"/>
    </w:pPr>
  </w:style>
  <w:style w:type="paragraph" w:styleId="4">
    <w:name w:val="Body Text"/>
    <w:basedOn w:val="1"/>
    <w:qFormat/>
    <w:uiPriority w:val="0"/>
    <w:pPr>
      <w:spacing w:after="120"/>
    </w:pPr>
  </w:style>
  <w:style w:type="paragraph" w:styleId="5">
    <w:name w:val="Body Text Indent"/>
    <w:basedOn w:val="1"/>
    <w:qFormat/>
    <w:uiPriority w:val="0"/>
    <w:pPr>
      <w:spacing w:after="120"/>
      <w:ind w:left="420" w:leftChars="200"/>
    </w:pPr>
  </w:style>
  <w:style w:type="paragraph" w:styleId="6">
    <w:name w:val="Body Text Indent 2"/>
    <w:basedOn w:val="1"/>
    <w:qFormat/>
    <w:uiPriority w:val="0"/>
    <w:pPr>
      <w:ind w:firstLine="480" w:firstLineChars="200"/>
    </w:pPr>
    <w:rPr>
      <w:color w:val="000000"/>
      <w:sz w:val="24"/>
    </w:rPr>
  </w:style>
  <w:style w:type="paragraph" w:styleId="7">
    <w:name w:val="Balloon Text"/>
    <w:basedOn w:val="1"/>
    <w:semiHidden/>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rPr>
  </w:style>
  <w:style w:type="paragraph" w:styleId="10">
    <w:name w:val="footnote text"/>
    <w:basedOn w:val="1"/>
    <w:semiHidden/>
    <w:qFormat/>
    <w:uiPriority w:val="0"/>
    <w:pPr>
      <w:snapToGrid w:val="0"/>
      <w:jc w:val="left"/>
    </w:pPr>
    <w:rPr>
      <w:sz w:val="18"/>
    </w:rPr>
  </w:style>
  <w:style w:type="paragraph" w:styleId="11">
    <w:name w:val="annotation subject"/>
    <w:basedOn w:val="3"/>
    <w:next w:val="3"/>
    <w:semiHidden/>
    <w:qFormat/>
    <w:uiPriority w:val="0"/>
    <w:rPr>
      <w:b/>
      <w:bCs/>
    </w:rPr>
  </w:style>
  <w:style w:type="paragraph" w:styleId="12">
    <w:name w:val="Body Text First Indent"/>
    <w:basedOn w:val="1"/>
    <w:qFormat/>
    <w:uiPriority w:val="0"/>
    <w:pPr>
      <w:autoSpaceDE w:val="0"/>
      <w:autoSpaceDN w:val="0"/>
      <w:adjustRightInd w:val="0"/>
      <w:spacing w:line="360" w:lineRule="auto"/>
      <w:ind w:firstLine="425"/>
    </w:pPr>
    <w:rPr>
      <w:rFonts w:ascii="宋体" w:hAnsi="宋体"/>
      <w:kern w:val="0"/>
      <w:szCs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basedOn w:val="15"/>
    <w:qFormat/>
    <w:uiPriority w:val="0"/>
    <w:rPr>
      <w:color w:val="0000FF"/>
      <w:u w:val="single"/>
    </w:rPr>
  </w:style>
  <w:style w:type="character" w:styleId="18">
    <w:name w:val="annotation reference"/>
    <w:basedOn w:val="15"/>
    <w:semiHidden/>
    <w:qFormat/>
    <w:uiPriority w:val="0"/>
    <w:rPr>
      <w:sz w:val="21"/>
    </w:rPr>
  </w:style>
  <w:style w:type="character" w:styleId="19">
    <w:name w:val="footnote reference"/>
    <w:basedOn w:val="15"/>
    <w:semiHidden/>
    <w:qFormat/>
    <w:uiPriority w:val="0"/>
    <w:rPr>
      <w:vertAlign w:val="superscript"/>
    </w:rPr>
  </w:style>
  <w:style w:type="paragraph" w:customStyle="1" w:styleId="20">
    <w:name w:val="默认段落字体 Para Char Char Char Char Char Char Char Char Char Char Char"/>
    <w:basedOn w:val="1"/>
    <w:qFormat/>
    <w:uiPriority w:val="0"/>
    <w:rPr>
      <w:rFonts w:ascii="Tahoma" w:hAnsi="Tahoma"/>
      <w:sz w:val="24"/>
    </w:rPr>
  </w:style>
  <w:style w:type="paragraph" w:customStyle="1" w:styleId="21">
    <w:name w:val="Ò³Ã¼ÎÄµµÃû³ÆÑùÊ½"/>
    <w:basedOn w:val="1"/>
    <w:qFormat/>
    <w:uiPriority w:val="0"/>
    <w:pPr>
      <w:widowControl/>
      <w:overflowPunct w:val="0"/>
      <w:autoSpaceDE w:val="0"/>
      <w:autoSpaceDN w:val="0"/>
      <w:adjustRightInd w:val="0"/>
      <w:jc w:val="left"/>
      <w:textAlignment w:val="baseline"/>
    </w:pPr>
    <w:rPr>
      <w:kern w:val="0"/>
      <w:sz w:val="18"/>
    </w:rPr>
  </w:style>
  <w:style w:type="paragraph" w:customStyle="1" w:styleId="22">
    <w:name w:val="默认段落字体 Para Char Char Char Char Char Char Char Char Char Char Char Char Char Char Char Char Char"/>
    <w:basedOn w:val="1"/>
    <w:qFormat/>
    <w:uiPriority w:val="0"/>
    <w:rPr>
      <w:rFonts w:ascii="Tahoma" w:hAnsi="Tahoma"/>
      <w:sz w:val="24"/>
    </w:rPr>
  </w:style>
  <w:style w:type="paragraph" w:customStyle="1" w:styleId="23">
    <w:name w:val="缺省文本"/>
    <w:basedOn w:val="1"/>
    <w:qFormat/>
    <w:uiPriority w:val="0"/>
    <w:pPr>
      <w:autoSpaceDE w:val="0"/>
      <w:autoSpaceDN w:val="0"/>
      <w:adjustRightInd w:val="0"/>
      <w:spacing w:line="360" w:lineRule="auto"/>
      <w:jc w:val="left"/>
    </w:pPr>
    <w:rPr>
      <w:kern w:val="0"/>
    </w:rPr>
  </w:style>
  <w:style w:type="paragraph" w:customStyle="1" w:styleId="24">
    <w:name w:val="È±Ê¡ÎÄ±¾"/>
    <w:basedOn w:val="1"/>
    <w:qFormat/>
    <w:uiPriority w:val="0"/>
    <w:pPr>
      <w:widowControl/>
      <w:overflowPunct w:val="0"/>
      <w:autoSpaceDE w:val="0"/>
      <w:autoSpaceDN w:val="0"/>
      <w:adjustRightInd w:val="0"/>
      <w:spacing w:line="360" w:lineRule="auto"/>
      <w:jc w:val="left"/>
      <w:textAlignment w:val="baseline"/>
    </w:pPr>
    <w:rPr>
      <w:kern w:val="0"/>
    </w:rPr>
  </w:style>
  <w:style w:type="paragraph" w:customStyle="1" w:styleId="25">
    <w:name w:val="页眉文档名称样式"/>
    <w:basedOn w:val="1"/>
    <w:qFormat/>
    <w:uiPriority w:val="0"/>
    <w:pPr>
      <w:autoSpaceDE w:val="0"/>
      <w:autoSpaceDN w:val="0"/>
      <w:adjustRightInd w:val="0"/>
      <w:jc w:val="left"/>
    </w:pPr>
    <w:rPr>
      <w:kern w:val="0"/>
      <w:sz w:val="18"/>
    </w:rPr>
  </w:style>
  <w:style w:type="paragraph" w:customStyle="1" w:styleId="26">
    <w:name w:val="默认段落字体 Para Char Char Char Char Char Char Char Char Char Char Char Char Char Char Char Char Char1"/>
    <w:basedOn w:val="1"/>
    <w:qFormat/>
    <w:uiPriority w:val="0"/>
    <w:rPr>
      <w:rFonts w:ascii="Tahoma" w:hAnsi="Tahoma"/>
      <w:sz w:val="24"/>
    </w:rPr>
  </w:style>
  <w:style w:type="paragraph" w:customStyle="1" w:styleId="27">
    <w:name w:val="默认段落字体 Para Char Char Char Char Char Char Char Char Char Char"/>
    <w:basedOn w:val="1"/>
    <w:qFormat/>
    <w:uiPriority w:val="0"/>
    <w:rPr>
      <w:rFonts w:ascii="Tahoma" w:hAnsi="Tahoma"/>
      <w:sz w:val="24"/>
    </w:rPr>
  </w:style>
  <w:style w:type="paragraph" w:customStyle="1" w:styleId="28">
    <w:name w:val="???????????¡ì????????????????¡ì????????????????¡§???????????????¡ì?????????????¡ì???????????????¡ì?????o??????????????¡§???????????????¡ì?????????????¡ì?????"/>
    <w:basedOn w:val="1"/>
    <w:uiPriority w:val="0"/>
    <w:pPr>
      <w:widowControl/>
      <w:overflowPunct w:val="0"/>
      <w:autoSpaceDE w:val="0"/>
      <w:autoSpaceDN w:val="0"/>
      <w:adjustRightInd w:val="0"/>
      <w:jc w:val="left"/>
      <w:textAlignment w:val="baseline"/>
    </w:pPr>
    <w:rPr>
      <w:kern w:val="0"/>
      <w:sz w:val="24"/>
    </w:rPr>
  </w:style>
  <w:style w:type="paragraph" w:customStyle="1" w:styleId="29">
    <w:name w:val="封面表格文本"/>
    <w:basedOn w:val="1"/>
    <w:uiPriority w:val="0"/>
    <w:pPr>
      <w:autoSpaceDE w:val="0"/>
      <w:autoSpaceDN w:val="0"/>
      <w:adjustRightInd w:val="0"/>
      <w:jc w:val="center"/>
    </w:pPr>
    <w:rPr>
      <w:b/>
      <w:kern w:val="0"/>
      <w:sz w:val="24"/>
    </w:rPr>
  </w:style>
  <w:style w:type="paragraph" w:customStyle="1" w:styleId="30">
    <w:name w:val="Default Text"/>
    <w:basedOn w:val="1"/>
    <w:qFormat/>
    <w:uiPriority w:val="0"/>
    <w:pPr>
      <w:autoSpaceDE w:val="0"/>
      <w:autoSpaceDN w:val="0"/>
      <w:adjustRightInd w:val="0"/>
      <w:jc w:val="left"/>
    </w:pPr>
    <w:rPr>
      <w:kern w:val="0"/>
      <w:sz w:val="24"/>
    </w:rPr>
  </w:style>
  <w:style w:type="paragraph" w:customStyle="1" w:styleId="31">
    <w:name w:val="标题2"/>
    <w:basedOn w:val="1"/>
    <w:qFormat/>
    <w:uiPriority w:val="0"/>
    <w:pPr>
      <w:autoSpaceDE w:val="0"/>
      <w:autoSpaceDN w:val="0"/>
      <w:adjustRightInd w:val="0"/>
      <w:spacing w:line="360" w:lineRule="auto"/>
      <w:jc w:val="left"/>
    </w:pPr>
    <w:rPr>
      <w:rFonts w:ascii="宋体"/>
      <w:kern w:val="0"/>
      <w:sz w:val="24"/>
    </w:rPr>
  </w:style>
  <w:style w:type="paragraph" w:customStyle="1" w:styleId="32">
    <w:name w:val="页眉密级样式"/>
    <w:basedOn w:val="1"/>
    <w:qFormat/>
    <w:uiPriority w:val="0"/>
    <w:pPr>
      <w:autoSpaceDE w:val="0"/>
      <w:autoSpaceDN w:val="0"/>
      <w:adjustRightInd w:val="0"/>
      <w:jc w:val="right"/>
    </w:pPr>
    <w:rPr>
      <w:kern w:val="0"/>
      <w:sz w:val="18"/>
    </w:rPr>
  </w:style>
  <w:style w:type="paragraph" w:customStyle="1" w:styleId="33">
    <w:name w:val="Ò³Ã¼ÃÜ¼¶ÑùÊ½"/>
    <w:basedOn w:val="1"/>
    <w:qFormat/>
    <w:uiPriority w:val="0"/>
    <w:pPr>
      <w:widowControl/>
      <w:overflowPunct w:val="0"/>
      <w:autoSpaceDE w:val="0"/>
      <w:autoSpaceDN w:val="0"/>
      <w:adjustRightInd w:val="0"/>
      <w:jc w:val="right"/>
      <w:textAlignment w:val="baseline"/>
    </w:pPr>
    <w:rPr>
      <w:kern w:val="0"/>
      <w:sz w:val="18"/>
    </w:rPr>
  </w:style>
  <w:style w:type="paragraph" w:customStyle="1" w:styleId="34">
    <w:name w:val=" Char"/>
    <w:basedOn w:val="1"/>
    <w:qFormat/>
    <w:uiPriority w:val="0"/>
    <w:rPr>
      <w:rFonts w:ascii="Tahoma" w:hAnsi="Tahoma"/>
      <w:sz w:val="24"/>
    </w:rPr>
  </w:style>
  <w:style w:type="paragraph" w:customStyle="1" w:styleId="35">
    <w:name w:val="封面表格正文"/>
    <w:basedOn w:val="1"/>
    <w:qFormat/>
    <w:uiPriority w:val="0"/>
    <w:pPr>
      <w:autoSpaceDE w:val="0"/>
      <w:autoSpaceDN w:val="0"/>
      <w:adjustRightInd w:val="0"/>
      <w:jc w:val="left"/>
    </w:pPr>
    <w:rPr>
      <w:kern w:val="0"/>
      <w:sz w:val="24"/>
    </w:rPr>
  </w:style>
  <w:style w:type="paragraph" w:customStyle="1" w:styleId="36">
    <w:name w:val="编写建议"/>
    <w:basedOn w:val="1"/>
    <w:qFormat/>
    <w:uiPriority w:val="0"/>
    <w:pPr>
      <w:autoSpaceDE w:val="0"/>
      <w:autoSpaceDN w:val="0"/>
      <w:adjustRightInd w:val="0"/>
      <w:spacing w:line="360" w:lineRule="auto"/>
      <w:ind w:left="1134"/>
    </w:pPr>
    <w:rPr>
      <w:i/>
      <w:color w:val="0000FF"/>
      <w:kern w:val="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skyworth</Company>
  <Pages>5</Pages>
  <Words>2102</Words>
  <Characters>2221</Characters>
  <Lines>12</Lines>
  <Paragraphs>3</Paragraphs>
  <TotalTime>17</TotalTime>
  <ScaleCrop>false</ScaleCrop>
  <LinksUpToDate>false</LinksUpToDate>
  <CharactersWithSpaces>2228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2009-11-26T05:40:00Z</dcterms:created>
  <dc:creator>lifushan</dc:creator>
  <cp:lastModifiedBy>赖国梁</cp:lastModifiedBy>
  <cp:lastPrinted>2011-03-11T07:15:00Z</cp:lastPrinted>
  <dcterms:modified xsi:type="dcterms:W3CDTF">2026-03-24T16:03:05Z</dcterms:modified>
  <dc:title>技术交底书V3</dc:title>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D79ED64A3F1645EEB784131890E17589_13</vt:lpwstr>
  </property>
  <property fmtid="{D5CDD505-2E9C-101B-9397-08002B2CF9AE}" pid="4" name="KSOTemplateDocerSaveRecord">
    <vt:lpwstr>eyJoZGlkIjoiZjFmZWIzNDg2MmIzZjExOTIzMmViNTBmYTMwYTk0ZWYiLCJ1c2VySWQiOiIxNjg1MTcyMDg4In0=</vt:lpwstr>
  </property>
</Properties>
</file>