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567" w:right="-55"/>
        <w:jc w:val="center"/>
        <w:spacing w:after="6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Cs/>
          <w:sz w:val="28"/>
          <w:szCs w:val="28"/>
          <w:highlight w:val="none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«Международный детский центр «Артек»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567" w:right="-55"/>
        <w:jc w:val="center"/>
        <w:spacing w:after="6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(ФГБОУ «МДЦ «Артек»)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567" w:right="-55"/>
        <w:jc w:val="center"/>
        <w:spacing w:after="6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left="-567" w:right="-55"/>
        <w:jc w:val="center"/>
        <w:spacing w:after="6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left="-567" w:right="-55"/>
        <w:jc w:val="center"/>
        <w:spacing w:after="6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Техническое задание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left="-567" w:right="-55"/>
        <w:jc w:val="center"/>
        <w:spacing w:after="6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ind w:left="0" w:right="289" w:firstLine="0"/>
        <w:jc w:val="center"/>
        <w:spacing w:after="60" w:line="240" w:lineRule="auto"/>
        <w:shd w:val="clear" w:color="auto" w:fill="ffffff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(требования к оказанию услуг по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оценке профессиональных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рисков и разработки методик оценки и управления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профессиональными рисками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ind w:left="-567" w:right="-55"/>
        <w:jc w:val="center"/>
        <w:spacing w:after="60" w:line="240" w:lineRule="auto"/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iCs/>
          <w:sz w:val="28"/>
          <w:szCs w:val="28"/>
          <w:highlight w:val="none"/>
          <w:lang w:eastAsia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W w:w="99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72"/>
        <w:gridCol w:w="2126"/>
        <w:gridCol w:w="7228"/>
      </w:tblGrid>
      <w:tr>
        <w:tblPrEx/>
        <w:trPr>
          <w:trHeight w:val="480"/>
        </w:trPr>
        <w:tc>
          <w:tcPr>
            <w:shd w:val="clear" w:color="ffffff" w:fill="f3f3f3"/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№ п/п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3f3f3"/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Наименование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3f3f3"/>
            <w:tcW w:w="7228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Описание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3"/>
            <w:tcW w:w="9926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5"/>
              </w:numPr>
              <w:ind w:left="0" w:firstLine="0"/>
              <w:jc w:val="both"/>
              <w:spacing w:after="0" w:line="240" w:lineRule="auto"/>
              <w:shd w:val="clear" w:color="ffffff" w:themeColor="background1" w:fill="ffffff" w:themeFill="background1"/>
              <w:tabs>
                <w:tab w:val="left" w:pos="390" w:leader="none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Общие данные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Заказчик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228" w:type="dxa"/>
            <w:textDirection w:val="lrTb"/>
            <w:noWrap w:val="false"/>
          </w:tcPr>
          <w:p>
            <w:pPr>
              <w:ind w:firstLine="0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Федеральное государственное бюджетное образовательное учреждение «Международный детский центр «Артек»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далее -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ФГБОУ «МДЦ «Артек»)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1.2.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Место оказания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228" w:type="dxa"/>
            <w:vAlign w:val="center"/>
            <w:textDirection w:val="lrTb"/>
            <w:noWrap w:val="false"/>
          </w:tcPr>
          <w:p>
            <w:pPr>
              <w:pStyle w:val="687"/>
              <w:ind w:left="0" w:right="68" w:firstLine="494"/>
              <w:jc w:val="both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ерритория и помещения ФГБОУ «МДЦ «Артек», Республика Крым, г. Ялта,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пгт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 Гурзуф, ул. Ленинградская, 41;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центр образования "Солнечный", д/л "Парусный", д/л "Воздушный" ФГБОУ «МДЦ «Артек».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2594"/>
        </w:trPr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1.3.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Цель и 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еобходимость оказания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228" w:type="dxa"/>
            <w:vAlign w:val="center"/>
            <w:textDirection w:val="lrTb"/>
            <w:noWrap w:val="false"/>
          </w:tcPr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 соответствии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требованиями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абз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 5, 7 ч.3 статьи 214 Трудового кодекса Российской Федерации, работодатель вне зависимости от формы собственности, размера предприятия и вида экономической деятельности должен провести процедуру оценки 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управления профессиональными рисками. Оценка рисков помогает снизить риск возникновения несчастных случаев и профзаболеваний на конкретном рабочем месте и выявить, какие меры по обеспечению безопасности на предприятии необходимо принимать в первую очередь.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1.4.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Краткое описание объемов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28" w:type="dxa"/>
            <w:textDirection w:val="lrTb"/>
            <w:noWrap w:val="false"/>
          </w:tcPr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Количество рабочих мест, подлежащих оценке профессиональных рисков – 78.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рганизовать и провести инструктаж для руководителей и работников по порядку проведения оценки профессиональных рисков и по методике управления профессиональными рисками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ровести процесс идентификации опасностей на рабочих местах при выполнении всех видов работ в условиях нормального режима трудовой деятельности, при выполнении ремонтных, профилактических, аварийных работ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роводить разъяснения работникам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аказчика по процессу оценки и управления профессиональными рисками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рганизовать и провести процесс оценки профессиональных рисков идентифицированных опасностей с определением уровней рисков на рабочих местах. Количество уровней рисков определяется по согласованию с Заказчиком.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ровести анализ и согласование результатов оценки рисков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азработать План мероприятий по снижению и управлению рисками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азработать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Положение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по оценке профессиональных рисков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азработать процедуры, направленных на достижение целей работодателя в области охраны труда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азработать процедуру расчета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профессиональных рисков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мероприятия по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их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реализации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widowControl w:val="off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азработать порядок реагирования на аварии, несчастные случаи и профессиональные заболевания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.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blPrEx/>
        <w:trPr/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Срок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оказания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228" w:type="dxa"/>
            <w:vAlign w:val="center"/>
            <w:textDirection w:val="lrTb"/>
            <w:noWrap w:val="false"/>
          </w:tcPr>
          <w:p>
            <w:pPr>
              <w:ind w:firstLine="0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60 рабочих дней с даты заключения контракта.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Гарантийные обязательства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228" w:type="dxa"/>
            <w:vAlign w:val="center"/>
            <w:textDirection w:val="lrTb"/>
            <w:noWrap w:val="false"/>
          </w:tcPr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Исполнитель гарантирует качество выполнения услуг по оценке профессиональных рисков и, при необходимости, защищает результаты своей работы в течение пяти лет с момента сдачи документации Заказчику.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1370"/>
        </w:trPr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Формы и сроки гарантийного обслуживания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228" w:type="dxa"/>
            <w:vAlign w:val="center"/>
            <w:textDirection w:val="lrTb"/>
            <w:noWrap w:val="false"/>
          </w:tcPr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trike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 наличии замечаний к результатам выполненных работ (как со стороны контролирующих органов, так и со стороны Заказчика) в период гарантийного срока, устранение замечаний и доработку документации Исполнитель осуществляет без дополнительной оплаты.</w:t>
            </w:r>
            <w:r>
              <w:rPr>
                <w:rFonts w:ascii="Times New Roman" w:hAnsi="Times New Roman" w:cs="Times New Roman"/>
                <w:strike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trike/>
                <w:sz w:val="24"/>
                <w:szCs w:val="24"/>
              </w:rPr>
            </w:r>
          </w:p>
        </w:tc>
      </w:tr>
      <w:tr>
        <w:tblPrEx/>
        <w:trPr/>
        <w:tc>
          <w:tcPr>
            <w:gridSpan w:val="3"/>
            <w:tcW w:w="99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 Основные требования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991"/>
        </w:trPr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2.1.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Основная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нормативная, правовая и методическая база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28" w:type="dxa"/>
            <w:textDirection w:val="lrTb"/>
            <w:noWrap w:val="false"/>
          </w:tcPr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eastAsia="ru-RU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Трудовой кодекс Российской Федерации» от 30.12.2001 г. N 197-ФЗ.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Приказ Минтруда России от 31.01.2022 г. N 36 «Об утверждении Рекомендаций по классификации, обнаружению, распознаванию и описанию опасностей».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Приказ Минтруда России от 28.12.2021 г. N 926 «Об утверждении Рекомендаций по выбору методов оценки уровней профессиональных рисков и по снижению уровней таких рисков».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Приказ Министерства труда и социальной защиты РФ от 29 октября 2021 г. N 776н «Об утверждении Примерного положения о системе управления охраной труда».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«ГОСТ Р 12.0.010-2009. Национальный стандарт Российской Федерации. Система стандартов безопасности труда. Системы управления охраной труда. Определение опасностей и оценка рисков».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Другие нормативные документы, необходимые для оценки профес</w:t>
            </w:r>
            <w:bookmarkStart w:id="0" w:name="undefined"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bookmarkEnd w:id="0"/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сиональных рисков.</w:t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color w:val="000000"/>
                <w:sz w:val="24"/>
                <w:szCs w:val="24"/>
              </w:rPr>
            </w:r>
          </w:p>
        </w:tc>
      </w:tr>
      <w:tr>
        <w:tblPrEx/>
        <w:trPr>
          <w:trHeight w:val="2910"/>
        </w:trPr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2.2.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Требования к качеству, техническим характеристикам, безопасности и результатам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228" w:type="dxa"/>
            <w:vAlign w:val="center"/>
            <w:textDirection w:val="lrTb"/>
            <w:noWrap w:val="false"/>
          </w:tcPr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Заказчик предоставляет по письменному обоснованному запросу Исполнителя ин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формацию, необходимую для оказания услуг в соответствии с настоящим техническим заданием (действующие локальные документы, статистические данные, результаты специальной оценки условий труда и др.) в случаях, не противоречащих действующему законодательству.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 ходе оказания услуг Исполнитель организовывает следующие мероприятия: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51"/>
              <w:numPr>
                <w:ilvl w:val="0"/>
                <w:numId w:val="6"/>
              </w:numPr>
              <w:ind w:left="210" w:hanging="218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проводит процесс выявления опасностей на рабочих местах при выполнении всех видов работ в условиях нормального режима трудовой деятельности, а также при выполнении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нестандартных видов деятельности и в случае аварийных ситуаций;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51"/>
              <w:numPr>
                <w:ilvl w:val="0"/>
                <w:numId w:val="6"/>
              </w:numPr>
              <w:ind w:left="210" w:hanging="218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организовывает и проводит процесс оценки рисков идентифицированных опасностей с определением уровней рисков на рабочих местах;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51"/>
              <w:numPr>
                <w:ilvl w:val="0"/>
                <w:numId w:val="6"/>
              </w:numPr>
              <w:ind w:left="210" w:hanging="218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проводит анализ и согласование результатов оценки рисков;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51"/>
              <w:numPr>
                <w:ilvl w:val="0"/>
                <w:numId w:val="6"/>
              </w:numPr>
              <w:ind w:left="210" w:hanging="218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разрабатывает план мероприятий по снижению и управлению рисками с учетом приоритета мер управления;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51"/>
              <w:numPr>
                <w:ilvl w:val="0"/>
                <w:numId w:val="6"/>
              </w:numPr>
              <w:ind w:left="210" w:hanging="218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предоставляет методику, обоснование и экспертное заключение по результатам проведения оценки профессиональных рисков, карты анализа и оценки рисков по всем рабочим местам, план мероприятий по снижению уровня рисков в бумажном 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  <w:p>
            <w:pPr>
              <w:ind w:left="210" w:firstLine="0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left="0" w:firstLine="0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электронном вариантах.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eastAsia="ru-RU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Проведение оценки рисков и оформл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ение результатов выполненных работ по оценке профессиональных рисков должны соответствовать требованиям Приказа Министерства труда и социальной защиты РФ от 29 октября 2021 г. N 776н «Об утверждении Примерного положения о системе управления охраной труда».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Методы, применяемые при оценке рисков Исполнителем, должны быть определены, описаны и обоснованы со ссылками на действующие нормативные правов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ые акты, национальные стандарты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2.3.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Порядок приемки 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7228" w:type="dxa"/>
            <w:vAlign w:val="center"/>
            <w:textDirection w:val="lrTb"/>
            <w:noWrap w:val="false"/>
          </w:tcPr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Сдача-приемка выполненных работ (оказанных услуг) производится по факту выполнения работ с подписанием Акта сдачи-приемки выполненных работ (оказанных услуг).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Заказчику предоставляются комплект документов на бумажных и электронных носителях, который должен содержать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отчет о проведении оценки профессиональных рисков (далее – Отчет), в который включаются: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855"/>
              <w:numPr>
                <w:ilvl w:val="0"/>
                <w:numId w:val="7"/>
              </w:numPr>
              <w:ind w:left="494"/>
              <w:jc w:val="both"/>
              <w:shd w:val="clear" w:color="ffffff" w:themeColor="background1" w:fill="ffffff" w:themeFill="background1"/>
              <w:widowControl w:val="off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сведения об организации, проводящей оценку профессионального риска, с приложением копий документов, подтверждающих ее соответствие установленным требованиям, заверенные копии сертификатов экспертов по оценке профессиональных рисков;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855"/>
              <w:numPr>
                <w:ilvl w:val="0"/>
                <w:numId w:val="7"/>
              </w:numPr>
              <w:ind w:left="494"/>
              <w:jc w:val="both"/>
              <w:shd w:val="clear" w:color="ffffff" w:themeColor="background1" w:fill="ffffff" w:themeFill="background1"/>
              <w:widowControl w:val="off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перечень рабочих мест, должностей на которых проводилась оценка профессиональных рисков;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856"/>
              <w:numPr>
                <w:ilvl w:val="0"/>
                <w:numId w:val="7"/>
              </w:numPr>
              <w:ind w:left="494"/>
              <w:jc w:val="both"/>
              <w:shd w:val="clear" w:color="ffffff" w:themeColor="background1" w:fill="ffffff" w:themeFill="background1"/>
              <w:tabs>
                <w:tab w:val="left" w:pos="851" w:leader="none"/>
              </w:tabs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карты оценки профессиональных рисков на каждое рабочее место, должность (идентификации опасностей и определения уровней рисков с указанием технологических про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цессов, перечня опасностей, опасных событий, возможных последствий опасных событий, условий возникновения опасных событий, существующих мер их предупреждения, вероятности наступления, тяжести последствий и частоты их возникновения, а также уровней рисков);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855"/>
              <w:numPr>
                <w:ilvl w:val="0"/>
                <w:numId w:val="7"/>
              </w:numPr>
              <w:ind w:left="494"/>
              <w:jc w:val="both"/>
              <w:shd w:val="clear" w:color="ffffff" w:themeColor="background1" w:fill="ffffff" w:themeFill="background1"/>
              <w:widowControl w:val="off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реестр идентифицированных опасностей и оцененных рисков по подразделениям 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ФГБОУ «МДЦ «Артек»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в целом, перечень приоритетных опасностей;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855"/>
              <w:numPr>
                <w:ilvl w:val="0"/>
                <w:numId w:val="7"/>
              </w:numPr>
              <w:ind w:left="494"/>
              <w:jc w:val="both"/>
              <w:shd w:val="clear" w:color="ffffff" w:themeColor="background1" w:fill="ffffff" w:themeFill="background1"/>
              <w:widowControl w:val="off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план дополнительных мер управления по устранению и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минимизации рисков (мероприятия по снижению уровней профессиональных рисков);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855"/>
              <w:numPr>
                <w:ilvl w:val="0"/>
                <w:numId w:val="7"/>
              </w:numPr>
              <w:ind w:left="494"/>
              <w:jc w:val="both"/>
              <w:shd w:val="clear" w:color="ffffff" w:themeColor="background1" w:fill="ffffff" w:themeFill="background1"/>
              <w:widowControl w:val="off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сводную ведомость (перечень) результатов оценки профессиональных рисков и статистике рисков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ФГБОУ «МДЦ «Артек»;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</w:p>
          <w:p>
            <w:pPr>
              <w:pStyle w:val="855"/>
              <w:numPr>
                <w:ilvl w:val="0"/>
                <w:numId w:val="7"/>
              </w:numPr>
              <w:ind w:left="494"/>
              <w:jc w:val="both"/>
              <w:shd w:val="clear" w:color="ffffff" w:themeColor="background1" w:fill="ffffff" w:themeFill="background1"/>
              <w:widowControl w:val="off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положение о системе управления профессиональными рисками в области охраны труда в </w:t>
            </w: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ФГБОУ «МДЦ «Артек»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с учетом проведенной оценки и спецификой учреждения;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Документы предоставляются на бумажных носителях в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одном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экземпляр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е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, а также в электронном виде в форматах PDF, DOC, либо иных по согласованию с заказчиком.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Экземпляр документации на бумажном носителе должен быть идентичен экземпляру документации на электронном носителе.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</w:tr>
      <w:tr>
        <w:tblPrEx/>
        <w:trPr>
          <w:trHeight w:val="444"/>
        </w:trPr>
        <w:tc>
          <w:tcPr>
            <w:gridSpan w:val="3"/>
            <w:tcW w:w="9926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Требования к Исполнителю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услуг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7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3.1.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vMerge w:val="restart"/>
            <w:textDirection w:val="lrTb"/>
            <w:noWrap w:val="false"/>
          </w:tcPr>
          <w:p>
            <w:pPr>
              <w:jc w:val="left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left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left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left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left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left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jc w:val="left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Требования к Исполнителю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услуг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7228" w:type="dxa"/>
            <w:vAlign w:val="center"/>
            <w:vMerge w:val="restart"/>
            <w:textDirection w:val="lrTb"/>
            <w:noWrap w:val="false"/>
          </w:tcPr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lang w:val="ru-RU" w:eastAsia="ar-SA"/>
              </w:rPr>
              <w:t xml:space="preserve">При проведении необходимых для оформления паспорта лабораторных исследований, Исполнитель должен иметь аккредитованную лабораторию, имеющую аттестат и область </w:t>
            </w:r>
            <w:r>
              <w:rPr>
                <w:sz w:val="24"/>
                <w:szCs w:val="24"/>
                <w:lang w:val="ru-RU" w:eastAsia="ar-SA"/>
              </w:rPr>
              <w:t xml:space="preserve">аккредитации соответствующей деятельности лаборатории, либо наличие договора с аттестованной и имеющей область аккредитации лабораторией. Требование установлено Федеральным законом от 28.12.2013г. № 412 «Об аккредитации в национальной системе аккредитации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sz w:val="24"/>
                <w:szCs w:val="24"/>
                <w:lang w:val="ru-RU" w:eastAsia="ar-SA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Исполнитель должен обладать необходимыми профессиональными знаниями и оп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ытом выполнения подобных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  <w:p>
            <w:pPr>
              <w:ind w:firstLine="0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работ.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При подготовке и проведении работ персонал Исполнителя руководствуется требованиями действующих в РФ нормативно правовых документов.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Исполнитель несет ответственность за полноту, достоверность и качество выполненной работы, обеспечивает конфиденциальность полученных от заказчика сведений.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7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3.2.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Условия допуска к оказанию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услуги (</w:t>
            </w:r>
            <w:r>
              <w:rPr>
                <w:b w:val="0"/>
                <w:bCs w:val="0"/>
              </w:rPr>
              <w:t xml:space="preserve">Необходи</w:t>
            </w:r>
            <w:r>
              <w:rPr>
                <w:b w:val="0"/>
                <w:bCs w:val="0"/>
              </w:rPr>
              <w:t xml:space="preserve">мые документы для</w:t>
            </w:r>
            <w:r>
              <w:rPr>
                <w:b w:val="0"/>
                <w:bCs w:val="0"/>
              </w:rPr>
              <w:t xml:space="preserve"> проход</w:t>
            </w:r>
            <w:r>
              <w:rPr>
                <w:b w:val="0"/>
                <w:bCs w:val="0"/>
              </w:rPr>
              <w:t xml:space="preserve">а</w:t>
            </w:r>
            <w:r>
              <w:rPr>
                <w:b w:val="0"/>
                <w:bCs w:val="0"/>
              </w:rPr>
              <w:t xml:space="preserve"> или проезд</w:t>
            </w:r>
            <w:r>
              <w:rPr>
                <w:b w:val="0"/>
                <w:bCs w:val="0"/>
              </w:rPr>
              <w:t xml:space="preserve">а</w:t>
            </w:r>
            <w:r>
              <w:rPr>
                <w:b w:val="0"/>
                <w:bCs w:val="0"/>
              </w:rPr>
              <w:t xml:space="preserve"> автомобиля на территорию)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W w:w="7228" w:type="dxa"/>
            <w:vAlign w:val="center"/>
            <w:textDirection w:val="lrTb"/>
            <w:noWrap w:val="false"/>
          </w:tcPr>
          <w:p>
            <w:pPr>
              <w:pStyle w:val="857"/>
              <w:jc w:val="both"/>
              <w:spacing w:after="0" w:line="274" w:lineRule="exact"/>
              <w:shd w:val="clear" w:color="auto" w:fill="auto"/>
            </w:pPr>
            <w:r>
              <w:t xml:space="preserve">       </w:t>
            </w:r>
            <w:r>
              <w:t xml:space="preserve">Для прохода и проезда на территорию ФГБОУ «МДЦ «Артек» выдаются временные пропускные документы.</w:t>
            </w:r>
            <w:r/>
          </w:p>
          <w:p>
            <w:pPr>
              <w:pStyle w:val="857"/>
              <w:jc w:val="both"/>
              <w:spacing w:after="0" w:line="274" w:lineRule="exact"/>
              <w:shd w:val="clear" w:color="auto" w:fill="auto"/>
            </w:pPr>
            <w:r>
              <w:t xml:space="preserve">        </w:t>
            </w:r>
            <w:r>
              <w:t xml:space="preserve">Пропуск на транспортное средство подрядных и субподрядных организаций вы</w:t>
            </w:r>
            <w:r>
              <w:t xml:space="preserve">дается на время выполнения ими договорных обязательств на основании официального письма за подписью руководителя организации с печатью, которое визируется курирующим заместителем директора и руководителем (в его отсутствие заместителем руководителя) УОБЖ. </w:t>
            </w:r>
            <w:r/>
          </w:p>
          <w:p>
            <w:pPr>
              <w:ind w:firstLine="494"/>
              <w:jc w:val="both"/>
              <w:spacing w:after="0" w:line="240" w:lineRule="auto"/>
              <w:shd w:val="clear" w:color="ffffff" w:themeColor="background1" w:fill="ffffff" w:themeFill="background1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t xml:space="preserve"> </w:t>
            </w:r>
            <w:r>
              <w:t xml:space="preserve">К служебным запискам (письмам подрядных организаций) на выдачу всех видов пропусков на транспортные средства в обязательном также прикладываются приказ о приеме на работу или трудовой договор с вод</w:t>
            </w:r>
            <w:r>
              <w:t xml:space="preserve">ителем, заверенный печатью организации; контракты (договоры), подтверждающие наличие действующих коммерческих отношений с ФГБОУ «МДЦ «Артек» и субподрядной организацией (при наличии), список ввозимого на территорию имущества или оборудования (при необходим</w:t>
            </w:r>
            <w:r>
              <w:t xml:space="preserve">ости).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ind w:left="142" w:right="0" w:hanging="142"/>
        <w:shd w:val="nil" w:color="auto"/>
      </w:pPr>
      <w:r>
        <w:br w:type="page" w:clear="all"/>
      </w:r>
      <w:r/>
    </w:p>
    <w:p>
      <w:pPr>
        <w:pStyle w:val="849"/>
        <w:ind w:left="0" w:right="0" w:firstLine="7795"/>
        <w:rPr>
          <w:rFonts w:ascii="Times New Roman" w:hAnsi="Times New Roman"/>
          <w:sz w:val="24"/>
          <w:szCs w:val="24"/>
          <w:highlight w:val="none"/>
        </w:rPr>
      </w:pPr>
      <w:r>
        <w:rPr>
          <w:rFonts w:ascii="Times New Roman" w:hAnsi="Times New Roman"/>
          <w:sz w:val="24"/>
        </w:rPr>
        <w:t xml:space="preserve">Приложение № 1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pStyle w:val="849"/>
        <w:ind w:left="0" w:right="0" w:firstLine="7795"/>
      </w:pPr>
      <w:r>
        <w:rPr>
          <w:rFonts w:ascii="Times New Roman" w:hAnsi="Times New Roman"/>
          <w:sz w:val="24"/>
        </w:rPr>
        <w:t xml:space="preserve">к техническому заданию</w:t>
      </w:r>
      <w:r/>
    </w:p>
    <w:p>
      <w:pPr>
        <w:pStyle w:val="850"/>
        <w:spacing w:before="46"/>
      </w:pPr>
      <w:r/>
      <w:r/>
    </w:p>
    <w:p>
      <w:pPr>
        <w:ind w:left="68" w:right="2" w:firstLine="0"/>
        <w:jc w:val="center"/>
        <w:spacing w:before="0"/>
        <w:rPr>
          <w:b/>
          <w:sz w:val="28"/>
        </w:rPr>
      </w:pPr>
      <w:r>
        <w:rPr>
          <w:b/>
          <w:sz w:val="28"/>
        </w:rPr>
        <w:t xml:space="preserve">Перечень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рабочих</w:t>
      </w:r>
      <w:r>
        <w:rPr>
          <w:b/>
          <w:spacing w:val="3"/>
          <w:sz w:val="28"/>
        </w:rPr>
        <w:t xml:space="preserve"> </w:t>
      </w:r>
      <w:r>
        <w:rPr>
          <w:b/>
          <w:spacing w:val="-4"/>
          <w:sz w:val="28"/>
        </w:rPr>
        <w:t xml:space="preserve">мест</w:t>
      </w:r>
      <w:r>
        <w:rPr>
          <w:b/>
          <w:sz w:val="28"/>
        </w:rPr>
      </w:r>
      <w:r>
        <w:rPr>
          <w:b/>
          <w:sz w:val="28"/>
        </w:rPr>
      </w:r>
    </w:p>
    <w:p>
      <w:pPr>
        <w:pStyle w:val="850"/>
        <w:spacing w:before="173"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  <w:r>
        <w:rPr>
          <w:b/>
          <w:sz w:val="20"/>
        </w:rPr>
      </w:r>
    </w:p>
    <w:tbl>
      <w:tblPr>
        <w:tblW w:w="0" w:type="auto"/>
        <w:tblInd w:w="2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1E0" w:firstRow="1" w:lastRow="1" w:firstColumn="1" w:lastColumn="1" w:noHBand="0" w:noVBand="0"/>
      </w:tblPr>
      <w:tblGrid>
        <w:gridCol w:w="696"/>
        <w:gridCol w:w="5236"/>
        <w:gridCol w:w="1985"/>
        <w:gridCol w:w="2410"/>
      </w:tblGrid>
      <w:tr>
        <w:tblPrEx/>
        <w:trPr>
          <w:trHeight w:val="1493"/>
        </w:trPr>
        <w:tc>
          <w:tcPr>
            <w:tcW w:w="696" w:type="dxa"/>
            <w:textDirection w:val="lrTb"/>
            <w:noWrap w:val="false"/>
          </w:tcPr>
          <w:p>
            <w:pPr>
              <w:pStyle w:val="852"/>
              <w:ind w:left="134" w:right="108" w:firstLine="45"/>
              <w:spacing w:before="146" w:line="273" w:lineRule="auto"/>
              <w:rPr>
                <w:b/>
                <w:sz w:val="24"/>
              </w:rPr>
            </w:pPr>
            <w:r>
              <w:rPr>
                <w:b/>
                <w:color w:val="3f3f3f"/>
                <w:spacing w:val="-10"/>
                <w:sz w:val="24"/>
              </w:rPr>
              <w:t xml:space="preserve">№</w:t>
            </w:r>
            <w:r>
              <w:rPr>
                <w:b/>
                <w:color w:val="3f3f3f"/>
                <w:spacing w:val="-10"/>
                <w:sz w:val="24"/>
              </w:rPr>
              <w:t xml:space="preserve"> </w:t>
            </w:r>
            <w:r>
              <w:rPr>
                <w:b/>
                <w:color w:val="3f3f3f"/>
                <w:spacing w:val="-6"/>
                <w:sz w:val="24"/>
              </w:rPr>
              <w:t xml:space="preserve">п</w:t>
            </w:r>
            <w:r>
              <w:rPr>
                <w:b/>
                <w:color w:val="3f3f3f"/>
                <w:spacing w:val="-6"/>
                <w:sz w:val="24"/>
              </w:rPr>
              <w:t xml:space="preserve">/</w:t>
            </w:r>
            <w:r>
              <w:rPr>
                <w:b/>
                <w:color w:val="3f3f3f"/>
                <w:spacing w:val="-6"/>
                <w:sz w:val="24"/>
              </w:rPr>
              <w:t xml:space="preserve"> </w:t>
            </w:r>
            <w:r>
              <w:rPr>
                <w:b/>
                <w:color w:val="3f3f3f"/>
                <w:spacing w:val="-10"/>
                <w:sz w:val="24"/>
              </w:rPr>
              <w:t xml:space="preserve">п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5236" w:type="dxa"/>
            <w:textDirection w:val="lrTb"/>
            <w:noWrap w:val="false"/>
          </w:tcPr>
          <w:p>
            <w:pPr>
              <w:pStyle w:val="852"/>
              <w:ind w:left="839" w:right="183" w:hanging="30"/>
              <w:spacing w:before="146" w:line="273" w:lineRule="auto"/>
              <w:rPr>
                <w:b/>
                <w:sz w:val="24"/>
              </w:rPr>
            </w:pPr>
            <w:r>
              <w:rPr>
                <w:b/>
                <w:color w:val="3f3f3f"/>
                <w:sz w:val="24"/>
              </w:rPr>
              <w:t xml:space="preserve">Наименование</w:t>
            </w:r>
            <w:r>
              <w:rPr>
                <w:b/>
                <w:color w:val="3f3f3f"/>
                <w:spacing w:val="-14"/>
                <w:sz w:val="24"/>
              </w:rPr>
              <w:t xml:space="preserve"> </w:t>
            </w:r>
            <w:r>
              <w:rPr>
                <w:b/>
                <w:color w:val="3f3f3f"/>
                <w:sz w:val="24"/>
              </w:rPr>
              <w:t xml:space="preserve">рабочего</w:t>
            </w:r>
            <w:r>
              <w:rPr>
                <w:b/>
                <w:color w:val="3f3f3f"/>
                <w:spacing w:val="-14"/>
                <w:sz w:val="24"/>
              </w:rPr>
              <w:t xml:space="preserve"> </w:t>
            </w:r>
            <w:r>
              <w:rPr>
                <w:b/>
                <w:color w:val="3f3f3f"/>
                <w:sz w:val="24"/>
              </w:rPr>
              <w:t xml:space="preserve">места,</w:t>
            </w:r>
            <w:r>
              <w:rPr>
                <w:b/>
                <w:color w:val="3f3f3f"/>
                <w:spacing w:val="-14"/>
                <w:sz w:val="24"/>
              </w:rPr>
              <w:t xml:space="preserve"> </w:t>
            </w:r>
            <w:r>
              <w:rPr>
                <w:b/>
                <w:color w:val="3f3f3f"/>
                <w:sz w:val="24"/>
              </w:rPr>
              <w:t xml:space="preserve">штатной</w:t>
            </w:r>
            <w:r>
              <w:rPr>
                <w:b/>
                <w:color w:val="3f3f3f"/>
                <w:sz w:val="24"/>
              </w:rPr>
              <w:t xml:space="preserve"> единицы (должности)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299"/>
              <w:spacing w:before="7" w:line="273" w:lineRule="auto"/>
              <w:rPr>
                <w:b/>
                <w:sz w:val="24"/>
              </w:rPr>
            </w:pPr>
            <w:r>
              <w:rPr>
                <w:b/>
                <w:color w:val="3f3f3f"/>
                <w:spacing w:val="-4"/>
                <w:sz w:val="24"/>
              </w:rPr>
              <w:t xml:space="preserve">Количеств</w:t>
            </w:r>
            <w:r>
              <w:rPr>
                <w:b/>
                <w:color w:val="3f3f3f"/>
                <w:spacing w:val="-4"/>
                <w:sz w:val="24"/>
              </w:rPr>
              <w:t xml:space="preserve">о</w:t>
            </w:r>
            <w:r>
              <w:rPr>
                <w:b/>
                <w:color w:val="3f3f3f"/>
                <w:spacing w:val="-4"/>
                <w:sz w:val="24"/>
              </w:rPr>
              <w:t xml:space="preserve"> </w:t>
            </w:r>
            <w:r>
              <w:rPr>
                <w:b/>
                <w:color w:val="3f3f3f"/>
                <w:spacing w:val="-2"/>
                <w:sz w:val="24"/>
              </w:rPr>
              <w:t xml:space="preserve">штатных</w:t>
            </w:r>
            <w:r>
              <w:rPr>
                <w:b/>
                <w:color w:val="3f3f3f"/>
                <w:spacing w:val="-2"/>
                <w:sz w:val="24"/>
              </w:rPr>
              <w:t xml:space="preserve"> единиц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52"/>
              <w:ind w:left="419" w:right="579"/>
              <w:spacing w:line="276" w:lineRule="exact"/>
              <w:rPr>
                <w:b/>
                <w:sz w:val="24"/>
              </w:rPr>
            </w:pPr>
            <w:r>
              <w:rPr>
                <w:b/>
                <w:color w:val="3f3f3f"/>
                <w:spacing w:val="-2"/>
                <w:sz w:val="24"/>
              </w:rPr>
              <w:t xml:space="preserve">(рабо</w:t>
            </w:r>
            <w:r>
              <w:rPr>
                <w:b/>
                <w:color w:val="3f3f3f"/>
                <w:spacing w:val="-2"/>
                <w:sz w:val="24"/>
              </w:rPr>
              <w:t xml:space="preserve">чих</w:t>
            </w:r>
            <w:r>
              <w:rPr>
                <w:b/>
                <w:color w:val="3f3f3f"/>
                <w:spacing w:val="-2"/>
                <w:sz w:val="24"/>
              </w:rPr>
              <w:t xml:space="preserve"> мест)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494" w:firstLine="90"/>
              <w:spacing w:before="7" w:line="273" w:lineRule="auto"/>
              <w:rPr>
                <w:b/>
                <w:sz w:val="24"/>
              </w:rPr>
            </w:pPr>
            <w:r>
              <w:rPr>
                <w:b/>
                <w:color w:val="3f3f3f"/>
                <w:spacing w:val="-2"/>
                <w:sz w:val="24"/>
              </w:rPr>
              <w:t xml:space="preserve">Количеств</w:t>
            </w:r>
            <w:r>
              <w:rPr>
                <w:b/>
                <w:color w:val="3f3f3f"/>
                <w:spacing w:val="-2"/>
                <w:sz w:val="24"/>
              </w:rPr>
              <w:t xml:space="preserve">о</w:t>
            </w:r>
            <w:r>
              <w:rPr>
                <w:b/>
                <w:color w:val="3f3f3f"/>
                <w:spacing w:val="-2"/>
                <w:sz w:val="24"/>
              </w:rPr>
              <w:t xml:space="preserve"> </w:t>
            </w:r>
            <w:r>
              <w:rPr>
                <w:b/>
                <w:color w:val="3f3f3f"/>
                <w:spacing w:val="-4"/>
                <w:sz w:val="24"/>
              </w:rPr>
              <w:t xml:space="preserve">аналогичны</w:t>
            </w:r>
            <w:r>
              <w:rPr>
                <w:b/>
                <w:color w:val="3f3f3f"/>
                <w:spacing w:val="-4"/>
                <w:sz w:val="24"/>
              </w:rPr>
              <w:t xml:space="preserve">х</w:t>
            </w:r>
            <w:r>
              <w:rPr>
                <w:b/>
                <w:color w:val="3f3f3f"/>
                <w:spacing w:val="-4"/>
                <w:sz w:val="24"/>
              </w:rPr>
              <w:t xml:space="preserve"> </w:t>
            </w:r>
            <w:r>
              <w:rPr>
                <w:b/>
                <w:color w:val="3f3f3f"/>
                <w:sz w:val="24"/>
              </w:rPr>
              <w:t xml:space="preserve">рабочих</w:t>
            </w:r>
            <w:r>
              <w:rPr>
                <w:b/>
                <w:color w:val="3f3f3f"/>
                <w:spacing w:val="-8"/>
                <w:sz w:val="24"/>
              </w:rPr>
              <w:t xml:space="preserve"> </w:t>
            </w:r>
            <w:r>
              <w:rPr>
                <w:b/>
                <w:color w:val="3f3f3f"/>
                <w:spacing w:val="-4"/>
                <w:sz w:val="24"/>
              </w:rPr>
              <w:t xml:space="preserve">мест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blPrEx/>
        <w:trPr>
          <w:trHeight w:val="516"/>
        </w:trPr>
        <w:tc>
          <w:tcPr>
            <w:gridSpan w:val="4"/>
            <w:tcW w:w="10327" w:type="dxa"/>
            <w:textDirection w:val="lrTb"/>
            <w:noWrap w:val="false"/>
          </w:tcPr>
          <w:p>
            <w:pPr>
              <w:pStyle w:val="852"/>
              <w:ind w:left="54" w:right="18"/>
              <w:jc w:val="center"/>
              <w:spacing w:before="108"/>
              <w:rPr>
                <w:b/>
                <w:sz w:val="22"/>
              </w:rPr>
            </w:pPr>
            <w:r>
              <w:rPr>
                <w:b/>
                <w:color w:val="3f3f3f"/>
                <w:sz w:val="22"/>
              </w:rPr>
              <w:t xml:space="preserve">Название</w:t>
            </w:r>
            <w:r>
              <w:rPr>
                <w:b/>
                <w:color w:val="3f3f3f"/>
                <w:spacing w:val="6"/>
                <w:sz w:val="22"/>
              </w:rPr>
              <w:t xml:space="preserve"> </w:t>
            </w:r>
            <w:r>
              <w:rPr>
                <w:b/>
                <w:color w:val="3f3f3f"/>
                <w:sz w:val="22"/>
              </w:rPr>
              <w:t xml:space="preserve">управления,</w:t>
            </w:r>
            <w:r>
              <w:rPr>
                <w:b/>
                <w:color w:val="3f3f3f"/>
                <w:spacing w:val="11"/>
                <w:sz w:val="22"/>
              </w:rPr>
              <w:t xml:space="preserve"> </w:t>
            </w:r>
            <w:r>
              <w:rPr>
                <w:b/>
                <w:color w:val="3f3f3f"/>
                <w:sz w:val="22"/>
              </w:rPr>
              <w:t xml:space="preserve">отдела,</w:t>
            </w:r>
            <w:r>
              <w:rPr>
                <w:b/>
                <w:color w:val="3f3f3f"/>
                <w:spacing w:val="9"/>
                <w:sz w:val="22"/>
              </w:rPr>
              <w:t xml:space="preserve"> </w:t>
            </w:r>
            <w:r>
              <w:rPr>
                <w:b/>
                <w:color w:val="3f3f3f"/>
                <w:sz w:val="22"/>
              </w:rPr>
              <w:t xml:space="preserve">корпуса,</w:t>
            </w:r>
            <w:r>
              <w:rPr>
                <w:b/>
                <w:color w:val="3f3f3f"/>
                <w:spacing w:val="-1"/>
                <w:sz w:val="22"/>
              </w:rPr>
              <w:t xml:space="preserve"> </w:t>
            </w:r>
            <w:r>
              <w:rPr>
                <w:b/>
                <w:color w:val="3f3f3f"/>
                <w:sz w:val="22"/>
              </w:rPr>
              <w:t xml:space="preserve">сектора,</w:t>
            </w:r>
            <w:r>
              <w:rPr>
                <w:b/>
                <w:color w:val="3f3f3f"/>
                <w:spacing w:val="-1"/>
                <w:sz w:val="22"/>
              </w:rPr>
              <w:t xml:space="preserve"> </w:t>
            </w:r>
            <w:r>
              <w:rPr>
                <w:b/>
                <w:color w:val="3f3f3f"/>
                <w:sz w:val="22"/>
              </w:rPr>
              <w:t xml:space="preserve">участка</w:t>
            </w:r>
            <w:r>
              <w:rPr>
                <w:b/>
                <w:color w:val="3f3f3f"/>
                <w:spacing w:val="13"/>
                <w:sz w:val="22"/>
              </w:rPr>
              <w:t xml:space="preserve"> </w:t>
            </w:r>
            <w:r>
              <w:rPr>
                <w:b/>
                <w:color w:val="3f3f3f"/>
                <w:sz w:val="22"/>
              </w:rPr>
              <w:t xml:space="preserve">и</w:t>
            </w:r>
            <w:r>
              <w:rPr>
                <w:b/>
                <w:color w:val="3f3f3f"/>
                <w:spacing w:val="8"/>
                <w:sz w:val="22"/>
              </w:rPr>
              <w:t xml:space="preserve"> </w:t>
            </w:r>
            <w:r>
              <w:rPr>
                <w:b/>
                <w:color w:val="3f3f3f"/>
                <w:spacing w:val="-5"/>
                <w:sz w:val="22"/>
              </w:rPr>
              <w:t xml:space="preserve">др.</w:t>
            </w:r>
            <w:r>
              <w:rPr>
                <w:b/>
                <w:sz w:val="22"/>
              </w:rPr>
            </w:r>
            <w:r>
              <w:rPr>
                <w:b/>
                <w:sz w:val="22"/>
              </w:rPr>
            </w:r>
          </w:p>
        </w:tc>
      </w:tr>
      <w:tr>
        <w:tblPrEx/>
        <w:trPr>
          <w:trHeight w:val="557"/>
        </w:trPr>
        <w:tc>
          <w:tcPr>
            <w:gridSpan w:val="4"/>
            <w:tcBorders>
              <w:bottom w:val="single" w:color="000000" w:sz="4" w:space="0"/>
            </w:tcBorders>
            <w:tcW w:w="10327" w:type="dxa"/>
            <w:textDirection w:val="lrTb"/>
            <w:noWrap w:val="false"/>
          </w:tcPr>
          <w:p>
            <w:pPr>
              <w:pStyle w:val="852"/>
              <w:ind w:left="54"/>
              <w:jc w:val="center"/>
              <w:spacing w:before="116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Центр</w:t>
            </w:r>
            <w:r>
              <w:rPr>
                <w:b/>
                <w:bCs/>
                <w:spacing w:val="-5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образования</w:t>
            </w:r>
            <w:r>
              <w:rPr>
                <w:b/>
                <w:bCs/>
                <w:spacing w:val="-4"/>
                <w:sz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</w:rPr>
              <w:t xml:space="preserve">«Солнечный»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</w:tr>
      <w:tr>
        <w:tblPrEx/>
        <w:trPr>
          <w:trHeight w:val="33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0" w:right="78"/>
              <w:jc w:val="left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jc w:val="left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Начальник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0" w:right="78"/>
              <w:jc w:val="left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jc w:val="left"/>
              <w:spacing w:before="6" w:line="230" w:lineRule="auto"/>
              <w:rPr>
                <w:sz w:val="24"/>
              </w:rPr>
            </w:pPr>
            <w:r>
              <w:rPr>
                <w:sz w:val="24"/>
              </w:rPr>
              <w:t xml:space="preserve">Заместитель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начальника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по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реализации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програ</w:t>
            </w:r>
            <w:r>
              <w:rPr>
                <w:sz w:val="24"/>
              </w:rPr>
              <w:t xml:space="preserve">мм</w:t>
            </w:r>
            <w:r>
              <w:rPr>
                <w:sz w:val="24"/>
              </w:rPr>
              <w:t xml:space="preserve"> дополнительного образования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0" w:right="78"/>
              <w:jc w:val="left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3.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jc w:val="left"/>
              <w:spacing w:before="6" w:line="230" w:lineRule="auto"/>
              <w:rPr>
                <w:sz w:val="24"/>
              </w:rPr>
            </w:pPr>
            <w:r>
              <w:rPr>
                <w:sz w:val="24"/>
              </w:rPr>
              <w:t xml:space="preserve">Заместитель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начальника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по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реализации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програ</w:t>
            </w:r>
            <w:r>
              <w:rPr>
                <w:sz w:val="24"/>
              </w:rPr>
              <w:t xml:space="preserve">мм</w:t>
            </w:r>
            <w:r>
              <w:rPr>
                <w:sz w:val="24"/>
              </w:rPr>
              <w:t xml:space="preserve"> общего образования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0" w:right="78"/>
              <w:jc w:val="left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4.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ind w:left="7"/>
              <w:jc w:val="left"/>
              <w:spacing w:before="5"/>
              <w:rPr>
                <w:sz w:val="22"/>
              </w:rPr>
            </w:pPr>
            <w:r>
              <w:rPr>
                <w:sz w:val="22"/>
              </w:rPr>
              <w:t xml:space="preserve">Заместитель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начальника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по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воспитательной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работе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–</w:t>
            </w:r>
            <w:r>
              <w:rPr>
                <w:sz w:val="22"/>
              </w:rPr>
              <w:t xml:space="preserve">начальник детского лагеря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03"/>
              <w:jc w:val="right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0" w:right="78"/>
              <w:jc w:val="left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5.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ind w:left="7"/>
              <w:jc w:val="left"/>
              <w:spacing w:before="5"/>
              <w:rPr>
                <w:sz w:val="22"/>
              </w:rPr>
            </w:pPr>
            <w:r>
              <w:rPr>
                <w:sz w:val="22"/>
              </w:rPr>
              <w:t xml:space="preserve">Заместитель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начальника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по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административно</w:t>
            </w:r>
            <w:r>
              <w:rPr>
                <w:sz w:val="22"/>
              </w:rPr>
              <w:t xml:space="preserve">-</w:t>
            </w:r>
            <w:r>
              <w:rPr>
                <w:sz w:val="22"/>
              </w:rPr>
              <w:t xml:space="preserve">хозяйственной части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0" w:right="78"/>
              <w:jc w:val="left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6.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jc w:val="left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Сестра-хозяйка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0" w:right="78"/>
              <w:jc w:val="left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7.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jc w:val="left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Ведущий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специалист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документоведению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630"/>
        </w:trPr>
        <w:tc>
          <w:tcPr>
            <w:gridSpan w:val="2"/>
            <w:tcBorders>
              <w:top w:val="single" w:color="000000" w:sz="4" w:space="0"/>
              <w:bottom w:val="single" w:color="000000" w:sz="4" w:space="0"/>
            </w:tcBorders>
            <w:tcW w:w="5932" w:type="dxa"/>
            <w:textDirection w:val="lrTb"/>
            <w:noWrap w:val="false"/>
          </w:tcPr>
          <w:p>
            <w:pPr>
              <w:pStyle w:val="852"/>
              <w:jc w:val="left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Всего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52"/>
              <w:jc w:val="left"/>
              <w:spacing w:before="3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штатных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единиц,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аналогичных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рабочих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мест: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59"/>
              <w:jc w:val="center"/>
              <w:spacing w:before="15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8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12"/>
              <w:jc w:val="right"/>
              <w:spacing w:before="15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0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blPrEx/>
        <w:trPr>
          <w:trHeight w:val="630"/>
        </w:trPr>
        <w:tc>
          <w:tcPr>
            <w:gridSpan w:val="4"/>
            <w:tcBorders>
              <w:top w:val="single" w:color="000000" w:sz="4" w:space="0"/>
              <w:bottom w:val="single" w:color="000000" w:sz="4" w:space="0"/>
            </w:tcBorders>
            <w:tcW w:w="10327" w:type="dxa"/>
            <w:textDirection w:val="lrTb"/>
            <w:noWrap w:val="false"/>
          </w:tcPr>
          <w:p>
            <w:pPr>
              <w:pStyle w:val="852"/>
              <w:ind w:left="54" w:right="10"/>
              <w:jc w:val="center"/>
              <w:spacing w:before="159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Детский</w:t>
            </w:r>
            <w:r>
              <w:rPr>
                <w:b/>
                <w:bCs/>
                <w:spacing w:val="-3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лагерь</w:t>
            </w:r>
            <w:r>
              <w:rPr>
                <w:b/>
                <w:bCs/>
                <w:spacing w:val="-3"/>
                <w:sz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</w:rPr>
              <w:t xml:space="preserve">«Восточный»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73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Заместитель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начальника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детского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лагеря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по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52"/>
              <w:spacing w:before="6" w:line="271" w:lineRule="exact"/>
              <w:rPr>
                <w:sz w:val="24"/>
              </w:rPr>
            </w:pPr>
            <w:r>
              <w:rPr>
                <w:sz w:val="24"/>
              </w:rPr>
              <w:t xml:space="preserve">педагогической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работе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08"/>
              <w:jc w:val="right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73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Заместитель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начальника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детского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лагеря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по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52"/>
              <w:spacing w:before="6" w:line="271" w:lineRule="exact"/>
              <w:rPr>
                <w:sz w:val="24"/>
              </w:rPr>
            </w:pPr>
            <w:r>
              <w:rPr>
                <w:sz w:val="24"/>
              </w:rPr>
              <w:t xml:space="preserve">организационно-методической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работе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73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3.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Методист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73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4.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Воспитатель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8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8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73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5.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Вожатый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080"/>
              <w:jc w:val="right"/>
              <w:spacing w:before="5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73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6.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Педагог-организатор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7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7.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Музыкальный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руководитель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6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73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8.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Инструктор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физической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культуре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7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9.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Эвакуатор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(детей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подростков)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96" w:type="dxa"/>
            <w:textDirection w:val="lrTb"/>
            <w:noWrap w:val="false"/>
          </w:tcPr>
          <w:p>
            <w:pPr>
              <w:pStyle w:val="852"/>
              <w:ind w:left="1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3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Звукооператор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0" w:right="1130"/>
              <w:jc w:val="right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852"/>
        <w:jc w:val="right"/>
        <w:spacing w:after="0"/>
        <w:rPr>
          <w:sz w:val="24"/>
        </w:rPr>
        <w:sectPr>
          <w:footnotePr/>
          <w:endnotePr/>
          <w:type w:val="nextPage"/>
          <w:pgSz w:w="11910" w:h="16850" w:orient="portrait"/>
          <w:pgMar w:top="1200" w:right="566" w:bottom="280" w:left="992" w:header="709" w:footer="709" w:gutter="0"/>
          <w:cols w:num="1" w:sep="0" w:space="1701" w:equalWidth="1"/>
          <w:docGrid w:linePitch="360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tbl>
      <w:tblPr>
        <w:tblW w:w="0" w:type="auto"/>
        <w:tblInd w:w="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top w:w="0" w:type="dxa"/>
          <w:right w:w="0" w:type="dxa"/>
          <w:bottom w:w="0" w:type="dxa"/>
        </w:tblCellMar>
        <w:tblLook w:val="01E0" w:firstRow="1" w:lastRow="1" w:firstColumn="1" w:lastColumn="1" w:noHBand="0" w:noVBand="0"/>
      </w:tblPr>
      <w:tblGrid>
        <w:gridCol w:w="546"/>
        <w:gridCol w:w="5386"/>
        <w:gridCol w:w="1985"/>
        <w:gridCol w:w="2410"/>
      </w:tblGrid>
      <w:tr>
        <w:tblPrEx/>
        <w:trPr>
          <w:trHeight w:val="570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1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11.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Фотокорреспондент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1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Кладовщик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1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13.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Дежурный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по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корпусу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8"/>
        </w:trPr>
        <w:tc>
          <w:tcPr>
            <w:gridSpan w:val="2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5932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Всего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52"/>
              <w:spacing w:before="37" w:line="24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штатных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единиц,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аналогичных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рабочих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мест: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59" w:right="14"/>
              <w:jc w:val="center"/>
              <w:spacing w:before="1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35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left w:val="single" w:color="000000" w:sz="6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15"/>
              <w:jc w:val="center"/>
              <w:spacing w:before="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21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  <w:tr>
        <w:tblPrEx/>
        <w:trPr>
          <w:trHeight w:val="572"/>
        </w:trPr>
        <w:tc>
          <w:tcPr>
            <w:gridSpan w:val="4"/>
            <w:tcBorders>
              <w:top w:val="single" w:color="000000" w:sz="6" w:space="0"/>
            </w:tcBorders>
            <w:tcW w:w="10327" w:type="dxa"/>
            <w:vAlign w:val="center"/>
            <w:textDirection w:val="lrTb"/>
            <w:noWrap w:val="false"/>
          </w:tcPr>
          <w:p>
            <w:pPr>
              <w:pStyle w:val="852"/>
              <w:ind w:left="13"/>
              <w:jc w:val="center"/>
              <w:spacing w:before="7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Детский</w:t>
            </w:r>
            <w:r>
              <w:rPr>
                <w:b/>
                <w:bCs/>
                <w:spacing w:val="-3"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лагерь</w:t>
            </w:r>
            <w:r>
              <w:rPr>
                <w:b/>
                <w:bCs/>
                <w:spacing w:val="-3"/>
                <w:sz w:val="24"/>
              </w:rPr>
              <w:t xml:space="preserve"> </w:t>
            </w:r>
            <w:r>
              <w:rPr>
                <w:b/>
                <w:bCs/>
                <w:spacing w:val="-2"/>
                <w:sz w:val="24"/>
              </w:rPr>
              <w:t xml:space="preserve">«Западный»</w:t>
            </w:r>
            <w:r>
              <w:rPr>
                <w:b/>
                <w:bCs/>
                <w:sz w:val="24"/>
              </w:rPr>
            </w:r>
            <w:r>
              <w:rPr>
                <w:b/>
                <w:bCs/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73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Заместитель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начальника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детского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лагеря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по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52"/>
              <w:spacing w:before="6" w:line="271" w:lineRule="exact"/>
              <w:rPr>
                <w:sz w:val="24"/>
              </w:rPr>
            </w:pPr>
            <w:r>
              <w:rPr>
                <w:sz w:val="24"/>
              </w:rPr>
              <w:t xml:space="preserve">педагогической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работе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73"/>
              <w:spacing w:before="114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Заместитель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начальника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детского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лагеря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по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52"/>
              <w:spacing w:before="6" w:line="271" w:lineRule="exact"/>
              <w:rPr>
                <w:sz w:val="24"/>
              </w:rPr>
            </w:pPr>
            <w:r>
              <w:rPr>
                <w:sz w:val="24"/>
              </w:rPr>
              <w:t xml:space="preserve">организационно-методической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работе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before="1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73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3.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Методист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73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4.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Воспитатель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8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8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73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5.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Вожатый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12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>
          <w:trHeight w:val="570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73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6.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Педагог-организатор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70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7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7.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Музыкальный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руководитель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31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73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8.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Инструктор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по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физической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культуре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53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7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9.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Эвакуатор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(детей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подростков)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46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1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Звукооператор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68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1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11.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Фотокорреспондент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63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1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12.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Кладовщик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42"/>
        </w:trPr>
        <w:tc>
          <w:tcPr>
            <w:tcW w:w="546" w:type="dxa"/>
            <w:textDirection w:val="lrTb"/>
            <w:noWrap w:val="false"/>
          </w:tcPr>
          <w:p>
            <w:pPr>
              <w:pStyle w:val="852"/>
              <w:ind w:left="17"/>
              <w:spacing w:before="9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13.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5386" w:type="dxa"/>
            <w:textDirection w:val="lrTb"/>
            <w:noWrap w:val="false"/>
          </w:tcPr>
          <w:p>
            <w:pPr>
              <w:pStyle w:val="852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 xml:space="preserve">Дежурный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по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корпусу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1985" w:type="dxa"/>
            <w:textDirection w:val="lrTb"/>
            <w:noWrap w:val="false"/>
          </w:tcPr>
          <w:p>
            <w:pPr>
              <w:pStyle w:val="852"/>
              <w:ind w:left="69" w:right="10"/>
              <w:jc w:val="center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W w:w="2410" w:type="dxa"/>
            <w:textDirection w:val="lrTb"/>
            <w:noWrap w:val="false"/>
          </w:tcPr>
          <w:p>
            <w:pPr>
              <w:pStyle w:val="852"/>
              <w:ind w:left="59" w:right="45"/>
              <w:jc w:val="center"/>
              <w:spacing w:before="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  <w:tr>
        <w:tblPrEx/>
        <w:trPr>
          <w:trHeight w:val="539"/>
        </w:trPr>
        <w:tc>
          <w:tcPr>
            <w:gridSpan w:val="2"/>
            <w:tcBorders>
              <w:right w:val="single" w:color="000000" w:sz="6" w:space="0"/>
            </w:tcBorders>
            <w:tcW w:w="5932" w:type="dxa"/>
            <w:textDirection w:val="lrTb"/>
            <w:noWrap w:val="false"/>
          </w:tcPr>
          <w:p>
            <w:pPr>
              <w:pStyle w:val="852"/>
              <w:ind w:left="7"/>
              <w:spacing w:before="5" w:line="272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Всего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52"/>
              <w:spacing w:line="24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штатных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единиц,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аналогичных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рабочих</w:t>
            </w:r>
            <w:r>
              <w:rPr>
                <w:b/>
                <w:spacing w:val="-2"/>
                <w:sz w:val="24"/>
              </w:rPr>
              <w:t xml:space="preserve"> мест: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1985" w:type="dxa"/>
            <w:textDirection w:val="lrTb"/>
            <w:noWrap w:val="false"/>
          </w:tcPr>
          <w:p>
            <w:pPr>
              <w:pStyle w:val="852"/>
              <w:ind w:left="59"/>
              <w:jc w:val="center"/>
              <w:spacing w:before="1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35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2410" w:type="dxa"/>
            <w:textDirection w:val="lrTb"/>
            <w:noWrap w:val="false"/>
          </w:tcPr>
          <w:p>
            <w:pPr>
              <w:pStyle w:val="852"/>
              <w:ind w:left="45"/>
              <w:jc w:val="center"/>
              <w:spacing w:before="1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21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</w:tc>
      </w:tr>
    </w:tbl>
    <w:p>
      <w:r/>
      <w:r/>
    </w:p>
    <w:sectPr>
      <w:footnotePr/>
      <w:endnotePr/>
      <w:type w:val="continuous"/>
      <w:pgSz w:w="11910" w:h="16850" w:orient="portrait"/>
      <w:pgMar w:top="1160" w:right="566" w:bottom="280" w:left="992" w:header="709" w:footer="709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NTHelvetica/Cyrillic">
    <w:panose1 w:val="05050102010205020202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contextualSpacing w:val="0"/>
        <w:ind w:left="72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Symbol" w:hAnsi="Symbol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contextualSpacing w:val="0"/>
        <w:ind w:left="144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alibri" w:hAnsi="Calibri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  <w:lang w:val="ru-RU" w:eastAsia="zh-CN" w:bidi="ar-SA"/>
      </w:rPr>
    </w:lvl>
    <w:lvl w:ilvl="2">
      <w:start w:val="1"/>
      <w:numFmt w:val="bullet"/>
      <w:isLgl w:val="false"/>
      <w:suff w:val="tab"/>
      <w:lvlText w:val=""/>
      <w:lvlJc w:val="left"/>
      <w:pPr>
        <w:contextualSpacing w:val="0"/>
        <w:ind w:left="216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"/>
      <w:lvlJc w:val="left"/>
      <w:pPr>
        <w:contextualSpacing w:val="0"/>
        <w:ind w:left="288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"/>
      <w:lvlJc w:val="left"/>
      <w:pPr>
        <w:contextualSpacing w:val="0"/>
        <w:ind w:left="360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"/>
      <w:lvlJc w:val="left"/>
      <w:pPr>
        <w:contextualSpacing w:val="0"/>
        <w:ind w:left="432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"/>
      <w:lvlJc w:val="left"/>
      <w:pPr>
        <w:contextualSpacing w:val="0"/>
        <w:ind w:left="504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"/>
      <w:lvlJc w:val="left"/>
      <w:pPr>
        <w:contextualSpacing w:val="0"/>
        <w:ind w:left="576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"/>
      <w:lvlJc w:val="left"/>
      <w:pPr>
        <w:contextualSpacing w:val="0"/>
        <w:ind w:left="648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contextualSpacing w:val="0"/>
        <w:ind w:left="72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Symbol" w:hAnsi="Symbol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contextualSpacing w:val="0"/>
        <w:ind w:left="144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ourier New" w:hAnsi="Courier New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"/>
      <w:lvlJc w:val="left"/>
      <w:pPr>
        <w:contextualSpacing w:val="0"/>
        <w:ind w:left="216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"/>
      <w:lvlJc w:val="left"/>
      <w:pPr>
        <w:contextualSpacing w:val="0"/>
        <w:ind w:left="288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"/>
      <w:lvlJc w:val="left"/>
      <w:pPr>
        <w:contextualSpacing w:val="0"/>
        <w:ind w:left="360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"/>
      <w:lvlJc w:val="left"/>
      <w:pPr>
        <w:contextualSpacing w:val="0"/>
        <w:ind w:left="432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"/>
      <w:lvlJc w:val="left"/>
      <w:pPr>
        <w:contextualSpacing w:val="0"/>
        <w:ind w:left="504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"/>
      <w:lvlJc w:val="left"/>
      <w:pPr>
        <w:contextualSpacing w:val="0"/>
        <w:ind w:left="576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"/>
      <w:lvlJc w:val="left"/>
      <w:pPr>
        <w:contextualSpacing w:val="0"/>
        <w:ind w:left="648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contextualSpacing w:val="0"/>
        <w:ind w:left="90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alibri" w:hAnsi="Calibri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  <w:lang w:val="ru-RU" w:eastAsia="zh-CN" w:bidi="ar-SA"/>
      </w:rPr>
    </w:lvl>
    <w:lvl w:ilvl="1">
      <w:start w:val="0"/>
      <w:numFmt w:val="decimal"/>
      <w:isLgl w:val="false"/>
      <w:suff w:val="tab"/>
      <w:lvlText w:val=""/>
      <w:lvlJc w:val="left"/>
      <w:pPr>
        <w:contextualSpacing w:val="0"/>
        <w:ind w:left="0" w:right="0" w:firstLine="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alibri" w:hAnsi="Calibri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  <w:lang w:val="ru-RU" w:eastAsia="zh-CN" w:bidi="ar-SA"/>
      </w:rPr>
    </w:lvl>
    <w:lvl w:ilvl="2">
      <w:start w:val="0"/>
      <w:numFmt w:val="decimal"/>
      <w:isLgl w:val="false"/>
      <w:suff w:val="tab"/>
      <w:lvlText w:val=""/>
      <w:lvlJc w:val="left"/>
      <w:pPr>
        <w:contextualSpacing w:val="0"/>
        <w:ind w:left="0" w:right="0" w:firstLine="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alibri" w:hAnsi="Calibri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  <w:lang w:val="ru-RU" w:eastAsia="zh-CN" w:bidi="ar-SA"/>
      </w:rPr>
    </w:lvl>
    <w:lvl w:ilvl="3">
      <w:start w:val="0"/>
      <w:numFmt w:val="decimal"/>
      <w:isLgl w:val="false"/>
      <w:suff w:val="tab"/>
      <w:lvlText w:val=""/>
      <w:lvlJc w:val="left"/>
      <w:pPr>
        <w:contextualSpacing w:val="0"/>
        <w:ind w:left="0" w:right="0" w:firstLine="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alibri" w:hAnsi="Calibri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  <w:lang w:val="ru-RU" w:eastAsia="zh-CN" w:bidi="ar-SA"/>
      </w:rPr>
    </w:lvl>
    <w:lvl w:ilvl="4">
      <w:start w:val="0"/>
      <w:numFmt w:val="decimal"/>
      <w:isLgl w:val="false"/>
      <w:suff w:val="tab"/>
      <w:lvlText w:val=""/>
      <w:lvlJc w:val="left"/>
      <w:pPr>
        <w:contextualSpacing w:val="0"/>
        <w:ind w:left="0" w:right="0" w:firstLine="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alibri" w:hAnsi="Calibri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  <w:lang w:val="ru-RU" w:eastAsia="zh-CN" w:bidi="ar-SA"/>
      </w:rPr>
    </w:lvl>
    <w:lvl w:ilvl="5">
      <w:start w:val="0"/>
      <w:numFmt w:val="decimal"/>
      <w:isLgl w:val="false"/>
      <w:suff w:val="tab"/>
      <w:lvlText w:val=""/>
      <w:lvlJc w:val="left"/>
      <w:pPr>
        <w:contextualSpacing w:val="0"/>
        <w:ind w:left="0" w:right="0" w:firstLine="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alibri" w:hAnsi="Calibri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  <w:lang w:val="ru-RU" w:eastAsia="zh-CN" w:bidi="ar-SA"/>
      </w:rPr>
    </w:lvl>
    <w:lvl w:ilvl="6">
      <w:start w:val="0"/>
      <w:numFmt w:val="decimal"/>
      <w:isLgl w:val="false"/>
      <w:suff w:val="tab"/>
      <w:lvlText w:val=""/>
      <w:lvlJc w:val="left"/>
      <w:pPr>
        <w:contextualSpacing w:val="0"/>
        <w:ind w:left="0" w:right="0" w:firstLine="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alibri" w:hAnsi="Calibri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  <w:lang w:val="ru-RU" w:eastAsia="zh-CN" w:bidi="ar-SA"/>
      </w:rPr>
    </w:lvl>
    <w:lvl w:ilvl="7">
      <w:start w:val="0"/>
      <w:numFmt w:val="decimal"/>
      <w:isLgl w:val="false"/>
      <w:suff w:val="tab"/>
      <w:lvlText w:val=""/>
      <w:lvlJc w:val="left"/>
      <w:pPr>
        <w:contextualSpacing w:val="0"/>
        <w:ind w:left="0" w:right="0" w:firstLine="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alibri" w:hAnsi="Calibri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  <w:lang w:val="ru-RU" w:eastAsia="zh-CN" w:bidi="ar-SA"/>
      </w:rPr>
    </w:lvl>
    <w:lvl w:ilvl="8">
      <w:start w:val="0"/>
      <w:numFmt w:val="decimal"/>
      <w:isLgl w:val="false"/>
      <w:suff w:val="tab"/>
      <w:lvlText w:val=""/>
      <w:lvlJc w:val="left"/>
      <w:pPr>
        <w:contextualSpacing w:val="0"/>
        <w:ind w:left="0" w:right="0" w:firstLine="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alibri" w:hAnsi="Calibri"/>
        <w:b w:val="0"/>
        <w:i w:val="0"/>
        <w:caps w:val="0"/>
        <w:strike w:val="0"/>
        <w:vanish w:val="0"/>
        <w:color w:val="auto"/>
        <w:sz w:val="20"/>
        <w:u w:val="none"/>
        <w:shd w:val="clear" w:color="auto" w:fill="auto"/>
        <w:vertAlign w:val="baseline"/>
        <w:lang w:val="ru-RU" w:eastAsia="zh-CN" w:bidi="ar-SA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contextualSpacing w:val="0"/>
        <w:ind w:left="108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Symbol" w:hAnsi="Symbol"/>
        <w:b w:val="0"/>
        <w:i w:val="0"/>
        <w:caps w:val="0"/>
        <w:strike w:val="0"/>
        <w:vanish w:val="0"/>
        <w:color w:val="auto"/>
        <w:sz w:val="22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contextualSpacing w:val="0"/>
        <w:ind w:left="180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ourier New" w:hAnsi="Courier New"/>
        <w:b w:val="0"/>
        <w:i w:val="0"/>
        <w:caps w:val="0"/>
        <w:strike w:val="0"/>
        <w:vanish w:val="0"/>
        <w:color w:val="auto"/>
        <w:sz w:val="22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"/>
      <w:lvlJc w:val="left"/>
      <w:pPr>
        <w:contextualSpacing w:val="0"/>
        <w:ind w:left="252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2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"/>
      <w:lvlJc w:val="left"/>
      <w:pPr>
        <w:contextualSpacing w:val="0"/>
        <w:ind w:left="324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Symbol" w:hAnsi="Symbol"/>
        <w:b w:val="0"/>
        <w:i w:val="0"/>
        <w:caps w:val="0"/>
        <w:strike w:val="0"/>
        <w:vanish w:val="0"/>
        <w:color w:val="auto"/>
        <w:sz w:val="22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contextualSpacing w:val="0"/>
        <w:ind w:left="396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ourier New" w:hAnsi="Courier New"/>
        <w:b w:val="0"/>
        <w:i w:val="0"/>
        <w:caps w:val="0"/>
        <w:strike w:val="0"/>
        <w:vanish w:val="0"/>
        <w:color w:val="auto"/>
        <w:sz w:val="22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"/>
      <w:lvlJc w:val="left"/>
      <w:pPr>
        <w:contextualSpacing w:val="0"/>
        <w:ind w:left="468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2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"/>
      <w:lvlJc w:val="left"/>
      <w:pPr>
        <w:contextualSpacing w:val="0"/>
        <w:ind w:left="540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Symbol" w:hAnsi="Symbol"/>
        <w:b w:val="0"/>
        <w:i w:val="0"/>
        <w:caps w:val="0"/>
        <w:strike w:val="0"/>
        <w:vanish w:val="0"/>
        <w:color w:val="auto"/>
        <w:sz w:val="22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contextualSpacing w:val="0"/>
        <w:ind w:left="612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Courier New" w:hAnsi="Courier New"/>
        <w:b w:val="0"/>
        <w:i w:val="0"/>
        <w:caps w:val="0"/>
        <w:strike w:val="0"/>
        <w:vanish w:val="0"/>
        <w:color w:val="auto"/>
        <w:sz w:val="22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"/>
      <w:lvlJc w:val="left"/>
      <w:pPr>
        <w:contextualSpacing w:val="0"/>
        <w:ind w:left="6840" w:right="0" w:hanging="360"/>
        <w:jc w:val="left"/>
        <w:keepLines w:val="0"/>
        <w:keepNext w:val="0"/>
        <w:spacing w:before="0" w:beforeAutospacing="0" w:after="0" w:afterAutospacing="0" w:line="240" w:lineRule="auto"/>
        <w:shd w:val="clear" w:color="auto" w:fill="auto"/>
        <w:widowControl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uppressLineNumbers w:val="0"/>
      </w:pPr>
      <w:rPr>
        <w:rFonts w:ascii="Wingdings" w:hAnsi="Wingdings"/>
        <w:b w:val="0"/>
        <w:i w:val="0"/>
        <w:caps w:val="0"/>
        <w:strike w:val="0"/>
        <w:vanish w:val="0"/>
        <w:color w:val="auto"/>
        <w:sz w:val="22"/>
        <w:u w:val="none"/>
        <w:shd w:val="clear" w:color="auto" w:fill="auto"/>
        <w:vertAlign w:val="baseline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1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3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4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14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934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654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74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94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14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534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254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74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off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8">
    <w:name w:val="Heading 1"/>
    <w:basedOn w:val="849"/>
    <w:next w:val="849"/>
    <w:link w:val="669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69">
    <w:name w:val="Heading 1 Char"/>
    <w:basedOn w:val="846"/>
    <w:link w:val="668"/>
    <w:uiPriority w:val="9"/>
    <w:rPr>
      <w:rFonts w:ascii="Arial" w:hAnsi="Arial" w:eastAsia="Arial" w:cs="Arial"/>
      <w:sz w:val="40"/>
      <w:szCs w:val="40"/>
    </w:rPr>
  </w:style>
  <w:style w:type="paragraph" w:styleId="670">
    <w:name w:val="Heading 2"/>
    <w:basedOn w:val="849"/>
    <w:next w:val="849"/>
    <w:link w:val="67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71">
    <w:name w:val="Heading 2 Char"/>
    <w:basedOn w:val="846"/>
    <w:link w:val="670"/>
    <w:uiPriority w:val="9"/>
    <w:rPr>
      <w:rFonts w:ascii="Arial" w:hAnsi="Arial" w:eastAsia="Arial" w:cs="Arial"/>
      <w:sz w:val="34"/>
    </w:rPr>
  </w:style>
  <w:style w:type="paragraph" w:styleId="672">
    <w:name w:val="Heading 3"/>
    <w:basedOn w:val="849"/>
    <w:next w:val="849"/>
    <w:link w:val="673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73">
    <w:name w:val="Heading 3 Char"/>
    <w:basedOn w:val="846"/>
    <w:link w:val="672"/>
    <w:uiPriority w:val="9"/>
    <w:rPr>
      <w:rFonts w:ascii="Arial" w:hAnsi="Arial" w:eastAsia="Arial" w:cs="Arial"/>
      <w:sz w:val="30"/>
      <w:szCs w:val="30"/>
    </w:rPr>
  </w:style>
  <w:style w:type="paragraph" w:styleId="674">
    <w:name w:val="Heading 4"/>
    <w:basedOn w:val="849"/>
    <w:next w:val="849"/>
    <w:link w:val="675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75">
    <w:name w:val="Heading 4 Char"/>
    <w:basedOn w:val="846"/>
    <w:link w:val="674"/>
    <w:uiPriority w:val="9"/>
    <w:rPr>
      <w:rFonts w:ascii="Arial" w:hAnsi="Arial" w:eastAsia="Arial" w:cs="Arial"/>
      <w:b/>
      <w:bCs/>
      <w:sz w:val="26"/>
      <w:szCs w:val="26"/>
    </w:rPr>
  </w:style>
  <w:style w:type="paragraph" w:styleId="676">
    <w:name w:val="Heading 5"/>
    <w:basedOn w:val="849"/>
    <w:next w:val="849"/>
    <w:link w:val="677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77">
    <w:name w:val="Heading 5 Char"/>
    <w:basedOn w:val="846"/>
    <w:link w:val="676"/>
    <w:uiPriority w:val="9"/>
    <w:rPr>
      <w:rFonts w:ascii="Arial" w:hAnsi="Arial" w:eastAsia="Arial" w:cs="Arial"/>
      <w:b/>
      <w:bCs/>
      <w:sz w:val="24"/>
      <w:szCs w:val="24"/>
    </w:rPr>
  </w:style>
  <w:style w:type="paragraph" w:styleId="678">
    <w:name w:val="Heading 6"/>
    <w:basedOn w:val="849"/>
    <w:next w:val="849"/>
    <w:link w:val="67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79">
    <w:name w:val="Heading 6 Char"/>
    <w:basedOn w:val="846"/>
    <w:link w:val="678"/>
    <w:uiPriority w:val="9"/>
    <w:rPr>
      <w:rFonts w:ascii="Arial" w:hAnsi="Arial" w:eastAsia="Arial" w:cs="Arial"/>
      <w:b/>
      <w:bCs/>
      <w:sz w:val="22"/>
      <w:szCs w:val="22"/>
    </w:rPr>
  </w:style>
  <w:style w:type="paragraph" w:styleId="680">
    <w:name w:val="Heading 7"/>
    <w:basedOn w:val="849"/>
    <w:next w:val="849"/>
    <w:link w:val="68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81">
    <w:name w:val="Heading 7 Char"/>
    <w:basedOn w:val="846"/>
    <w:link w:val="68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82">
    <w:name w:val="Heading 8"/>
    <w:basedOn w:val="849"/>
    <w:next w:val="849"/>
    <w:link w:val="68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83">
    <w:name w:val="Heading 8 Char"/>
    <w:basedOn w:val="846"/>
    <w:link w:val="682"/>
    <w:uiPriority w:val="9"/>
    <w:rPr>
      <w:rFonts w:ascii="Arial" w:hAnsi="Arial" w:eastAsia="Arial" w:cs="Arial"/>
      <w:i/>
      <w:iCs/>
      <w:sz w:val="22"/>
      <w:szCs w:val="22"/>
    </w:rPr>
  </w:style>
  <w:style w:type="paragraph" w:styleId="684">
    <w:name w:val="Heading 9"/>
    <w:basedOn w:val="849"/>
    <w:next w:val="849"/>
    <w:link w:val="68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85">
    <w:name w:val="Heading 9 Char"/>
    <w:basedOn w:val="846"/>
    <w:link w:val="684"/>
    <w:uiPriority w:val="9"/>
    <w:rPr>
      <w:rFonts w:ascii="Arial" w:hAnsi="Arial" w:eastAsia="Arial" w:cs="Arial"/>
      <w:i/>
      <w:iCs/>
      <w:sz w:val="21"/>
      <w:szCs w:val="21"/>
    </w:rPr>
  </w:style>
  <w:style w:type="table" w:styleId="686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687">
    <w:name w:val="No Spacing"/>
    <w:uiPriority w:val="1"/>
    <w:qFormat/>
    <w:pPr>
      <w:spacing w:before="0" w:after="0" w:line="240" w:lineRule="auto"/>
    </w:pPr>
  </w:style>
  <w:style w:type="paragraph" w:styleId="688">
    <w:name w:val="Title"/>
    <w:basedOn w:val="849"/>
    <w:next w:val="849"/>
    <w:link w:val="68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89">
    <w:name w:val="Title Char"/>
    <w:basedOn w:val="846"/>
    <w:link w:val="688"/>
    <w:uiPriority w:val="10"/>
    <w:rPr>
      <w:sz w:val="48"/>
      <w:szCs w:val="48"/>
    </w:rPr>
  </w:style>
  <w:style w:type="paragraph" w:styleId="690">
    <w:name w:val="Subtitle"/>
    <w:basedOn w:val="849"/>
    <w:next w:val="849"/>
    <w:link w:val="691"/>
    <w:uiPriority w:val="11"/>
    <w:qFormat/>
    <w:pPr>
      <w:spacing w:before="200" w:after="200"/>
    </w:pPr>
    <w:rPr>
      <w:sz w:val="24"/>
      <w:szCs w:val="24"/>
    </w:rPr>
  </w:style>
  <w:style w:type="character" w:styleId="691">
    <w:name w:val="Subtitle Char"/>
    <w:basedOn w:val="846"/>
    <w:link w:val="690"/>
    <w:uiPriority w:val="11"/>
    <w:rPr>
      <w:sz w:val="24"/>
      <w:szCs w:val="24"/>
    </w:rPr>
  </w:style>
  <w:style w:type="paragraph" w:styleId="692">
    <w:name w:val="Quote"/>
    <w:basedOn w:val="849"/>
    <w:next w:val="849"/>
    <w:link w:val="693"/>
    <w:uiPriority w:val="29"/>
    <w:qFormat/>
    <w:pPr>
      <w:ind w:left="720" w:right="720"/>
    </w:pPr>
    <w:rPr>
      <w:i/>
    </w:rPr>
  </w:style>
  <w:style w:type="character" w:styleId="693">
    <w:name w:val="Quote Char"/>
    <w:link w:val="692"/>
    <w:uiPriority w:val="29"/>
    <w:rPr>
      <w:i/>
    </w:rPr>
  </w:style>
  <w:style w:type="paragraph" w:styleId="694">
    <w:name w:val="Intense Quote"/>
    <w:basedOn w:val="849"/>
    <w:next w:val="849"/>
    <w:link w:val="695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95">
    <w:name w:val="Intense Quote Char"/>
    <w:link w:val="694"/>
    <w:uiPriority w:val="30"/>
    <w:rPr>
      <w:i/>
    </w:rPr>
  </w:style>
  <w:style w:type="paragraph" w:styleId="696">
    <w:name w:val="Header"/>
    <w:basedOn w:val="849"/>
    <w:link w:val="69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7">
    <w:name w:val="Header Char"/>
    <w:basedOn w:val="846"/>
    <w:link w:val="696"/>
    <w:uiPriority w:val="99"/>
  </w:style>
  <w:style w:type="paragraph" w:styleId="698">
    <w:name w:val="Footer"/>
    <w:basedOn w:val="849"/>
    <w:link w:val="69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99">
    <w:name w:val="Footer Char"/>
    <w:basedOn w:val="846"/>
    <w:link w:val="698"/>
    <w:uiPriority w:val="99"/>
  </w:style>
  <w:style w:type="paragraph" w:styleId="700">
    <w:name w:val="Caption"/>
    <w:basedOn w:val="849"/>
    <w:next w:val="849"/>
    <w:link w:val="70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1">
    <w:name w:val="Caption Char"/>
    <w:basedOn w:val="846"/>
    <w:link w:val="700"/>
    <w:uiPriority w:val="35"/>
    <w:rPr>
      <w:b/>
      <w:bCs/>
      <w:color w:val="4f81bd" w:themeColor="accent1"/>
      <w:sz w:val="18"/>
      <w:szCs w:val="18"/>
    </w:rPr>
  </w:style>
  <w:style w:type="table" w:styleId="702">
    <w:name w:val="Table Grid"/>
    <w:basedOn w:val="68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3">
    <w:name w:val="Table Grid Light"/>
    <w:basedOn w:val="6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04">
    <w:name w:val="Plain Table 1"/>
    <w:basedOn w:val="68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5">
    <w:name w:val="Plain Table 2"/>
    <w:basedOn w:val="68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06">
    <w:name w:val="Plain Table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07">
    <w:name w:val="Plain Table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8">
    <w:name w:val="Plain Table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09">
    <w:name w:val="Grid Table 1 Light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0">
    <w:name w:val="Grid Table 1 Light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1">
    <w:name w:val="Grid Table 1 Light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2">
    <w:name w:val="Grid Table 1 Light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3">
    <w:name w:val="Grid Table 1 Light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4">
    <w:name w:val="Grid Table 1 Light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Grid Table 1 Light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6">
    <w:name w:val="Grid Table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2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2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2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0">
    <w:name w:val="Grid Table 2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1">
    <w:name w:val="Grid Table 2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2">
    <w:name w:val="Grid Table 2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3">
    <w:name w:val="Grid Table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3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3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3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3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3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3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4"/>
    <w:basedOn w:val="6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1">
    <w:name w:val="Grid Table 4 - Accent 1"/>
    <w:basedOn w:val="6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2">
    <w:name w:val="Grid Table 4 - Accent 2"/>
    <w:basedOn w:val="6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33">
    <w:name w:val="Grid Table 4 - Accent 3"/>
    <w:basedOn w:val="6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34">
    <w:name w:val="Grid Table 4 - Accent 4"/>
    <w:basedOn w:val="6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35">
    <w:name w:val="Grid Table 4 - Accent 5"/>
    <w:basedOn w:val="6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36">
    <w:name w:val="Grid Table 4 - Accent 6"/>
    <w:basedOn w:val="68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37">
    <w:name w:val="Grid Table 5 Dark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38">
    <w:name w:val="Grid Table 5 Dark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39">
    <w:name w:val="Grid Table 5 Dark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0">
    <w:name w:val="Grid Table 5 Dark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1">
    <w:name w:val="Grid Table 5 Dark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42">
    <w:name w:val="Grid Table 5 Dark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43">
    <w:name w:val="Grid Table 5 Dark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44">
    <w:name w:val="Grid Table 6 Colorful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45">
    <w:name w:val="Grid Table 6 Colorful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46">
    <w:name w:val="Grid Table 6 Colorful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47">
    <w:name w:val="Grid Table 6 Colorful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48">
    <w:name w:val="Grid Table 6 Colorful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49">
    <w:name w:val="Grid Table 6 Colorful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0">
    <w:name w:val="Grid Table 6 Colorful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1">
    <w:name w:val="Grid Table 7 Colorful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7 Colorful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Grid Table 7 Colorful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Grid Table 7 Colorful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>
    <w:name w:val="Grid Table 7 Colorful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>
    <w:name w:val="Grid Table 7 Colorful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7">
    <w:name w:val="Grid Table 7 Colorful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8">
    <w:name w:val="List Table 1 Light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List Table 1 Light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List Table 1 Light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List Table 1 Light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List Table 1 Light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List Table 1 Light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List Table 1 Light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66">
    <w:name w:val="List Table 2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67">
    <w:name w:val="List Table 2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68">
    <w:name w:val="List Table 2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69">
    <w:name w:val="List Table 2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0">
    <w:name w:val="List Table 2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1">
    <w:name w:val="List Table 2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2">
    <w:name w:val="List Table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3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3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3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List Table 3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>
    <w:name w:val="List Table 3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>
    <w:name w:val="List Table 3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>
    <w:name w:val="List Table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4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4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4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4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4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5 Dark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7">
    <w:name w:val="List Table 5 Dark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8">
    <w:name w:val="List Table 5 Dark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9">
    <w:name w:val="List Table 5 Dark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0">
    <w:name w:val="List Table 5 Dark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1">
    <w:name w:val="List Table 5 Dark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2">
    <w:name w:val="List Table 5 Dark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3">
    <w:name w:val="List Table 6 Colorful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94">
    <w:name w:val="List Table 6 Colorful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95">
    <w:name w:val="List Table 6 Colorful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96">
    <w:name w:val="List Table 6 Colorful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97">
    <w:name w:val="List Table 6 Colorful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98">
    <w:name w:val="List Table 6 Colorful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99">
    <w:name w:val="List Table 6 Colorful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0">
    <w:name w:val="List Table 7 Colorful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1">
    <w:name w:val="List Table 7 Colorful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02">
    <w:name w:val="List Table 7 Colorful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03">
    <w:name w:val="List Table 7 Colorful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04">
    <w:name w:val="List Table 7 Colorful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05">
    <w:name w:val="List Table 7 Colorful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06">
    <w:name w:val="List Table 7 Colorful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07">
    <w:name w:val="Lined - Accent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8">
    <w:name w:val="Lined - Accent 1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9">
    <w:name w:val="Lined - Accent 2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0">
    <w:name w:val="Lined - Accent 3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1">
    <w:name w:val="Lined - Accent 4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2">
    <w:name w:val="Lined - Accent 5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13">
    <w:name w:val="Lined - Accent 6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14">
    <w:name w:val="Bordered &amp; Lined - Accent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5">
    <w:name w:val="Bordered &amp; Lined - Accent 1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6">
    <w:name w:val="Bordered &amp; Lined - Accent 2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7">
    <w:name w:val="Bordered &amp; Lined - Accent 3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8">
    <w:name w:val="Bordered &amp; Lined - Accent 4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9">
    <w:name w:val="Bordered &amp; Lined - Accent 5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0">
    <w:name w:val="Bordered &amp; Lined - Accent 6"/>
    <w:basedOn w:val="68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1">
    <w:name w:val="Bordered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2">
    <w:name w:val="Bordered - Accent 1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23">
    <w:name w:val="Bordered - Accent 2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24">
    <w:name w:val="Bordered - Accent 3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25">
    <w:name w:val="Bordered - Accent 4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26">
    <w:name w:val="Bordered - Accent 5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27">
    <w:name w:val="Bordered - Accent 6"/>
    <w:basedOn w:val="68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28">
    <w:name w:val="Hyperlink"/>
    <w:uiPriority w:val="99"/>
    <w:unhideWhenUsed/>
    <w:rPr>
      <w:color w:val="0000ff" w:themeColor="hyperlink"/>
      <w:u w:val="single"/>
    </w:rPr>
  </w:style>
  <w:style w:type="paragraph" w:styleId="829">
    <w:name w:val="footnote text"/>
    <w:basedOn w:val="849"/>
    <w:link w:val="830"/>
    <w:uiPriority w:val="99"/>
    <w:semiHidden/>
    <w:unhideWhenUsed/>
    <w:pPr>
      <w:spacing w:after="40" w:line="240" w:lineRule="auto"/>
    </w:pPr>
    <w:rPr>
      <w:sz w:val="18"/>
    </w:rPr>
  </w:style>
  <w:style w:type="character" w:styleId="830">
    <w:name w:val="Footnote Text Char"/>
    <w:link w:val="829"/>
    <w:uiPriority w:val="99"/>
    <w:rPr>
      <w:sz w:val="18"/>
    </w:rPr>
  </w:style>
  <w:style w:type="character" w:styleId="831">
    <w:name w:val="footnote reference"/>
    <w:basedOn w:val="846"/>
    <w:uiPriority w:val="99"/>
    <w:unhideWhenUsed/>
    <w:rPr>
      <w:vertAlign w:val="superscript"/>
    </w:rPr>
  </w:style>
  <w:style w:type="paragraph" w:styleId="832">
    <w:name w:val="endnote text"/>
    <w:basedOn w:val="849"/>
    <w:link w:val="833"/>
    <w:uiPriority w:val="99"/>
    <w:semiHidden/>
    <w:unhideWhenUsed/>
    <w:pPr>
      <w:spacing w:after="0" w:line="240" w:lineRule="auto"/>
    </w:pPr>
    <w:rPr>
      <w:sz w:val="20"/>
    </w:rPr>
  </w:style>
  <w:style w:type="character" w:styleId="833">
    <w:name w:val="Endnote Text Char"/>
    <w:link w:val="832"/>
    <w:uiPriority w:val="99"/>
    <w:rPr>
      <w:sz w:val="20"/>
    </w:rPr>
  </w:style>
  <w:style w:type="character" w:styleId="834">
    <w:name w:val="endnote reference"/>
    <w:basedOn w:val="846"/>
    <w:uiPriority w:val="99"/>
    <w:semiHidden/>
    <w:unhideWhenUsed/>
    <w:rPr>
      <w:vertAlign w:val="superscript"/>
    </w:rPr>
  </w:style>
  <w:style w:type="paragraph" w:styleId="835">
    <w:name w:val="toc 1"/>
    <w:basedOn w:val="849"/>
    <w:next w:val="849"/>
    <w:uiPriority w:val="39"/>
    <w:unhideWhenUsed/>
    <w:pPr>
      <w:ind w:left="0" w:right="0" w:firstLine="0"/>
      <w:spacing w:after="57"/>
    </w:pPr>
  </w:style>
  <w:style w:type="paragraph" w:styleId="836">
    <w:name w:val="toc 2"/>
    <w:basedOn w:val="849"/>
    <w:next w:val="849"/>
    <w:uiPriority w:val="39"/>
    <w:unhideWhenUsed/>
    <w:pPr>
      <w:ind w:left="283" w:right="0" w:firstLine="0"/>
      <w:spacing w:after="57"/>
    </w:pPr>
  </w:style>
  <w:style w:type="paragraph" w:styleId="837">
    <w:name w:val="toc 3"/>
    <w:basedOn w:val="849"/>
    <w:next w:val="849"/>
    <w:uiPriority w:val="39"/>
    <w:unhideWhenUsed/>
    <w:pPr>
      <w:ind w:left="567" w:right="0" w:firstLine="0"/>
      <w:spacing w:after="57"/>
    </w:pPr>
  </w:style>
  <w:style w:type="paragraph" w:styleId="838">
    <w:name w:val="toc 4"/>
    <w:basedOn w:val="849"/>
    <w:next w:val="849"/>
    <w:uiPriority w:val="39"/>
    <w:unhideWhenUsed/>
    <w:pPr>
      <w:ind w:left="850" w:right="0" w:firstLine="0"/>
      <w:spacing w:after="57"/>
    </w:pPr>
  </w:style>
  <w:style w:type="paragraph" w:styleId="839">
    <w:name w:val="toc 5"/>
    <w:basedOn w:val="849"/>
    <w:next w:val="849"/>
    <w:uiPriority w:val="39"/>
    <w:unhideWhenUsed/>
    <w:pPr>
      <w:ind w:left="1134" w:right="0" w:firstLine="0"/>
      <w:spacing w:after="57"/>
    </w:pPr>
  </w:style>
  <w:style w:type="paragraph" w:styleId="840">
    <w:name w:val="toc 6"/>
    <w:basedOn w:val="849"/>
    <w:next w:val="849"/>
    <w:uiPriority w:val="39"/>
    <w:unhideWhenUsed/>
    <w:pPr>
      <w:ind w:left="1417" w:right="0" w:firstLine="0"/>
      <w:spacing w:after="57"/>
    </w:pPr>
  </w:style>
  <w:style w:type="paragraph" w:styleId="841">
    <w:name w:val="toc 7"/>
    <w:basedOn w:val="849"/>
    <w:next w:val="849"/>
    <w:uiPriority w:val="39"/>
    <w:unhideWhenUsed/>
    <w:pPr>
      <w:ind w:left="1701" w:right="0" w:firstLine="0"/>
      <w:spacing w:after="57"/>
    </w:pPr>
  </w:style>
  <w:style w:type="paragraph" w:styleId="842">
    <w:name w:val="toc 8"/>
    <w:basedOn w:val="849"/>
    <w:next w:val="849"/>
    <w:uiPriority w:val="39"/>
    <w:unhideWhenUsed/>
    <w:pPr>
      <w:ind w:left="1984" w:right="0" w:firstLine="0"/>
      <w:spacing w:after="57"/>
    </w:pPr>
  </w:style>
  <w:style w:type="paragraph" w:styleId="843">
    <w:name w:val="toc 9"/>
    <w:basedOn w:val="849"/>
    <w:next w:val="849"/>
    <w:uiPriority w:val="39"/>
    <w:unhideWhenUsed/>
    <w:pPr>
      <w:ind w:left="2268" w:right="0" w:firstLine="0"/>
      <w:spacing w:after="57"/>
    </w:pPr>
  </w:style>
  <w:style w:type="paragraph" w:styleId="844">
    <w:name w:val="TOC Heading"/>
    <w:uiPriority w:val="39"/>
    <w:unhideWhenUsed/>
  </w:style>
  <w:style w:type="paragraph" w:styleId="845">
    <w:name w:val="table of figures"/>
    <w:basedOn w:val="849"/>
    <w:next w:val="849"/>
    <w:uiPriority w:val="99"/>
    <w:unhideWhenUsed/>
    <w:pPr>
      <w:spacing w:after="0" w:afterAutospacing="0"/>
    </w:pPr>
  </w:style>
  <w:style w:type="character" w:styleId="846" w:default="1">
    <w:name w:val="Default Paragraph Font"/>
    <w:uiPriority w:val="1"/>
    <w:semiHidden/>
    <w:unhideWhenUsed/>
  </w:style>
  <w:style w:type="table" w:styleId="847" w:default="1">
    <w:name w:val="Table Normal"/>
    <w:uiPriority w:val="2"/>
    <w:semiHidden/>
    <w:unhideWhenUsed/>
    <w:qFormat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numbering" w:styleId="848" w:default="1">
    <w:name w:val="No List"/>
    <w:uiPriority w:val="99"/>
    <w:semiHidden/>
    <w:unhideWhenUsed/>
  </w:style>
  <w:style w:type="paragraph" w:styleId="849" w:default="1">
    <w:name w:val="Normal"/>
    <w:uiPriority w:val="1"/>
    <w:qFormat/>
    <w:rPr>
      <w:rFonts w:ascii="Times New Roman" w:hAnsi="Times New Roman" w:eastAsia="Times New Roman" w:cs="Times New Roman"/>
      <w:lang w:val="ru-RU" w:eastAsia="en-US" w:bidi="ar-SA"/>
    </w:rPr>
  </w:style>
  <w:style w:type="paragraph" w:styleId="850">
    <w:name w:val="Body Text"/>
    <w:basedOn w:val="849"/>
    <w:uiPriority w:val="1"/>
    <w:qFormat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851">
    <w:name w:val="List Paragraph"/>
    <w:basedOn w:val="849"/>
    <w:uiPriority w:val="1"/>
    <w:qFormat/>
    <w:rPr>
      <w:lang w:val="ru-RU" w:eastAsia="en-US" w:bidi="ar-SA"/>
    </w:rPr>
  </w:style>
  <w:style w:type="paragraph" w:styleId="852">
    <w:name w:val="Table Paragraph"/>
    <w:basedOn w:val="849"/>
    <w:uiPriority w:val="1"/>
    <w:qFormat/>
    <w:pPr>
      <w:ind w:left="29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853" w:customStyle="1">
    <w:name w:val="Абзац списка1"/>
    <w:basedOn w:val="682"/>
    <w:next w:val="714"/>
    <w:pPr>
      <w:contextualSpacing/>
      <w:ind w:left="720" w:right="0" w:firstLine="0"/>
      <w:jc w:val="left"/>
      <w:keepLines w:val="0"/>
      <w:keepNext w:val="0"/>
      <w:pageBreakBefore w:val="0"/>
      <w:spacing w:before="0" w:beforeAutospacing="0" w:after="200" w:afterAutospacing="0" w:line="276" w:lineRule="auto"/>
      <w:shd w:val="clear" w:color="auto" w:fill="auto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Calibri" w:hAnsi="Calibri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0"/>
      <w:highlight w:val="none"/>
      <w:u w:val="none"/>
      <w:shd w:val="clear" w:color="auto" w:fill="auto"/>
      <w:vertAlign w:val="baseline"/>
      <w:rtl w:val="0"/>
      <w:cs w:val="0"/>
      <w:lang w:val="ru-RU" w:eastAsia="en-US" w:bidi="ar-SA"/>
      <w14:ligatures w14:val="none"/>
    </w:rPr>
  </w:style>
  <w:style w:type="character" w:styleId="854" w:customStyle="1">
    <w:name w:val="Strong"/>
    <w:uiPriority w:val="22"/>
    <w:qFormat/>
    <w:rPr>
      <w:b/>
      <w:bCs/>
    </w:rPr>
  </w:style>
  <w:style w:type="paragraph" w:styleId="855" w:customStyle="1">
    <w:name w:val="Обычный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NTHelvetica/Cyrillic" w:hAnsi="NTHelvetica/Cyrillic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80"/>
      <w:spacing w:val="0"/>
      <w:position w:val="0"/>
      <w:sz w:val="16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56" w:customStyle="1">
    <w:name w:val="List Paragraph;Маркер;UL;Абзац маркированнный"/>
    <w:basedOn w:val="855"/>
    <w:qFormat/>
    <w:pPr>
      <w:contextualSpacing/>
      <w:ind w:left="72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Calibri" w:hAnsi="Calibri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a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857" w:customStyle="1">
    <w:name w:val="Основной текст (2)"/>
    <w:basedOn w:val="723"/>
    <w:link w:val="740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60" w:afterAutospacing="0" w:line="0" w:lineRule="atLeast"/>
      <w:shd w:val="clear" w:color="auto" w:fill="ffffff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VNabokova</cp:lastModifiedBy>
  <cp:revision>14</cp:revision>
  <dcterms:created xsi:type="dcterms:W3CDTF">2026-04-16T07:45:41Z</dcterms:created>
  <dcterms:modified xsi:type="dcterms:W3CDTF">2026-07-22T07:13:27Z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LastSaved">
    <vt:filetime>2026-04-16T00:00:00Z</vt:filetime>
  </property>
  <property fmtid="{D5CDD505-2E9C-101B-9397-08002B2CF9AE}" pid="4" name="Producer">
    <vt:lpwstr>3-Heights(TM) PDF Security Shell 4.8.25.2 (http://www.pdf-tools.com)</vt:lpwstr>
  </property>
</Properties>
</file>