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>
              <w:jc w:val="left"/>
            </w:pPr>
            <w:r>
              <w:rPr/>
              <w:t xml:space="preserve">Номер процедуры</w:t>
            </w:r>
          </w:p>
        </w:tc>
        <w:tc>
          <w:tcPr>
            <w:tcW w:w="5000" w:type="dxa"/>
          </w:tcPr>
          <w:p>
            <w:pPr>
              <w:jc w:val="left"/>
            </w:pPr>
            <w:r>
              <w:rPr/>
              <w:t xml:space="preserve">32616266410</w:t>
            </w:r>
          </w:p>
        </w:tc>
      </w:tr>
      <w:tr>
        <w:trPr/>
        <w:tc>
          <w:tcPr>
            <w:tcW w:w="5000" w:type="dxa"/>
          </w:tcPr>
          <w:p>
            <w:pPr>
              <w:jc w:val="left"/>
            </w:pPr>
            <w:r>
              <w:rPr/>
              <w:t xml:space="preserve">Наименование Лота</w:t>
            </w:r>
          </w:p>
        </w:tc>
        <w:tc>
          <w:tcPr>
            <w:tcW w:w="5000" w:type="dxa"/>
          </w:tcPr>
          <w:p>
            <w:pPr>
              <w:jc w:val="left"/>
            </w:pPr>
            <w:r>
              <w:rPr/>
              <w:t xml:space="preserve">Оказание услуг по специальной оценке условий труда (СОУТ) и оценке профессиональных рисков</w:t>
            </w:r>
          </w:p>
        </w:tc>
      </w:tr>
      <w:tr>
        <w:trPr/>
        <w:tc>
          <w:tcPr>
            <w:tcW w:w="5000" w:type="dxa"/>
          </w:tcPr>
          <w:p>
            <w:pPr>
              <w:jc w:val="left"/>
            </w:pPr>
            <w:r>
              <w:rPr/>
              <w:t xml:space="preserve">Разъяснение</w:t>
            </w:r>
          </w:p>
        </w:tc>
        <w:tc>
          <w:tcPr>
            <w:tcW w:w="5000" w:type="dxa"/>
          </w:tcPr>
          <w:p>
            <w:pPr>
              <w:jc w:val="left"/>
            </w:pPr>
            <w:r>
              <w:rPr/>
              <w:t xml:space="preserve">Добрый день! При подаче заявки участник указывает свою цену за единицу продукции. НМЦД остается неизменной</w:t>
            </w:r>
          </w:p>
        </w:tc>
      </w:tr>
      <w:tr>
        <w:trPr/>
        <w:tc>
          <w:tcPr>
            <w:tcW w:w="5000" w:type="dxa"/>
          </w:tcPr>
          <w:p>
            <w:pPr>
              <w:jc w:val="left"/>
            </w:pPr>
            <w:r>
              <w:rPr/>
              <w:t xml:space="preserve">Разъяснения предоставлены</w:t>
            </w:r>
          </w:p>
        </w:tc>
        <w:tc>
          <w:tcPr>
            <w:tcW w:w="5000" w:type="dxa"/>
          </w:tcPr>
          <w:p>
            <w:pPr>
              <w:jc w:val="left"/>
            </w:pPr>
            <w:r>
              <w:rPr/>
              <w:t xml:space="preserve"/>
            </w:r>
          </w:p>
        </w:tc>
      </w:tr>
    </w:tbl>
    <w:sectPr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2026-08-06T10:56:59+03:00</dcterms:created>
  <dcterms:modified xsi:type="dcterms:W3CDTF">2026-08-06T10:56:59+03:00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