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right"/>
        <w:rPr>
          <w:rFonts w:ascii="Times New Roman" w:hAnsi="Times New Roman"/>
          <w:sz w:val="24"/>
          <w:szCs w:val="24"/>
        </w:rPr>
      </w:pPr>
      <w:r>
        <w:rPr>
          <w:rFonts w:ascii="Times New Roman" w:hAnsi="Times New Roman"/>
          <w:sz w:val="24"/>
          <w:szCs w:val="24"/>
        </w:rPr>
        <w:t>Приложение № 3</w:t>
      </w:r>
    </w:p>
    <w:p>
      <w:pPr>
        <w:pStyle w:val="Normal"/>
        <w:spacing w:lineRule="auto" w:line="240" w:before="0" w:after="0"/>
        <w:jc w:val="right"/>
        <w:rPr>
          <w:rFonts w:ascii="Times New Roman" w:hAnsi="Times New Roman"/>
          <w:b/>
          <w:sz w:val="24"/>
          <w:szCs w:val="24"/>
        </w:rPr>
      </w:pPr>
      <w:r>
        <w:rPr>
          <w:rFonts w:ascii="Times New Roman" w:hAnsi="Times New Roman"/>
          <w:sz w:val="24"/>
          <w:szCs w:val="24"/>
        </w:rPr>
        <w:t>к Извещению об осуществлении закупки</w:t>
      </w:r>
    </w:p>
    <w:p>
      <w:pPr>
        <w:pStyle w:val="Normal"/>
        <w:spacing w:lineRule="auto" w:line="240" w:before="0" w:after="0"/>
        <w:jc w:val="center"/>
        <w:rPr>
          <w:rFonts w:ascii="Times New Roman" w:hAnsi="Times New Roman"/>
          <w:b/>
          <w:bCs/>
          <w:sz w:val="28"/>
          <w:szCs w:val="28"/>
          <w:lang w:eastAsia="ru-RU"/>
        </w:rPr>
      </w:pPr>
      <w:r>
        <w:rPr>
          <w:rFonts w:ascii="Times New Roman" w:hAnsi="Times New Roman"/>
          <w:b/>
          <w:bCs/>
          <w:sz w:val="28"/>
          <w:szCs w:val="28"/>
          <w:lang w:eastAsia="ru-RU"/>
        </w:rPr>
        <w:t>Требования к содержанию, составу заявки на участие в закупке в соответствии с Федеральным законом 44-ФЗ и инструкция по ее заполнению</w:t>
      </w:r>
    </w:p>
    <w:tbl>
      <w:tblPr>
        <w:tblW w:w="10872" w:type="dxa"/>
        <w:jc w:val="center"/>
        <w:tblInd w:w="0" w:type="dxa"/>
        <w:tblLayout w:type="fixed"/>
        <w:tblCellMar>
          <w:top w:w="100" w:type="dxa"/>
          <w:left w:w="100" w:type="dxa"/>
          <w:bottom w:w="0" w:type="dxa"/>
          <w:right w:w="100" w:type="dxa"/>
        </w:tblCellMar>
        <w:tblLook w:val="0000"/>
      </w:tblPr>
      <w:tblGrid>
        <w:gridCol w:w="515"/>
        <w:gridCol w:w="8440"/>
        <w:gridCol w:w="1917"/>
      </w:tblGrid>
      <w:tr>
        <w:trPr>
          <w:trHeight w:val="20" w:hRule="atLeast"/>
        </w:trPr>
        <w:tc>
          <w:tcPr>
            <w:tcW w:w="515" w:type="dxa"/>
            <w:tcBorders>
              <w:top w:val="single" w:sz="6" w:space="0" w:color="000000"/>
              <w:left w:val="single" w:sz="6" w:space="0" w:color="000000"/>
              <w:bottom w:val="single" w:sz="6" w:space="0" w:color="000000"/>
              <w:right w:val="single" w:sz="6" w:space="0" w:color="000000"/>
            </w:tcBorders>
            <w:shd w:color="auto" w:fill="BFBFBF" w:val="clear"/>
            <w:vAlign w:val="center"/>
          </w:tcPr>
          <w:p>
            <w:pPr>
              <w:pStyle w:val="Normal"/>
              <w:spacing w:before="0" w:after="0"/>
              <w:jc w:val="both"/>
              <w:rPr>
                <w:rFonts w:ascii="Times New Roman" w:hAnsi="Times New Roman"/>
                <w:lang w:eastAsia="ru-RU"/>
              </w:rPr>
            </w:pPr>
            <w:r>
              <w:rPr>
                <w:rFonts w:ascii="Times New Roman" w:hAnsi="Times New Roman"/>
                <w:b/>
                <w:sz w:val="18"/>
                <w:lang w:eastAsia="ru-RU"/>
              </w:rPr>
              <w:t xml:space="preserve">№ </w:t>
            </w:r>
            <w:r>
              <w:rPr>
                <w:rFonts w:ascii="Times New Roman" w:hAnsi="Times New Roman"/>
                <w:b/>
                <w:sz w:val="18"/>
                <w:lang w:eastAsia="ru-RU"/>
              </w:rPr>
              <w:t>п/п</w:t>
            </w:r>
          </w:p>
        </w:tc>
        <w:tc>
          <w:tcPr>
            <w:tcW w:w="10357" w:type="dxa"/>
            <w:gridSpan w:val="2"/>
            <w:tcBorders>
              <w:top w:val="single" w:sz="6" w:space="0" w:color="000000"/>
              <w:left w:val="single" w:sz="6" w:space="0" w:color="000000"/>
              <w:bottom w:val="single" w:sz="6" w:space="0" w:color="000000"/>
              <w:right w:val="single" w:sz="6" w:space="0" w:color="000000"/>
            </w:tcBorders>
            <w:shd w:color="auto" w:fill="BFBFBF" w:val="clear"/>
            <w:vAlign w:val="center"/>
          </w:tcPr>
          <w:p>
            <w:pPr>
              <w:pStyle w:val="Normal"/>
              <w:spacing w:before="0" w:after="0"/>
              <w:jc w:val="center"/>
              <w:rPr>
                <w:rFonts w:ascii="Times New Roman" w:hAnsi="Times New Roman"/>
                <w:b/>
                <w:sz w:val="18"/>
                <w:lang w:eastAsia="ru-RU"/>
              </w:rPr>
            </w:pPr>
            <w:r>
              <w:rPr>
                <w:rFonts w:ascii="Times New Roman" w:hAnsi="Times New Roman"/>
                <w:b/>
                <w:sz w:val="18"/>
                <w:lang w:eastAsia="ru-RU"/>
              </w:rPr>
              <w:t>ТРЕБОВАНИЯ К СОДЕРЖАНИЮ, СОСТАВУ ЗАЯВКИ НА УЧАСТИЕ В ЗАКУПКЕ</w:t>
            </w:r>
          </w:p>
        </w:tc>
      </w:tr>
      <w:tr>
        <w:trPr>
          <w:trHeight w:val="20" w:hRule="atLeast"/>
        </w:trPr>
        <w:tc>
          <w:tcPr>
            <w:tcW w:w="10872" w:type="dxa"/>
            <w:gridSpan w:val="3"/>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b/>
                <w:sz w:val="18"/>
                <w:lang w:eastAsia="ru-RU"/>
              </w:rPr>
            </w:pPr>
            <w:r>
              <w:rPr>
                <w:rFonts w:ascii="Times New Roman" w:hAnsi="Times New Roman"/>
                <w:b/>
                <w:sz w:val="18"/>
                <w:lang w:eastAsia="ru-RU"/>
              </w:rPr>
              <w:t>1. Информация и документы об участнике закупки:</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1.1</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Требуется</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1.2</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Требуется</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1.3</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Требуется</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1.4</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Требуется</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1.5</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Требуется</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1.6</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Требуется</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1.7</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Требуется</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1.8</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Требуется</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1.9</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r>
              <w:rPr>
                <w:rFonts w:ascii="Times New Roman" w:hAnsi="Times New Roman"/>
                <w:i/>
                <w:sz w:val="18"/>
                <w:lang w:eastAsia="ru-RU"/>
              </w:rPr>
              <w:t>;</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Не требуется</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1.10</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декларация о принадлежности участника закупки к организации инвалидов, предусмотренной частью 2 статьи 29 настоящего Федерального закона (если участник закупки является такой организацией;</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Не требуется</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1.11</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настоящего Федерального закона</w:t>
            </w:r>
            <w:r>
              <w:rPr>
                <w:rFonts w:ascii="Times New Roman" w:hAnsi="Times New Roman"/>
                <w:i/>
                <w:sz w:val="18"/>
                <w:lang w:eastAsia="ru-RU"/>
              </w:rPr>
              <w:t>;</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Требуется</w:t>
            </w:r>
          </w:p>
        </w:tc>
      </w:tr>
      <w:tr>
        <w:trPr>
          <w:trHeight w:val="20" w:hRule="atLeast"/>
        </w:trPr>
        <w:tc>
          <w:tcPr>
            <w:tcW w:w="10872" w:type="dxa"/>
            <w:gridSpan w:val="3"/>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Информация и документы, предусмотренные подпунктами 1.1 - 1.11 пункта 1 настоящих Требований, не включаются участником закупки в заявку на участие в закупке и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1.12</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Требуется</w:t>
            </w:r>
          </w:p>
          <w:p>
            <w:pPr>
              <w:pStyle w:val="Normal"/>
              <w:spacing w:before="0" w:after="0"/>
              <w:jc w:val="both"/>
              <w:rPr>
                <w:rFonts w:ascii="Times New Roman" w:hAnsi="Times New Roman"/>
                <w:sz w:val="18"/>
                <w:lang w:eastAsia="ru-RU"/>
              </w:rPr>
            </w:pPr>
            <w:r>
              <w:rPr>
                <w:rFonts w:ascii="Times New Roman" w:hAnsi="Times New Roman"/>
                <w:sz w:val="18"/>
                <w:lang w:eastAsia="ru-RU"/>
              </w:rPr>
            </w:r>
          </w:p>
        </w:tc>
      </w:tr>
      <w:tr>
        <w:trPr>
          <w:trHeight w:val="20" w:hRule="atLeast"/>
        </w:trPr>
        <w:tc>
          <w:tcPr>
            <w:tcW w:w="515" w:type="dxa"/>
            <w:vMerge w:val="restart"/>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1.13</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Документы, подтверждающие соответствие участника закупки требованиям, установленным пунктом 1 части 1 статьи 31 настоящего Федерального закона</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Не т</w:t>
            </w:r>
            <w:r>
              <w:rPr>
                <w:rFonts w:ascii="Times New Roman" w:hAnsi="Times New Roman"/>
                <w:sz w:val="18"/>
                <w:lang w:eastAsia="ru-RU"/>
              </w:rPr>
              <w:t>ребуется</w:t>
            </w:r>
          </w:p>
        </w:tc>
      </w:tr>
      <w:tr>
        <w:trPr>
          <w:trHeight w:val="927" w:hRule="atLeast"/>
        </w:trPr>
        <w:tc>
          <w:tcPr>
            <w:tcW w:w="515" w:type="dxa"/>
            <w:vMerge w:val="continue"/>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Документы,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настоящего Федерального закона, если иное не предусмотрено настоящим Федеральным законом</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Не требуется</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1.14</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szCs w:val="18"/>
                <w:lang w:eastAsia="ru-RU"/>
              </w:rPr>
            </w:pPr>
            <w:r>
              <w:rPr>
                <w:rFonts w:ascii="Times New Roman" w:hAnsi="Times New Roman"/>
                <w:sz w:val="18"/>
                <w:szCs w:val="18"/>
                <w:lang w:eastAsia="ru-RU"/>
              </w:rPr>
              <w:t>Декларация о соответствии участника закупки требованиям, установленным пунктами 3 – 5, 7 – 11 части 1 статьи 31 Закона о контрактной системе, а именно</w:t>
            </w:r>
          </w:p>
          <w:p>
            <w:pPr>
              <w:pStyle w:val="Normal"/>
              <w:spacing w:before="0" w:after="0"/>
              <w:jc w:val="both"/>
              <w:rPr>
                <w:rFonts w:ascii="Times New Roman" w:hAnsi="Times New Roman"/>
                <w:sz w:val="18"/>
                <w:szCs w:val="18"/>
                <w:lang w:eastAsia="ru-RU"/>
              </w:rPr>
            </w:pPr>
            <w:r>
              <w:rPr>
                <w:rFonts w:ascii="Times New Roman" w:hAnsi="Times New Roman"/>
                <w:sz w:val="18"/>
                <w:szCs w:val="18"/>
                <w:lang w:eastAsia="ru-RU"/>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pPr>
              <w:pStyle w:val="Normal"/>
              <w:spacing w:before="0" w:after="0"/>
              <w:jc w:val="both"/>
              <w:rPr>
                <w:rFonts w:ascii="Times New Roman" w:hAnsi="Times New Roman"/>
                <w:sz w:val="18"/>
                <w:szCs w:val="18"/>
                <w:lang w:eastAsia="ru-RU"/>
              </w:rPr>
            </w:pPr>
            <w:r>
              <w:rPr>
                <w:rFonts w:ascii="Times New Roman" w:hAnsi="Times New Roman"/>
                <w:sz w:val="18"/>
                <w:szCs w:val="18"/>
                <w:lang w:eastAsia="ru-RU"/>
              </w:rPr>
              <w:t>- неприостановление деятельности участника закупки в порядке, установленном Кодексом Российской Федерации об административных правонарушениях;</w:t>
            </w:r>
          </w:p>
          <w:p>
            <w:pPr>
              <w:pStyle w:val="Normal"/>
              <w:spacing w:before="0" w:after="0"/>
              <w:jc w:val="both"/>
              <w:rPr>
                <w:rFonts w:ascii="Times New Roman" w:hAnsi="Times New Roman"/>
                <w:sz w:val="18"/>
                <w:szCs w:val="18"/>
                <w:lang w:eastAsia="ru-RU"/>
              </w:rPr>
            </w:pPr>
            <w:r>
              <w:rPr>
                <w:rFonts w:ascii="Times New Roman" w:hAnsi="Times New Roman"/>
                <w:sz w:val="18"/>
                <w:szCs w:val="18"/>
                <w:lang w:eastAsia="ru-RU"/>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pPr>
              <w:pStyle w:val="Normal"/>
              <w:spacing w:before="0" w:after="0"/>
              <w:jc w:val="both"/>
              <w:rPr>
                <w:rFonts w:ascii="Times New Roman" w:hAnsi="Times New Roman"/>
                <w:sz w:val="18"/>
                <w:szCs w:val="18"/>
                <w:lang w:eastAsia="ru-RU"/>
              </w:rPr>
            </w:pPr>
            <w:r>
              <w:rPr>
                <w:rFonts w:ascii="Times New Roman" w:hAnsi="Times New Roman"/>
                <w:sz w:val="18"/>
                <w:szCs w:val="18"/>
                <w:lang w:eastAsia="ru-RU"/>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pPr>
              <w:pStyle w:val="Normal"/>
              <w:spacing w:before="0" w:after="0"/>
              <w:jc w:val="both"/>
              <w:rPr>
                <w:rFonts w:ascii="Times New Roman" w:hAnsi="Times New Roman"/>
                <w:sz w:val="18"/>
                <w:szCs w:val="18"/>
                <w:lang w:eastAsia="ru-RU"/>
              </w:rPr>
            </w:pPr>
            <w:r>
              <w:rPr>
                <w:rFonts w:ascii="Times New Roman" w:hAnsi="Times New Roman"/>
                <w:sz w:val="18"/>
                <w:szCs w:val="18"/>
                <w:lang w:eastAsia="ru-RU"/>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pPr>
              <w:pStyle w:val="Normal"/>
              <w:spacing w:before="0" w:after="0"/>
              <w:jc w:val="both"/>
              <w:rPr>
                <w:rFonts w:ascii="Times New Roman" w:hAnsi="Times New Roman"/>
                <w:sz w:val="18"/>
                <w:szCs w:val="18"/>
                <w:lang w:eastAsia="ru-RU"/>
              </w:rPr>
            </w:pPr>
            <w:r>
              <w:rPr>
                <w:rFonts w:ascii="Times New Roman" w:hAnsi="Times New Roman"/>
                <w:sz w:val="18"/>
                <w:szCs w:val="18"/>
                <w:lang w:eastAsia="ru-RU"/>
              </w:rPr>
              <w:t>-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pPr>
              <w:pStyle w:val="Normal"/>
              <w:spacing w:before="0" w:after="0"/>
              <w:jc w:val="both"/>
              <w:rPr>
                <w:rFonts w:ascii="Times New Roman" w:hAnsi="Times New Roman"/>
                <w:sz w:val="18"/>
                <w:szCs w:val="18"/>
                <w:lang w:eastAsia="ru-RU"/>
              </w:rPr>
            </w:pPr>
            <w:r>
              <w:rPr>
                <w:rFonts w:ascii="Times New Roman" w:hAnsi="Times New Roman"/>
                <w:sz w:val="18"/>
                <w:szCs w:val="18"/>
                <w:lang w:eastAsia="ru-RU"/>
              </w:rPr>
              <w:t>-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pPr>
              <w:pStyle w:val="Normal"/>
              <w:spacing w:before="0" w:after="0"/>
              <w:jc w:val="both"/>
              <w:rPr>
                <w:rFonts w:ascii="Times New Roman" w:hAnsi="Times New Roman"/>
                <w:sz w:val="18"/>
                <w:szCs w:val="18"/>
                <w:lang w:eastAsia="ru-RU"/>
              </w:rPr>
            </w:pPr>
            <w:r>
              <w:rPr>
                <w:rFonts w:ascii="Times New Roman" w:hAnsi="Times New Roman"/>
                <w:sz w:val="18"/>
                <w:szCs w:val="18"/>
                <w:lang w:eastAsia="ru-RU"/>
              </w:rPr>
              <w:t>а) физическим лицом (в том числе зарегистрированным в качестве индивидуального предпринимателя), являющимся участником закупки;</w:t>
            </w:r>
          </w:p>
          <w:p>
            <w:pPr>
              <w:pStyle w:val="Normal"/>
              <w:spacing w:before="0" w:after="0"/>
              <w:jc w:val="both"/>
              <w:rPr>
                <w:rFonts w:ascii="Times New Roman" w:hAnsi="Times New Roman"/>
                <w:sz w:val="18"/>
                <w:szCs w:val="18"/>
                <w:lang w:eastAsia="ru-RU"/>
              </w:rPr>
            </w:pPr>
            <w:r>
              <w:rPr>
                <w:rFonts w:ascii="Times New Roman" w:hAnsi="Times New Roman"/>
                <w:sz w:val="18"/>
                <w:szCs w:val="18"/>
                <w:lang w:eastAsia="ru-RU"/>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pPr>
              <w:pStyle w:val="Normal"/>
              <w:spacing w:before="0" w:after="0"/>
              <w:jc w:val="both"/>
              <w:rPr>
                <w:rFonts w:ascii="Times New Roman" w:hAnsi="Times New Roman"/>
                <w:sz w:val="18"/>
                <w:szCs w:val="18"/>
                <w:lang w:eastAsia="ru-RU"/>
              </w:rPr>
            </w:pPr>
            <w:r>
              <w:rPr>
                <w:rFonts w:ascii="Times New Roman" w:hAnsi="Times New Roman"/>
                <w:sz w:val="18"/>
                <w:szCs w:val="18"/>
                <w:lang w:eastAsia="ru-RU"/>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pPr>
              <w:pStyle w:val="Normal"/>
              <w:spacing w:before="0" w:after="0"/>
              <w:jc w:val="both"/>
              <w:rPr>
                <w:rFonts w:ascii="Times New Roman" w:hAnsi="Times New Roman"/>
                <w:sz w:val="18"/>
                <w:szCs w:val="18"/>
                <w:lang w:eastAsia="ru-RU"/>
              </w:rPr>
            </w:pPr>
            <w:r>
              <w:rPr>
                <w:rFonts w:ascii="Times New Roman" w:hAnsi="Times New Roman"/>
                <w:sz w:val="18"/>
                <w:szCs w:val="18"/>
                <w:lang w:eastAsia="ru-RU"/>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pPr>
              <w:pStyle w:val="Normal"/>
              <w:spacing w:before="0" w:after="0"/>
              <w:jc w:val="both"/>
              <w:rPr>
                <w:rFonts w:ascii="Times New Roman" w:hAnsi="Times New Roman"/>
                <w:sz w:val="18"/>
                <w:szCs w:val="18"/>
                <w:lang w:eastAsia="ru-RU"/>
              </w:rPr>
            </w:pPr>
            <w:r>
              <w:rPr>
                <w:rFonts w:ascii="Times New Roman" w:hAnsi="Times New Roman"/>
                <w:sz w:val="18"/>
                <w:szCs w:val="18"/>
                <w:lang w:eastAsia="ru-RU"/>
              </w:rPr>
              <w:t>- участник закупки не является иностранным агентом;</w:t>
            </w:r>
          </w:p>
          <w:p>
            <w:pPr>
              <w:pStyle w:val="Normal"/>
              <w:spacing w:before="0" w:after="0"/>
              <w:jc w:val="both"/>
              <w:rPr>
                <w:rFonts w:ascii="Times New Roman" w:hAnsi="Times New Roman"/>
                <w:sz w:val="18"/>
                <w:szCs w:val="18"/>
                <w:lang w:eastAsia="ru-RU"/>
              </w:rPr>
            </w:pPr>
            <w:r>
              <w:rPr>
                <w:rFonts w:ascii="Times New Roman" w:hAnsi="Times New Roman"/>
                <w:sz w:val="18"/>
                <w:szCs w:val="18"/>
                <w:lang w:eastAsia="ru-RU"/>
              </w:rPr>
              <w:t>- отсутствие у участника закупки ограничений для участия в закупках, установленных законодательством Российской Федерации.</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Требуется</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1.15</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Требуется</w:t>
            </w:r>
          </w:p>
        </w:tc>
      </w:tr>
      <w:tr>
        <w:trPr>
          <w:trHeight w:val="20" w:hRule="atLeast"/>
        </w:trPr>
        <w:tc>
          <w:tcPr>
            <w:tcW w:w="8955" w:type="dxa"/>
            <w:gridSpan w:val="2"/>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b/>
                <w:sz w:val="18"/>
                <w:lang w:eastAsia="ru-RU"/>
              </w:rPr>
              <w:t>2. Предложение участника закупки в отношении объекта закупки:</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b/>
                <w:sz w:val="18"/>
                <w:lang w:eastAsia="ru-RU"/>
              </w:rPr>
            </w:pPr>
            <w:r>
              <w:rPr>
                <w:rFonts w:ascii="Times New Roman" w:hAnsi="Times New Roman"/>
                <w:b/>
                <w:sz w:val="18"/>
                <w:lang w:eastAsia="ru-RU"/>
              </w:rPr>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2.1</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Характеристики предлагаемого участником закупки товара (в том числе поставляемого заказчику при выполнении закупаемых работ, оказании закупаемых услуг), соответствующие показателям, установленным в Извещении, товарный знак (при наличии у товара товарного знака).</w:t>
            </w:r>
          </w:p>
          <w:p>
            <w:pPr>
              <w:pStyle w:val="Normal"/>
              <w:spacing w:before="0" w:after="0"/>
              <w:jc w:val="both"/>
              <w:rPr>
                <w:rFonts w:ascii="Times New Roman" w:hAnsi="Times New Roman"/>
                <w:sz w:val="18"/>
                <w:lang w:eastAsia="ru-RU"/>
              </w:rPr>
            </w:pPr>
            <w:r>
              <w:rPr>
                <w:rFonts w:ascii="Times New Roman" w:hAnsi="Times New Roman"/>
                <w:sz w:val="18"/>
                <w:lang w:eastAsia="ru-RU"/>
              </w:rPr>
              <w:t>Данная информация должна быть указана в отношении установленных в Извещении характеристик, в соответствии с инструкцией.</w:t>
            </w:r>
          </w:p>
          <w:p>
            <w:pPr>
              <w:pStyle w:val="Normal"/>
              <w:spacing w:before="0" w:after="0"/>
              <w:jc w:val="both"/>
              <w:rPr>
                <w:rFonts w:ascii="Times New Roman" w:hAnsi="Times New Roman"/>
                <w:sz w:val="18"/>
                <w:lang w:eastAsia="ru-RU"/>
              </w:rPr>
            </w:pPr>
            <w:r>
              <w:rPr>
                <w:rFonts w:ascii="Times New Roman" w:hAnsi="Times New Roman"/>
                <w:sz w:val="18"/>
                <w:lang w:eastAsia="ru-RU"/>
              </w:rPr>
              <w:t>Сведения о характеристиках предлагаемого участником товара подаются посредством применения веб-интерфейса электронной торговой площадки (далее – ЭТП). При этом участник вправе приложить электронный документ с описанием объекта закупки. В случае наличия в заявке участника противоречий между сформированным с помощью веб-интерфейса ЭТП предложении участника об объекте закупки и приложенным электронным документом приоритет имеет информация из предложения участника сформированного с помощью веб-интерфейса ЭТП</w:t>
            </w:r>
          </w:p>
          <w:p>
            <w:pPr>
              <w:pStyle w:val="Normal"/>
              <w:spacing w:before="0" w:after="0"/>
              <w:jc w:val="both"/>
              <w:rPr>
                <w:rFonts w:ascii="Times New Roman" w:hAnsi="Times New Roman"/>
                <w:lang w:eastAsia="ru-RU"/>
              </w:rPr>
            </w:pPr>
            <w:r>
              <w:rPr>
                <w:rFonts w:ascii="Times New Roman" w:hAnsi="Times New Roman"/>
                <w:sz w:val="18"/>
                <w:lang w:eastAsia="ru-RU"/>
              </w:rPr>
              <w:t>Информация, предусмотренная настоящим подпунктом,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Не требуется</w:t>
            </w:r>
          </w:p>
          <w:p>
            <w:pPr>
              <w:pStyle w:val="Normal"/>
              <w:spacing w:before="0" w:after="0"/>
              <w:jc w:val="both"/>
              <w:rPr>
                <w:rFonts w:ascii="Times New Roman" w:hAnsi="Times New Roman"/>
                <w:sz w:val="18"/>
                <w:lang w:eastAsia="ru-RU"/>
              </w:rPr>
            </w:pPr>
            <w:r>
              <w:rPr>
                <w:rFonts w:ascii="Times New Roman" w:hAnsi="Times New Roman"/>
                <w:sz w:val="18"/>
                <w:lang w:eastAsia="ru-RU"/>
              </w:rPr>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2.2</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 xml:space="preserve">Наименование страны происхождения товара в соответствии </w:t>
            </w:r>
            <w:r>
              <w:rPr>
                <w:rFonts w:ascii="Times New Roman" w:hAnsi="Times New Roman"/>
                <w:b/>
                <w:sz w:val="18"/>
                <w:u w:val="single"/>
                <w:lang w:eastAsia="ru-RU"/>
              </w:rPr>
              <w:t>с общероссийским классификатором, используемым для идентификации стран мира (ОК (МК (ИСО 3166) 004-97)025-2001));</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Не требуется</w:t>
            </w:r>
          </w:p>
          <w:p>
            <w:pPr>
              <w:pStyle w:val="Normal"/>
              <w:spacing w:before="0" w:after="0"/>
              <w:jc w:val="both"/>
              <w:rPr>
                <w:rFonts w:ascii="Times New Roman" w:hAnsi="Times New Roman"/>
                <w:sz w:val="18"/>
                <w:lang w:eastAsia="ru-RU"/>
              </w:rPr>
            </w:pPr>
            <w:r>
              <w:rPr>
                <w:rFonts w:ascii="Times New Roman" w:hAnsi="Times New Roman"/>
                <w:sz w:val="18"/>
                <w:lang w:eastAsia="ru-RU"/>
              </w:rPr>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2.3</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Не требуется</w:t>
            </w:r>
          </w:p>
          <w:p>
            <w:pPr>
              <w:pStyle w:val="Normal"/>
              <w:spacing w:before="0" w:after="0"/>
              <w:jc w:val="both"/>
              <w:rPr>
                <w:rFonts w:ascii="Times New Roman" w:hAnsi="Times New Roman"/>
                <w:sz w:val="18"/>
                <w:lang w:eastAsia="ru-RU"/>
              </w:rPr>
            </w:pPr>
            <w:r>
              <w:rPr>
                <w:rFonts w:ascii="Times New Roman" w:hAnsi="Times New Roman"/>
                <w:sz w:val="18"/>
                <w:lang w:eastAsia="ru-RU"/>
              </w:rPr>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2.4</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lang w:eastAsia="ru-RU"/>
              </w:rPr>
            </w:pPr>
            <w:r>
              <w:rPr>
                <w:rFonts w:ascii="Times New Roman" w:hAnsi="Times New Roman"/>
                <w:sz w:val="18"/>
                <w:lang w:eastAsia="ru-RU"/>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Не требуется</w:t>
            </w:r>
          </w:p>
        </w:tc>
      </w:tr>
      <w:tr>
        <w:trPr>
          <w:trHeight w:val="20" w:hRule="atLeast"/>
        </w:trPr>
        <w:tc>
          <w:tcPr>
            <w:tcW w:w="10872" w:type="dxa"/>
            <w:gridSpan w:val="3"/>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b/>
                <w:sz w:val="18"/>
                <w:lang w:eastAsia="ru-RU"/>
              </w:rPr>
            </w:pPr>
            <w:r>
              <w:rPr>
                <w:rFonts w:ascii="Times New Roman" w:hAnsi="Times New Roman"/>
                <w:b/>
                <w:sz w:val="18"/>
                <w:lang w:eastAsia="ru-RU"/>
              </w:rPr>
              <w:t>3. Ценовое предложение участника</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3.1</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предложение участника закупки о цене контракта:</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Требуется</w:t>
            </w:r>
          </w:p>
        </w:tc>
      </w:tr>
      <w:tr>
        <w:trPr>
          <w:trHeight w:val="614"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3.2.</w:t>
            </w:r>
          </w:p>
        </w:tc>
        <w:tc>
          <w:tcPr>
            <w:tcW w:w="8440"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предложение участника закупки о сумме цен единиц товара, работы, услуги (о цене единицы услуги) (в случае, предусмотренном частью 24 статьи 22 настоящего Федерального закона)</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Не требуется</w:t>
            </w:r>
          </w:p>
        </w:tc>
      </w:tr>
      <w:tr>
        <w:trPr>
          <w:trHeight w:val="20" w:hRule="atLeast"/>
        </w:trPr>
        <w:tc>
          <w:tcPr>
            <w:tcW w:w="8955" w:type="dxa"/>
            <w:gridSpan w:val="2"/>
            <w:tcBorders>
              <w:top w:val="single" w:sz="6" w:space="0" w:color="000000"/>
              <w:left w:val="single" w:sz="6" w:space="0" w:color="000000"/>
              <w:bottom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b/>
                <w:bCs/>
                <w:sz w:val="18"/>
                <w:lang w:eastAsia="ru-RU"/>
              </w:rPr>
              <w:t xml:space="preserve">4. </w:t>
            </w:r>
            <w:r>
              <w:rPr>
                <w:rFonts w:ascii="Times New Roman" w:hAnsi="Times New Roman"/>
                <w:b/>
                <w:sz w:val="18"/>
                <w:lang w:eastAsia="ru-RU"/>
              </w:rPr>
              <w:t>Информация и документы, предусмотренные нормативными правовыми актами, принятыми в соответствии с частями 3 и 4 статьи 14 Закона о контрактной системе:</w:t>
            </w:r>
          </w:p>
        </w:tc>
        <w:tc>
          <w:tcPr>
            <w:tcW w:w="1917"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Не требуется</w:t>
            </w:r>
          </w:p>
        </w:tc>
      </w:tr>
      <w:tr>
        <w:trPr>
          <w:trHeight w:val="20" w:hRule="atLeast"/>
        </w:trPr>
        <w:tc>
          <w:tcPr>
            <w:tcW w:w="10872" w:type="dxa"/>
            <w:gridSpan w:val="3"/>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b/>
                <w:sz w:val="18"/>
                <w:lang w:eastAsia="ru-RU"/>
              </w:rPr>
            </w:pPr>
            <w:r>
              <w:rPr>
                <w:rFonts w:ascii="Times New Roman" w:hAnsi="Times New Roman"/>
                <w:b/>
                <w:sz w:val="18"/>
                <w:lang w:eastAsia="ru-RU"/>
              </w:rPr>
              <w:t>5. Инструкция по заполнению заявки</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5.1</w:t>
            </w:r>
          </w:p>
        </w:tc>
        <w:tc>
          <w:tcPr>
            <w:tcW w:w="10357" w:type="dxa"/>
            <w:gridSpan w:val="2"/>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Участник размещения заказа вправе представить требуемые сведения в любой форме.</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5.2.</w:t>
            </w:r>
          </w:p>
        </w:tc>
        <w:tc>
          <w:tcPr>
            <w:tcW w:w="10357" w:type="dxa"/>
            <w:gridSpan w:val="2"/>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Подачу заявки обеспечивает оператор электронной площадки. Подача заявки означает, что участник электронного ЗК согласен поставить товар (выполнить работу, оказать услугу) на условиях, предусмотренных извещением</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5.3.</w:t>
            </w:r>
          </w:p>
        </w:tc>
        <w:tc>
          <w:tcPr>
            <w:tcW w:w="10357" w:type="dxa"/>
            <w:gridSpan w:val="2"/>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При подаче заявки участник закупки дает свое согласие с применением программно-аппаратных средств электронной площадки на поставку товара, выполнение работы с использованием товара на условиях или оказание услуги с использованием товара на условиях, предусмотренных описанием объекта закупки и не подлежащих изменению по результатам проведения закупки (в том числе, в части количества поставляемого товара). Участник закупки имеет право предложить иное количество товара в одной упаковке при условии пересчета количества упаковок с сохранением общего количества товара.</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5.4.</w:t>
            </w:r>
          </w:p>
        </w:tc>
        <w:tc>
          <w:tcPr>
            <w:tcW w:w="10357" w:type="dxa"/>
            <w:gridSpan w:val="2"/>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Ответственность за достоверность сведений о конкретных показателях используемого товара, товарном знаке (при наличии), наименовании страны происхождения товара (в случае установления заказчиком в извещении  о проведении электронного аукциона, условий, запретов, ограничений допуска товаров, происходящих  из иностранного государства или группы иностранных государств), указанных в заявке на участие в аукционе в электронной форме, несет участник закупки.</w:t>
            </w:r>
          </w:p>
        </w:tc>
      </w:tr>
      <w:tr>
        <w:trPr>
          <w:trHeight w:val="20" w:hRule="atLeast"/>
        </w:trPr>
        <w:tc>
          <w:tcPr>
            <w:tcW w:w="10872" w:type="dxa"/>
            <w:gridSpan w:val="3"/>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b/>
                <w:sz w:val="18"/>
                <w:lang w:eastAsia="ru-RU"/>
              </w:rPr>
            </w:pPr>
            <w:r>
              <w:rPr>
                <w:rFonts w:ascii="Times New Roman" w:hAnsi="Times New Roman"/>
                <w:b/>
                <w:sz w:val="18"/>
                <w:lang w:eastAsia="ru-RU"/>
              </w:rPr>
              <w:t>6. Дополнительная информация</w:t>
            </w:r>
          </w:p>
        </w:tc>
      </w:tr>
      <w:tr>
        <w:trPr>
          <w:trHeight w:val="20" w:hRule="atLeast"/>
        </w:trPr>
        <w:tc>
          <w:tcPr>
            <w:tcW w:w="515" w:type="dxa"/>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6.1.</w:t>
            </w:r>
          </w:p>
        </w:tc>
        <w:tc>
          <w:tcPr>
            <w:tcW w:w="10357" w:type="dxa"/>
            <w:gridSpan w:val="2"/>
            <w:tcBorders>
              <w:top w:val="single" w:sz="6" w:space="0" w:color="000000"/>
              <w:left w:val="single" w:sz="6" w:space="0" w:color="000000"/>
              <w:bottom w:val="single" w:sz="6" w:space="0" w:color="000000"/>
              <w:right w:val="single" w:sz="6" w:space="0" w:color="000000"/>
            </w:tcBorders>
          </w:tcPr>
          <w:p>
            <w:pPr>
              <w:pStyle w:val="Normal"/>
              <w:spacing w:before="0" w:after="0"/>
              <w:jc w:val="both"/>
              <w:rPr>
                <w:rFonts w:ascii="Times New Roman" w:hAnsi="Times New Roman"/>
                <w:sz w:val="18"/>
                <w:lang w:eastAsia="ru-RU"/>
              </w:rPr>
            </w:pPr>
            <w:r>
              <w:rPr>
                <w:rFonts w:ascii="Times New Roman" w:hAnsi="Times New Roman"/>
                <w:sz w:val="18"/>
                <w:lang w:eastAsia="ru-RU"/>
              </w:rPr>
              <w:t xml:space="preserve"> </w:t>
            </w:r>
            <w:r>
              <w:rPr>
                <w:rFonts w:ascii="Times New Roman" w:hAnsi="Times New Roman"/>
                <w:sz w:val="18"/>
                <w:lang w:eastAsia="ru-RU"/>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 (при применении закрытых конкурентных способов определения поставщика (подрядчика, исполнителя) до окончания установленного в соответствии с Законом о контрактной системе срока подачи заявок на участие в закупке.</w:t>
            </w:r>
          </w:p>
          <w:p>
            <w:pPr>
              <w:pStyle w:val="Normal"/>
              <w:spacing w:before="0" w:after="0"/>
              <w:jc w:val="both"/>
              <w:rPr>
                <w:rFonts w:ascii="Times New Roman" w:hAnsi="Times New Roman"/>
                <w:sz w:val="18"/>
                <w:lang w:eastAsia="ru-RU"/>
              </w:rPr>
            </w:pPr>
            <w:r>
              <w:rPr>
                <w:rFonts w:ascii="Times New Roman" w:hAnsi="Times New Roman"/>
                <w:b/>
                <w:sz w:val="18"/>
                <w:lang w:eastAsia="ru-RU"/>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Законом о контрактной системе предусмотрена документация о закупке), и в соответствии с заявкой такого участника закупки на участие в закупке</w:t>
            </w:r>
            <w:r>
              <w:rPr>
                <w:rFonts w:ascii="Times New Roman" w:hAnsi="Times New Roman"/>
                <w:sz w:val="18"/>
                <w:lang w:eastAsia="ru-RU"/>
              </w:rPr>
              <w:t>.</w:t>
            </w:r>
          </w:p>
          <w:p>
            <w:pPr>
              <w:pStyle w:val="Normal"/>
              <w:spacing w:before="0" w:after="0"/>
              <w:jc w:val="both"/>
              <w:rPr>
                <w:rFonts w:ascii="Times New Roman" w:hAnsi="Times New Roman"/>
                <w:sz w:val="18"/>
                <w:lang w:eastAsia="ru-RU"/>
              </w:rPr>
            </w:pPr>
            <w:r>
              <w:rPr>
                <w:rFonts w:ascii="Times New Roman" w:hAnsi="Times New Roman"/>
                <w:sz w:val="18"/>
                <w:lang w:eastAsia="ru-RU"/>
              </w:rPr>
              <w:t xml:space="preserve"> </w:t>
            </w:r>
            <w:r>
              <w:rPr>
                <w:rFonts w:ascii="Times New Roman" w:hAnsi="Times New Roman"/>
                <w:sz w:val="18"/>
                <w:lang w:eastAsia="ru-RU"/>
              </w:rPr>
              <w:t>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Законом о контрактной системе оператору электронной площадки, оператору специализированной электронной площадки.</w:t>
            </w:r>
          </w:p>
          <w:p>
            <w:pPr>
              <w:pStyle w:val="Normal"/>
              <w:spacing w:before="0" w:after="0"/>
              <w:jc w:val="both"/>
              <w:rPr>
                <w:rFonts w:ascii="Times New Roman" w:hAnsi="Times New Roman"/>
                <w:sz w:val="18"/>
                <w:lang w:eastAsia="ru-RU"/>
              </w:rPr>
            </w:pPr>
            <w:r>
              <w:rPr>
                <w:rFonts w:ascii="Times New Roman" w:hAnsi="Times New Roman"/>
                <w:sz w:val="18"/>
                <w:lang w:eastAsia="ru-RU"/>
              </w:rPr>
              <w:t>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w:t>
            </w:r>
          </w:p>
          <w:p>
            <w:pPr>
              <w:pStyle w:val="Normal"/>
              <w:spacing w:before="0" w:after="0"/>
              <w:jc w:val="both"/>
              <w:rPr>
                <w:rFonts w:ascii="Times New Roman" w:hAnsi="Times New Roman"/>
                <w:sz w:val="18"/>
                <w:lang w:eastAsia="ru-RU"/>
              </w:rPr>
            </w:pPr>
            <w:r>
              <w:rPr>
                <w:rFonts w:ascii="Times New Roman" w:hAnsi="Times New Roman"/>
                <w:sz w:val="18"/>
                <w:lang w:eastAsia="ru-RU"/>
              </w:rPr>
              <w:t>а) подачи заявки на участие в закупке с нарушением требований, предусмотренных частью 1 статьи 5 Закона о контрактной системе;</w:t>
            </w:r>
          </w:p>
          <w:p>
            <w:pPr>
              <w:pStyle w:val="Normal"/>
              <w:spacing w:before="0" w:after="0"/>
              <w:jc w:val="both"/>
              <w:rPr>
                <w:rFonts w:ascii="Times New Roman" w:hAnsi="Times New Roman"/>
                <w:sz w:val="18"/>
                <w:lang w:eastAsia="ru-RU"/>
              </w:rPr>
            </w:pPr>
            <w:r>
              <w:rPr>
                <w:rFonts w:ascii="Times New Roman" w:hAnsi="Times New Roman"/>
                <w:sz w:val="18"/>
                <w:lang w:eastAsia="ru-RU"/>
              </w:rPr>
              <w:t>б) 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При этом такому участнику закупки возвращаются все заявки на участие в закупке;</w:t>
            </w:r>
          </w:p>
          <w:p>
            <w:pPr>
              <w:pStyle w:val="Normal"/>
              <w:spacing w:before="0" w:after="0"/>
              <w:jc w:val="both"/>
              <w:rPr>
                <w:rFonts w:ascii="Times New Roman" w:hAnsi="Times New Roman"/>
                <w:sz w:val="18"/>
                <w:lang w:eastAsia="ru-RU"/>
              </w:rPr>
            </w:pPr>
            <w:r>
              <w:rPr>
                <w:rFonts w:ascii="Times New Roman" w:hAnsi="Times New Roman"/>
                <w:sz w:val="18"/>
                <w:lang w:eastAsia="ru-RU"/>
              </w:rPr>
              <w:t>в) подачи заявки на участие в закупке после окончания срока подачи заявок на участие в закупке;</w:t>
            </w:r>
          </w:p>
          <w:p>
            <w:pPr>
              <w:pStyle w:val="Normal"/>
              <w:spacing w:before="0" w:after="0"/>
              <w:jc w:val="both"/>
              <w:rPr>
                <w:rFonts w:ascii="Times New Roman" w:hAnsi="Times New Roman"/>
                <w:sz w:val="18"/>
                <w:lang w:eastAsia="ru-RU"/>
              </w:rPr>
            </w:pPr>
            <w:r>
              <w:rPr>
                <w:rFonts w:ascii="Times New Roman" w:hAnsi="Times New Roman"/>
                <w:sz w:val="18"/>
                <w:lang w:eastAsia="ru-RU"/>
              </w:rPr>
              <w:t>г) подачи участником закупки в соответствии с Законом о контрактной системе заявки на участие в закупке, содержащей предложение о цене контракта, о сумме цен единиц товара, работы, услуги, размер которого превышает соответственно начальную (максимальную) цену контракта, начальную сумму цен единиц товара, работы, услуги либо равен нулю;</w:t>
            </w:r>
          </w:p>
          <w:p>
            <w:pPr>
              <w:pStyle w:val="Normal"/>
              <w:spacing w:before="0" w:after="0"/>
              <w:jc w:val="both"/>
              <w:rPr>
                <w:rFonts w:ascii="Times New Roman" w:hAnsi="Times New Roman"/>
                <w:sz w:val="18"/>
                <w:lang w:eastAsia="ru-RU"/>
              </w:rPr>
            </w:pPr>
            <w:r>
              <w:rPr>
                <w:rFonts w:ascii="Times New Roman" w:hAnsi="Times New Roman"/>
                <w:sz w:val="18"/>
                <w:lang w:eastAsia="ru-RU"/>
              </w:rPr>
              <w:t>д) указания в заявке иностранного государства в качестве страны происхождении товара в случае установления в соответствии со статьей 14 Закона о контрактной системе в извещении об осуществлении закупки запрета допуска товаров, происходящих из иностранного государства или группы иностранных государств;</w:t>
            </w:r>
          </w:p>
          <w:p>
            <w:pPr>
              <w:pStyle w:val="Normal"/>
              <w:spacing w:before="0" w:after="0"/>
              <w:jc w:val="both"/>
              <w:rPr>
                <w:rFonts w:ascii="Times New Roman" w:hAnsi="Times New Roman"/>
                <w:sz w:val="18"/>
                <w:lang w:eastAsia="ru-RU"/>
              </w:rPr>
            </w:pPr>
            <w:r>
              <w:rPr>
                <w:rFonts w:ascii="Times New Roman" w:hAnsi="Times New Roman"/>
                <w:sz w:val="18"/>
                <w:lang w:eastAsia="ru-RU"/>
              </w:rPr>
              <w:t>е) получения оператором электронной площадки от банка информации об отсутствии на специальном счете денежных средств в размере, необходимом для обеспечения заявки на участие в закупке;</w:t>
            </w:r>
          </w:p>
          <w:p>
            <w:pPr>
              <w:pStyle w:val="Normal"/>
              <w:spacing w:before="0" w:after="0"/>
              <w:jc w:val="both"/>
              <w:rPr>
                <w:rFonts w:ascii="Times New Roman" w:hAnsi="Times New Roman"/>
                <w:sz w:val="18"/>
                <w:lang w:eastAsia="ru-RU"/>
              </w:rPr>
            </w:pPr>
            <w:r>
              <w:rPr>
                <w:rFonts w:ascii="Times New Roman" w:hAnsi="Times New Roman"/>
                <w:sz w:val="18"/>
                <w:lang w:eastAsia="ru-RU"/>
              </w:rPr>
              <w:t>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Законом о контрактной системе;</w:t>
            </w:r>
          </w:p>
          <w:p>
            <w:pPr>
              <w:pStyle w:val="Normal"/>
              <w:spacing w:before="0" w:after="0"/>
              <w:jc w:val="both"/>
              <w:rPr>
                <w:rFonts w:ascii="Times New Roman" w:hAnsi="Times New Roman"/>
                <w:sz w:val="18"/>
                <w:lang w:eastAsia="ru-RU"/>
              </w:rPr>
            </w:pPr>
            <w:r>
              <w:rPr>
                <w:rFonts w:ascii="Times New Roman" w:hAnsi="Times New Roman"/>
                <w:sz w:val="18"/>
                <w:lang w:eastAsia="ru-RU"/>
              </w:rPr>
              <w:t>з) наличия в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функции единоличного исполнительного органа участника закупки - юридического лица, при условии установления требования об отсутствии участника закупки в реестре недобросовестных поставщиков (подрядчиков, исполнителей);</w:t>
            </w:r>
          </w:p>
          <w:p>
            <w:pPr>
              <w:pStyle w:val="Normal"/>
              <w:spacing w:before="0" w:after="0"/>
              <w:jc w:val="both"/>
              <w:rPr>
                <w:rFonts w:ascii="Times New Roman" w:hAnsi="Times New Roman"/>
                <w:sz w:val="18"/>
                <w:lang w:eastAsia="ru-RU"/>
              </w:rPr>
            </w:pPr>
            <w:r>
              <w:rPr>
                <w:rFonts w:ascii="Times New Roman" w:hAnsi="Times New Roman"/>
                <w:sz w:val="18"/>
                <w:lang w:eastAsia="ru-RU"/>
              </w:rPr>
              <w:t>и) отсутствия в реестре участников закупок, аккредитованных на электронной площадке, информации и документов участника закупки, предусмотренных перечнем, установленным Правительством Российской Федерации (при осуществлении закупки, в отношении участников которой в извещении об осуществлении закупки установлены дополнительные требования в соответствии с частью 2 или 2.1 статьи 31 Закона о контрактной системе);</w:t>
            </w:r>
          </w:p>
          <w:p>
            <w:pPr>
              <w:pStyle w:val="Normal"/>
              <w:spacing w:before="0" w:after="0"/>
              <w:jc w:val="both"/>
              <w:rPr>
                <w:rFonts w:ascii="Times New Roman" w:hAnsi="Times New Roman"/>
                <w:sz w:val="18"/>
                <w:lang w:eastAsia="ru-RU"/>
              </w:rPr>
            </w:pPr>
            <w:r>
              <w:rPr>
                <w:rFonts w:ascii="Times New Roman" w:hAnsi="Times New Roman"/>
                <w:sz w:val="18"/>
                <w:lang w:eastAsia="ru-RU"/>
              </w:rPr>
              <w:t>к) подачи заявки участником закупки, не являющимся субъектом малого предпринимательства, социально ориентированной некоммерческой организацией, в случае установления в извещении об осуществлении закупки преимущества, предусмотренного частью 3 статьи 30 Закона о контрактной системе;</w:t>
            </w:r>
          </w:p>
          <w:p>
            <w:pPr>
              <w:pStyle w:val="Normal"/>
              <w:spacing w:before="0" w:after="0"/>
              <w:jc w:val="both"/>
              <w:rPr>
                <w:rFonts w:ascii="Times New Roman" w:hAnsi="Times New Roman"/>
                <w:sz w:val="18"/>
                <w:lang w:eastAsia="ru-RU"/>
              </w:rPr>
            </w:pPr>
            <w:r>
              <w:rPr>
                <w:rFonts w:ascii="Times New Roman" w:hAnsi="Times New Roman"/>
                <w:sz w:val="18"/>
                <w:lang w:eastAsia="ru-RU"/>
              </w:rPr>
              <w:t>л) подачи заявки участником закупки, являющимся иностранным лицом, в случае установления в соответствии со статьей 14 Закона о контрактной системе в извещении об осуществлении закупки запрета допуска работ, услуг, соответственно выполняемых, оказываемых иностранными лицами;</w:t>
            </w:r>
          </w:p>
          <w:p>
            <w:pPr>
              <w:pStyle w:val="Normal"/>
              <w:spacing w:before="0" w:after="0"/>
              <w:jc w:val="both"/>
              <w:rPr>
                <w:rFonts w:ascii="Times New Roman" w:hAnsi="Times New Roman"/>
                <w:sz w:val="18"/>
                <w:lang w:eastAsia="ru-RU"/>
              </w:rPr>
            </w:pPr>
            <w:r>
              <w:rPr>
                <w:rFonts w:ascii="Times New Roman" w:hAnsi="Times New Roman"/>
                <w:sz w:val="18"/>
                <w:lang w:eastAsia="ru-RU"/>
              </w:rPr>
              <w:t>Одновременно с возвратом заявки на участие в закупке оператор электронной площадки направляют участнику закупки, подавшему такую заявку, уведомление о возврате заявки на участие в закупке с указанием оснований ее возврата.</w:t>
            </w:r>
          </w:p>
          <w:p>
            <w:pPr>
              <w:pStyle w:val="Normal"/>
              <w:spacing w:before="0" w:after="0"/>
              <w:jc w:val="both"/>
              <w:rPr>
                <w:rFonts w:ascii="Times New Roman" w:hAnsi="Times New Roman"/>
                <w:sz w:val="18"/>
                <w:lang w:eastAsia="ru-RU"/>
              </w:rPr>
            </w:pPr>
            <w:r>
              <w:rPr>
                <w:rFonts w:ascii="Times New Roman" w:hAnsi="Times New Roman"/>
                <w:sz w:val="18"/>
                <w:lang w:eastAsia="ru-RU"/>
              </w:rPr>
              <w:t>Участник закупки после возврата ему заявки на участие в закупке вправе подать новую заявку на участие в</w:t>
            </w:r>
          </w:p>
          <w:p>
            <w:pPr>
              <w:pStyle w:val="Normal"/>
              <w:spacing w:before="0" w:after="0"/>
              <w:jc w:val="both"/>
              <w:rPr>
                <w:rFonts w:ascii="Times New Roman" w:hAnsi="Times New Roman"/>
                <w:sz w:val="18"/>
                <w:lang w:eastAsia="ru-RU"/>
              </w:rPr>
            </w:pPr>
            <w:r>
              <w:rPr>
                <w:rFonts w:ascii="Times New Roman" w:hAnsi="Times New Roman"/>
                <w:sz w:val="18"/>
                <w:lang w:eastAsia="ru-RU"/>
              </w:rPr>
              <w:t>закупке.</w:t>
            </w:r>
          </w:p>
          <w:p>
            <w:pPr>
              <w:pStyle w:val="Normal"/>
              <w:spacing w:before="0" w:after="0"/>
              <w:jc w:val="both"/>
              <w:rPr>
                <w:rFonts w:ascii="Times New Roman" w:hAnsi="Times New Roman"/>
                <w:sz w:val="18"/>
                <w:lang w:eastAsia="ru-RU"/>
              </w:rPr>
            </w:pPr>
            <w:r>
              <w:rPr>
                <w:rFonts w:ascii="Times New Roman" w:hAnsi="Times New Roman"/>
                <w:sz w:val="18"/>
                <w:lang w:eastAsia="ru-RU"/>
              </w:rPr>
              <w:t>Не позднее одного часа с момента получения заявки на участие в закупке, которая не подлежит возврату, оператор электронной площадки обязан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присвоенного ей идентификационного номера.</w:t>
            </w:r>
          </w:p>
          <w:p>
            <w:pPr>
              <w:pStyle w:val="Normal"/>
              <w:spacing w:before="0" w:after="0"/>
              <w:jc w:val="both"/>
              <w:rPr>
                <w:rFonts w:ascii="Times New Roman" w:hAnsi="Times New Roman"/>
                <w:sz w:val="18"/>
                <w:lang w:eastAsia="ru-RU"/>
              </w:rPr>
            </w:pPr>
            <w:r>
              <w:rPr>
                <w:rFonts w:ascii="Times New Roman" w:hAnsi="Times New Roman"/>
                <w:sz w:val="18"/>
                <w:lang w:eastAsia="ru-RU"/>
              </w:rPr>
              <w:t>Не позднее одного часа с момента окончания срока подачи заявок на участие в закупке оператор электронной площадки направляет заказчику заявки на участие в закупке, которые не возвращены, а также информацию о дате и времени их подачи.</w:t>
            </w:r>
          </w:p>
          <w:p>
            <w:pPr>
              <w:pStyle w:val="Normal"/>
              <w:spacing w:before="0" w:after="0"/>
              <w:jc w:val="both"/>
              <w:rPr>
                <w:rFonts w:ascii="Times New Roman" w:hAnsi="Times New Roman"/>
                <w:sz w:val="18"/>
                <w:lang w:eastAsia="ru-RU"/>
              </w:rPr>
            </w:pPr>
            <w:r>
              <w:rPr>
                <w:rFonts w:ascii="Times New Roman" w:hAnsi="Times New Roman"/>
                <w:sz w:val="18"/>
                <w:lang w:eastAsia="ru-RU"/>
              </w:rPr>
              <w:t>Участник закупки, подавший заявку на участие в закупке, вправе отозвать такую заявку:</w:t>
            </w:r>
          </w:p>
          <w:p>
            <w:pPr>
              <w:pStyle w:val="Normal"/>
              <w:spacing w:before="0" w:after="0"/>
              <w:jc w:val="both"/>
              <w:rPr>
                <w:rFonts w:ascii="Times New Roman" w:hAnsi="Times New Roman"/>
                <w:sz w:val="18"/>
                <w:lang w:eastAsia="ru-RU"/>
              </w:rPr>
            </w:pPr>
            <w:r>
              <w:rPr>
                <w:rFonts w:ascii="Times New Roman" w:hAnsi="Times New Roman"/>
                <w:sz w:val="18"/>
                <w:lang w:eastAsia="ru-RU"/>
              </w:rPr>
              <w:t>1) до окончания срока подачи заявок на участие в закупке;</w:t>
            </w:r>
          </w:p>
          <w:p>
            <w:pPr>
              <w:pStyle w:val="Normal"/>
              <w:spacing w:before="0" w:after="0"/>
              <w:jc w:val="both"/>
              <w:rPr>
                <w:rFonts w:ascii="Times New Roman" w:hAnsi="Times New Roman"/>
                <w:sz w:val="18"/>
                <w:lang w:eastAsia="ru-RU"/>
              </w:rPr>
            </w:pPr>
            <w:r>
              <w:rPr>
                <w:rFonts w:ascii="Times New Roman" w:hAnsi="Times New Roman"/>
                <w:sz w:val="18"/>
                <w:lang w:eastAsia="ru-RU"/>
              </w:rPr>
              <w:t>2) с момента размещения в единой информационной системе протокола подведения итогов определения поставщика (подрядчика, исполнителя) до размещения проекта контракта, заключаемого с таким участником закупки, за исключением случаев, если такая заявка отклонена. Не допускается отзыв заявок, которым в соответствии с Законом о контрактной системе присвоены первые три порядковых номера.</w:t>
            </w:r>
          </w:p>
          <w:p>
            <w:pPr>
              <w:pStyle w:val="Normal"/>
              <w:spacing w:before="0" w:after="0"/>
              <w:jc w:val="both"/>
              <w:rPr>
                <w:rFonts w:ascii="Times New Roman" w:hAnsi="Times New Roman"/>
                <w:sz w:val="18"/>
                <w:lang w:eastAsia="ru-RU"/>
              </w:rPr>
            </w:pPr>
            <w:r>
              <w:rPr>
                <w:rFonts w:ascii="Times New Roman" w:hAnsi="Times New Roman"/>
                <w:sz w:val="18"/>
                <w:lang w:eastAsia="ru-RU"/>
              </w:rPr>
              <w:t>Если участник закупки отзывает заявку на участие в закупке при проведении электронных процедур, закрытых электронных процедур, такой участник закупки:</w:t>
            </w:r>
          </w:p>
          <w:p>
            <w:pPr>
              <w:pStyle w:val="Normal"/>
              <w:spacing w:before="0" w:after="0"/>
              <w:jc w:val="both"/>
              <w:rPr>
                <w:rFonts w:ascii="Times New Roman" w:hAnsi="Times New Roman"/>
                <w:sz w:val="18"/>
                <w:lang w:eastAsia="ru-RU"/>
              </w:rPr>
            </w:pPr>
            <w:r>
              <w:rPr>
                <w:rFonts w:ascii="Times New Roman" w:hAnsi="Times New Roman"/>
                <w:sz w:val="18"/>
                <w:lang w:eastAsia="ru-RU"/>
              </w:rPr>
              <w:t>1) формирует с использованием электронной площадки, специализированной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
          <w:p>
            <w:pPr>
              <w:pStyle w:val="Normal"/>
              <w:spacing w:before="0" w:after="0"/>
              <w:jc w:val="both"/>
              <w:rPr>
                <w:rFonts w:ascii="Times New Roman" w:hAnsi="Times New Roman"/>
                <w:sz w:val="18"/>
                <w:lang w:eastAsia="ru-RU"/>
              </w:rPr>
            </w:pPr>
            <w:r>
              <w:rPr>
                <w:rFonts w:ascii="Times New Roman" w:hAnsi="Times New Roman"/>
                <w:sz w:val="18"/>
                <w:lang w:eastAsia="ru-RU"/>
              </w:rPr>
              <w:t>2) в случае отзыва заявки до окончания срока подачи заявок на участие в закупке, заявка на участие в закупке считается отозванной с момента подписания отзыва заявки на участие в закупке;</w:t>
            </w:r>
          </w:p>
          <w:p>
            <w:pPr>
              <w:pStyle w:val="Normal"/>
              <w:spacing w:before="0" w:after="0"/>
              <w:jc w:val="both"/>
              <w:rPr>
                <w:rFonts w:ascii="Times New Roman" w:hAnsi="Times New Roman"/>
                <w:sz w:val="18"/>
                <w:lang w:eastAsia="ru-RU"/>
              </w:rPr>
            </w:pPr>
            <w:r>
              <w:rPr>
                <w:rFonts w:ascii="Times New Roman" w:hAnsi="Times New Roman"/>
                <w:sz w:val="18"/>
                <w:lang w:eastAsia="ru-RU"/>
              </w:rPr>
              <w:t>3) в случае отзыва заявки с момента размещения в единой информационной системе протокола подведения итогов определения поставщика (подрядчика, исполнителя) до размещения проекта контракта оператор электронной площадки не позднее одного часа с момента подписания отзыва заявки на участие в закупке направляет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 единую информационную систему. С момента направления отзыва заявки на участие в закупке в соответствии с настоящим пунктом заявка на участие в закупке считается отозванной.</w:t>
            </w:r>
          </w:p>
        </w:tc>
      </w:tr>
    </w:tbl>
    <w:p>
      <w:pPr>
        <w:pStyle w:val="Normal"/>
        <w:spacing w:lineRule="auto" w:line="240" w:before="0" w:after="0"/>
        <w:rPr>
          <w:rFonts w:ascii="Times New Roman" w:hAnsi="Times New Roman"/>
          <w:sz w:val="24"/>
          <w:szCs w:val="24"/>
        </w:rPr>
      </w:pPr>
      <w:r>
        <w:rPr>
          <w:rFonts w:ascii="Times New Roman" w:hAnsi="Times New Roman"/>
          <w:sz w:val="24"/>
          <w:szCs w:val="24"/>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Cambria">
    <w:charset w:val="01"/>
    <w:family w:val="swiss"/>
    <w:pitch w:val="default"/>
  </w:font>
  <w:font w:name="PT Astra Serif">
    <w:charset w:val="01"/>
    <w:family w:val="roman"/>
    <w:pitch w:val="default"/>
  </w:font>
  <w:font w:name="Times New Roman">
    <w:charset w:val="01"/>
    <w:family w:val="roman"/>
    <w:pitch w:val="default"/>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Calibri"/>
        <w:lang w:val="ru-RU" w:eastAsia="ru-RU" w:bidi="ar-SA"/>
      </w:rPr>
    </w:rPrDefault>
    <w:pPrDefault>
      <w:pPr>
        <w:suppressAutoHyphens w:val="true"/>
      </w:pPr>
    </w:pPrDefault>
  </w:docDefaults>
  <w:latentStyles w:defLockedState="0" w:defUIPriority="99" w:defSemiHidden="0" w:defUnhideWhenUsed="0" w:defQFormat="0" w:count="26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caption" w:uiPriority="35" w:semiHidden="1"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uiPriority="1"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d51325"/>
    <w:pPr>
      <w:widowControl/>
      <w:suppressAutoHyphens w:val="true"/>
      <w:bidi w:val="0"/>
      <w:spacing w:lineRule="auto" w:line="276" w:before="0" w:after="200"/>
      <w:jc w:val="left"/>
    </w:pPr>
    <w:rPr>
      <w:rFonts w:ascii="Calibri" w:hAnsi="Calibri" w:eastAsia="Times New Roman" w:cs="Times New Roman"/>
      <w:color w:val="auto"/>
      <w:kern w:val="0"/>
      <w:sz w:val="22"/>
      <w:szCs w:val="22"/>
      <w:lang w:val="ru-RU" w:eastAsia="en-US" w:bidi="ar-SA"/>
    </w:rPr>
  </w:style>
  <w:style w:type="character" w:styleId="DefaultParagraphFont" w:default="1">
    <w:name w:val="Default Paragraph Font"/>
    <w:uiPriority w:val="1"/>
    <w:semiHidden/>
    <w:unhideWhenUsed/>
    <w:qFormat/>
    <w:rPr/>
  </w:style>
  <w:style w:type="character" w:styleId="Style14" w:customStyle="1">
    <w:name w:val="Верхний колонтитул Знак"/>
    <w:basedOn w:val="DefaultParagraphFont"/>
    <w:uiPriority w:val="99"/>
    <w:qFormat/>
    <w:locked/>
    <w:rsid w:val="00016fa1"/>
    <w:rPr>
      <w:rFonts w:cs="Times New Roman"/>
      <w:sz w:val="22"/>
      <w:szCs w:val="22"/>
      <w:lang w:eastAsia="en-US"/>
    </w:rPr>
  </w:style>
  <w:style w:type="character" w:styleId="Style15" w:customStyle="1">
    <w:name w:val="Нижний колонтитул Знак"/>
    <w:basedOn w:val="DefaultParagraphFont"/>
    <w:uiPriority w:val="99"/>
    <w:qFormat/>
    <w:locked/>
    <w:rsid w:val="00016fa1"/>
    <w:rPr>
      <w:rFonts w:cs="Times New Roman"/>
      <w:sz w:val="22"/>
      <w:szCs w:val="22"/>
      <w:lang w:eastAsia="en-US"/>
    </w:rPr>
  </w:style>
  <w:style w:type="character" w:styleId="Style16" w:customStyle="1">
    <w:name w:val="Абзац списка Знак"/>
    <w:link w:val="ListParagraph"/>
    <w:uiPriority w:val="34"/>
    <w:qFormat/>
    <w:locked/>
    <w:rsid w:val="00c910cc"/>
    <w:rPr>
      <w:rFonts w:ascii="Cambria" w:hAnsi="Cambria" w:eastAsia="" w:cs="" w:asciiTheme="majorHAnsi" w:cstheme="majorBidi" w:eastAsiaTheme="majorEastAsia" w:hAnsiTheme="majorHAnsi"/>
    </w:rPr>
  </w:style>
  <w:style w:type="character" w:styleId="Hyperlink">
    <w:name w:val="Hyperlink"/>
    <w:rPr>
      <w:color w:val="000080"/>
      <w:u w:val="single"/>
    </w:rPr>
  </w:style>
  <w:style w:type="paragraph" w:styleId="Style17">
    <w:name w:val="Заголовок"/>
    <w:basedOn w:val="Normal"/>
    <w:next w:val="BodyText"/>
    <w:qFormat/>
    <w:pPr>
      <w:keepNext w:val="true"/>
      <w:spacing w:before="240" w:after="120"/>
    </w:pPr>
    <w:rPr>
      <w:rFonts w:ascii="PT Astra Serif" w:hAnsi="PT Astra Serif" w:eastAsia="Tahoma"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PT Astra Serif" w:hAnsi="PT Astra Serif" w:cs="Noto Sans Devanagari"/>
    </w:rPr>
  </w:style>
  <w:style w:type="paragraph" w:styleId="Caption">
    <w:name w:val="caption"/>
    <w:basedOn w:val="Normal"/>
    <w:qFormat/>
    <w:pPr>
      <w:suppressLineNumbers/>
      <w:spacing w:before="120" w:after="120"/>
    </w:pPr>
    <w:rPr>
      <w:rFonts w:ascii="PT Astra Serif" w:hAnsi="PT Astra Serif" w:cs="Noto Sans Devanagari"/>
      <w:i/>
      <w:iCs/>
      <w:sz w:val="24"/>
      <w:szCs w:val="24"/>
    </w:rPr>
  </w:style>
  <w:style w:type="paragraph" w:styleId="Style18">
    <w:name w:val="Указатель"/>
    <w:basedOn w:val="Normal"/>
    <w:qFormat/>
    <w:pPr>
      <w:suppressLineNumbers/>
    </w:pPr>
    <w:rPr>
      <w:rFonts w:ascii="PT Astra Serif" w:hAnsi="PT Astra Serif" w:cs="Noto Sans Devanagari"/>
    </w:rPr>
  </w:style>
  <w:style w:type="paragraph" w:styleId="HeaderandFooter">
    <w:name w:val="Header and Footer"/>
    <w:basedOn w:val="Normal"/>
    <w:qFormat/>
    <w:pPr/>
    <w:rPr/>
  </w:style>
  <w:style w:type="paragraph" w:styleId="Header">
    <w:name w:val="header"/>
    <w:basedOn w:val="Normal"/>
    <w:link w:val="Style14"/>
    <w:uiPriority w:val="99"/>
    <w:unhideWhenUsed/>
    <w:rsid w:val="00016fa1"/>
    <w:pPr>
      <w:tabs>
        <w:tab w:val="clear" w:pos="708"/>
        <w:tab w:val="center" w:pos="4677" w:leader="none"/>
        <w:tab w:val="right" w:pos="9355" w:leader="none"/>
      </w:tabs>
    </w:pPr>
    <w:rPr/>
  </w:style>
  <w:style w:type="paragraph" w:styleId="Footer">
    <w:name w:val="footer"/>
    <w:basedOn w:val="Normal"/>
    <w:link w:val="Style15"/>
    <w:uiPriority w:val="99"/>
    <w:unhideWhenUsed/>
    <w:rsid w:val="00016fa1"/>
    <w:pPr>
      <w:tabs>
        <w:tab w:val="clear" w:pos="708"/>
        <w:tab w:val="center" w:pos="4677" w:leader="none"/>
        <w:tab w:val="right" w:pos="9355" w:leader="none"/>
      </w:tabs>
    </w:pPr>
    <w:rPr/>
  </w:style>
  <w:style w:type="paragraph" w:styleId="ListParagraph">
    <w:name w:val="List Paragraph"/>
    <w:basedOn w:val="Normal"/>
    <w:link w:val="Style16"/>
    <w:uiPriority w:val="34"/>
    <w:qFormat/>
    <w:rsid w:val="00c910cc"/>
    <w:pPr>
      <w:spacing w:before="0" w:after="200"/>
      <w:ind w:left="720"/>
      <w:contextualSpacing/>
    </w:pPr>
    <w:rPr>
      <w:rFonts w:ascii="Cambria" w:hAnsi="Cambria" w:eastAsia="" w:cs="" w:asciiTheme="majorHAnsi" w:cstheme="majorBidi" w:eastAsiaTheme="majorEastAsia" w:hAnsiTheme="majorHAnsi"/>
      <w:sz w:val="20"/>
      <w:szCs w:val="20"/>
      <w:lang w:eastAsia="ru-RU"/>
    </w:rPr>
  </w:style>
  <w:style w:type="paragraph" w:styleId="2">
    <w:name w:val="Обычный2"/>
    <w:qFormat/>
    <w:pPr>
      <w:widowControl/>
      <w:suppressAutoHyphens w:val="true"/>
      <w:bidi w:val="0"/>
      <w:spacing w:lineRule="auto" w:line="240" w:before="0" w:after="0"/>
      <w:jc w:val="both"/>
    </w:pPr>
    <w:rPr>
      <w:rFonts w:ascii="Times New Roman" w:hAnsi="Times New Roman" w:eastAsia="Times New Roman" w:cs="Calibri"/>
      <w:color w:val="000000"/>
      <w:kern w:val="0"/>
      <w:sz w:val="20"/>
      <w:szCs w:val="20"/>
      <w:lang w:val="ru-RU" w:eastAsia="ru-RU" w:bidi="ar-SA"/>
    </w:rPr>
  </w:style>
  <w:style w:type="numbering" w:styleId="Style19" w:default="1">
    <w:name w:val="Без списка"/>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 w:type="table" w:styleId="a7">
    <w:name w:val="Table Grid"/>
    <w:basedOn w:val="a1"/>
    <w:uiPriority w:val="59"/>
    <w:rsid w:val="00961975"/>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
    <w:name w:val="Сетка таблицы1"/>
    <w:basedOn w:val="a1"/>
    <w:uiPriority w:val="39"/>
    <w:rsid w:val="00c910cc"/>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LibreOffice/24.8.4.2$Linux_X86_64 LibreOffice_project/480$Build-2</Application>
  <AppVersion>15.0000</AppVersion>
  <Pages>5</Pages>
  <Words>2919</Words>
  <Characters>21131</Characters>
  <CharactersWithSpaces>23927</CharactersWithSpaces>
  <Paragraphs>130</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2024-12-03T09:35:00Z</dcterms:created>
  <dc:creator>Zakupki-1</dc:creator>
  <dc:description/>
  <dc:language>ru-RU</dc:language>
  <cp:lastModifiedBy/>
  <cp:lastPrinted>2019-11-14T10:12:00Z</cp:lastPrinted>
  <dcterms:modified xsi:type="dcterms:W3CDTF">2026-08-05T09:18:10Z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