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ind w:hanging="0"/>
        <w:jc w:val="center"/>
        <w:rPr/>
      </w:pPr>
      <w:r>
        <w:rPr>
          <w:rFonts w:cs="Times New Roman"/>
          <w:sz w:val="24"/>
          <w:szCs w:val="24"/>
        </w:rPr>
        <w:t xml:space="preserve">                                                                                     </w:t>
      </w:r>
      <w:r>
        <w:rPr>
          <w:rFonts w:cs="Times New Roman"/>
          <w:sz w:val="24"/>
          <w:szCs w:val="24"/>
        </w:rPr>
        <w:t xml:space="preserve">УТВЕРЖДАЮ </w:t>
      </w:r>
    </w:p>
    <w:p>
      <w:pPr>
        <w:pStyle w:val="1"/>
        <w:ind w:firstLine="4536"/>
        <w:jc w:val="center"/>
        <w:rPr>
          <w:sz w:val="24"/>
          <w:szCs w:val="24"/>
        </w:rPr>
      </w:pPr>
      <w:r>
        <w:rPr>
          <w:rFonts w:cs="Times New Roman"/>
          <w:b w:val="false"/>
          <w:bCs w:val="false"/>
          <w:sz w:val="24"/>
          <w:szCs w:val="24"/>
        </w:rPr>
        <w:t xml:space="preserve">                                     </w:t>
      </w:r>
      <w:r>
        <w:rPr>
          <w:rFonts w:cs="Times New Roman"/>
          <w:b w:val="false"/>
          <w:bCs w:val="false"/>
          <w:sz w:val="24"/>
          <w:szCs w:val="24"/>
        </w:rPr>
        <w:t>Главный врач государственного</w:t>
      </w:r>
    </w:p>
    <w:p>
      <w:pPr>
        <w:pStyle w:val="1"/>
        <w:ind w:firstLine="4536"/>
        <w:jc w:val="center"/>
        <w:rPr>
          <w:sz w:val="24"/>
          <w:szCs w:val="24"/>
        </w:rPr>
      </w:pPr>
      <w:r>
        <w:rPr>
          <w:rFonts w:cs="Times New Roman"/>
          <w:b w:val="false"/>
          <w:bCs w:val="false"/>
          <w:sz w:val="24"/>
          <w:szCs w:val="24"/>
        </w:rPr>
        <w:t xml:space="preserve">                         </w:t>
      </w:r>
      <w:r>
        <w:rPr>
          <w:rFonts w:cs="Times New Roman"/>
          <w:b w:val="false"/>
          <w:bCs w:val="false"/>
          <w:sz w:val="24"/>
          <w:szCs w:val="24"/>
        </w:rPr>
        <w:t xml:space="preserve">бюджетного учреждения </w:t>
      </w:r>
    </w:p>
    <w:p>
      <w:pPr>
        <w:pStyle w:val="1"/>
        <w:ind w:firstLine="4536"/>
        <w:jc w:val="center"/>
        <w:rPr>
          <w:sz w:val="24"/>
          <w:szCs w:val="24"/>
        </w:rPr>
      </w:pPr>
      <w:r>
        <w:rPr>
          <w:rFonts w:cs="Times New Roman"/>
          <w:b w:val="false"/>
          <w:bCs w:val="false"/>
          <w:sz w:val="24"/>
          <w:szCs w:val="24"/>
        </w:rPr>
        <w:t xml:space="preserve">           </w:t>
      </w:r>
      <w:r>
        <w:rPr>
          <w:rFonts w:cs="Times New Roman"/>
          <w:b w:val="false"/>
          <w:bCs w:val="false"/>
          <w:sz w:val="24"/>
          <w:szCs w:val="24"/>
        </w:rPr>
        <w:t>здравоохранения</w:t>
      </w:r>
    </w:p>
    <w:p>
      <w:pPr>
        <w:pStyle w:val="1"/>
        <w:ind w:firstLine="4536"/>
        <w:jc w:val="center"/>
        <w:rPr>
          <w:sz w:val="24"/>
          <w:szCs w:val="24"/>
        </w:rPr>
      </w:pPr>
      <w:r>
        <w:rPr>
          <w:rFonts w:cs="Times New Roman"/>
          <w:b w:val="false"/>
          <w:bCs w:val="false"/>
          <w:sz w:val="24"/>
          <w:szCs w:val="24"/>
        </w:rPr>
        <w:t xml:space="preserve">                      </w:t>
      </w:r>
      <w:r>
        <w:rPr>
          <w:rFonts w:cs="Times New Roman"/>
          <w:b w:val="false"/>
          <w:bCs w:val="false"/>
          <w:sz w:val="24"/>
          <w:szCs w:val="24"/>
        </w:rPr>
        <w:t>Астраханской области</w:t>
      </w:r>
    </w:p>
    <w:p>
      <w:pPr>
        <w:pStyle w:val="1"/>
        <w:ind w:firstLine="4536"/>
        <w:jc w:val="center"/>
        <w:rPr>
          <w:sz w:val="24"/>
          <w:szCs w:val="24"/>
        </w:rPr>
      </w:pPr>
      <w:r>
        <w:rPr>
          <w:rFonts w:cs="Times New Roman"/>
          <w:b w:val="false"/>
          <w:bCs w:val="false"/>
          <w:sz w:val="24"/>
          <w:szCs w:val="24"/>
        </w:rPr>
        <w:t xml:space="preserve">                                    </w:t>
      </w:r>
      <w:r>
        <w:rPr>
          <w:rFonts w:cs="Times New Roman"/>
          <w:b w:val="false"/>
          <w:bCs w:val="false"/>
          <w:sz w:val="24"/>
          <w:szCs w:val="24"/>
        </w:rPr>
        <w:t>«Городская поликлиника № 3»</w:t>
      </w:r>
    </w:p>
    <w:p>
      <w:pPr>
        <w:pStyle w:val="1"/>
        <w:ind w:firstLine="4536"/>
        <w:jc w:val="center"/>
        <w:rPr>
          <w:rFonts w:cs="Times New Roman"/>
          <w:b w:val="false"/>
          <w:b w:val="false"/>
          <w:bCs w:val="false"/>
          <w:sz w:val="24"/>
          <w:szCs w:val="24"/>
        </w:rPr>
      </w:pPr>
      <w:r>
        <w:rPr>
          <w:rFonts w:cs="Times New Roman"/>
          <w:b w:val="false"/>
          <w:bCs w:val="false"/>
          <w:sz w:val="24"/>
          <w:szCs w:val="24"/>
        </w:rPr>
      </w:r>
    </w:p>
    <w:p>
      <w:pPr>
        <w:pStyle w:val="1"/>
        <w:ind w:firstLine="4536"/>
        <w:jc w:val="center"/>
        <w:rPr>
          <w:sz w:val="24"/>
          <w:szCs w:val="24"/>
        </w:rPr>
      </w:pPr>
      <w:r>
        <w:rPr>
          <w:rFonts w:cs="Times New Roman"/>
          <w:b w:val="false"/>
          <w:bCs w:val="false"/>
          <w:sz w:val="24"/>
          <w:szCs w:val="24"/>
        </w:rPr>
        <w:t xml:space="preserve">                                   </w:t>
      </w:r>
      <w:r>
        <w:rPr>
          <w:rFonts w:cs="Times New Roman"/>
          <w:b w:val="false"/>
          <w:bCs w:val="false"/>
          <w:sz w:val="24"/>
          <w:szCs w:val="24"/>
        </w:rPr>
        <w:t xml:space="preserve">___________ </w:t>
      </w:r>
      <w:r>
        <w:rPr>
          <w:rFonts w:eastAsia="Calibri" w:cs="Times New Roman"/>
          <w:b w:val="false"/>
          <w:bCs w:val="false"/>
          <w:sz w:val="24"/>
          <w:szCs w:val="24"/>
          <w:lang w:eastAsia="ar-SA"/>
        </w:rPr>
        <w:t>Е.Н. Новинская</w:t>
      </w:r>
    </w:p>
    <w:p>
      <w:pPr>
        <w:pStyle w:val="Normal"/>
        <w:widowControl/>
        <w:spacing w:lineRule="auto" w:line="240" w:before="0" w:after="0"/>
        <w:ind w:firstLine="4536"/>
        <w:jc w:val="center"/>
        <w:rPr>
          <w:rFonts w:ascii="Times New Roman" w:hAnsi="Times New Roman" w:cs="Times New Roman"/>
          <w:b/>
          <w:b/>
          <w:bCs/>
          <w:sz w:val="24"/>
          <w:szCs w:val="24"/>
          <w14:ligatures w14:val="none"/>
        </w:rPr>
      </w:pPr>
      <w:r>
        <w:rPr>
          <w:rFonts w:cs="Times New Roman" w:ascii="Times New Roman" w:hAnsi="Times New Roman"/>
          <w:b/>
          <w:bCs/>
          <w:sz w:val="24"/>
          <w:szCs w:val="24"/>
          <w14:ligatures w14:val="none"/>
        </w:rPr>
      </w:r>
    </w:p>
    <w:p>
      <w:pPr>
        <w:pStyle w:val="Style64"/>
        <w:widowControl/>
        <w:spacing w:lineRule="auto" w:line="276" w:before="0" w:after="0"/>
        <w:ind w:left="0" w:right="0" w:hanging="0"/>
        <w:jc w:val="center"/>
        <w:rPr>
          <w:rFonts w:ascii="Times New Roman" w:hAnsi="Times New Roman" w:cs="Times New Roman"/>
          <w:b/>
          <w:b/>
          <w:bCs/>
          <w:sz w:val="24"/>
          <w:szCs w:val="24"/>
          <w14:ligatures w14:val="none"/>
        </w:rPr>
      </w:pPr>
      <w:r>
        <w:rPr>
          <w:rFonts w:cs="Times New Roman" w:ascii="Times New Roman" w:hAnsi="Times New Roman"/>
          <w:b/>
          <w:bCs/>
          <w:sz w:val="24"/>
          <w:szCs w:val="24"/>
          <w14:ligatures w14:val="none"/>
        </w:rPr>
      </w:r>
    </w:p>
    <w:p>
      <w:pPr>
        <w:pStyle w:val="Style64"/>
        <w:widowControl/>
        <w:spacing w:lineRule="auto" w:line="276" w:before="0" w:after="0"/>
        <w:ind w:left="0" w:right="0" w:hanging="0"/>
        <w:jc w:val="center"/>
        <w:rPr>
          <w:rFonts w:ascii="Times New Roman" w:hAnsi="Times New Roman" w:cs="Times New Roman"/>
          <w:b/>
          <w:b/>
          <w:bCs/>
          <w:sz w:val="24"/>
          <w:szCs w:val="24"/>
          <w14:ligatures w14:val="none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ОПИСАНИЕ ОБЪЕКТА ЗАКУПКИ </w:t>
      </w:r>
    </w:p>
    <w:p>
      <w:pPr>
        <w:pStyle w:val="Style64"/>
        <w:widowControl/>
        <w:suppressAutoHyphens w:val="true"/>
        <w:bidi w:val="0"/>
        <w:spacing w:lineRule="auto" w:line="276" w:before="0" w:after="0"/>
        <w:ind w:left="0" w:right="0" w:hanging="0"/>
        <w:jc w:val="center"/>
        <w:rPr>
          <w:b/>
          <w:b/>
          <w:bCs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shd w:fill="FFFFFF" w:val="clear"/>
        </w:rPr>
        <w:t xml:space="preserve">Оказание услуг по  специальной оценке условий труда </w:t>
      </w:r>
    </w:p>
    <w:p>
      <w:pPr>
        <w:pStyle w:val="Style64"/>
        <w:widowControl/>
        <w:suppressAutoHyphens w:val="true"/>
        <w:bidi w:val="0"/>
        <w:spacing w:lineRule="auto" w:line="276" w:before="0" w:after="0"/>
        <w:ind w:left="0" w:right="0" w:hanging="0"/>
        <w:jc w:val="center"/>
        <w:rPr>
          <w:b/>
          <w:b/>
          <w:bCs/>
        </w:rPr>
      </w:pPr>
      <w:r>
        <w:rPr>
          <w:rFonts w:cs="Times New Roman" w:ascii="Times New Roman" w:hAnsi="Times New Roman"/>
          <w:b/>
          <w:bCs/>
          <w:color w:val="333333"/>
          <w:sz w:val="24"/>
          <w:szCs w:val="24"/>
          <w:shd w:fill="FFFFFF" w:val="clear"/>
        </w:rPr>
        <w:t>ИКЗ:262301701754430250100100850017120244</w:t>
      </w:r>
    </w:p>
    <w:p>
      <w:pPr>
        <w:pStyle w:val="Style64"/>
        <w:widowControl/>
        <w:bidi w:val="0"/>
        <w:spacing w:lineRule="auto" w:line="276" w:before="0" w:after="0"/>
        <w:ind w:left="0" w:right="0" w:hanging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ar-SA"/>
        </w:rPr>
        <w:t xml:space="preserve">       </w:t>
      </w:r>
    </w:p>
    <w:p>
      <w:pPr>
        <w:pStyle w:val="Style64"/>
        <w:widowControl/>
        <w:suppressAutoHyphens w:val="true"/>
        <w:bidi w:val="0"/>
        <w:spacing w:lineRule="auto" w:line="276" w:before="0" w:after="0"/>
        <w:ind w:left="0" w:right="0" w:hanging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ar-SA"/>
        </w:rPr>
        <w:t xml:space="preserve">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ar-SA"/>
        </w:rPr>
        <w:t>1.1.</w:t>
      </w:r>
      <w:r>
        <w:rPr>
          <w:rFonts w:cs="Times New Roman" w:ascii="Times New Roman" w:hAnsi="Times New Roman"/>
          <w:b/>
          <w:bCs/>
          <w:sz w:val="24"/>
          <w:szCs w:val="24"/>
        </w:rPr>
        <w:t>Наименование оказываемых услуг: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333333"/>
          <w:sz w:val="24"/>
          <w:szCs w:val="24"/>
          <w:shd w:fill="FFFFFF" w:val="clear"/>
        </w:rPr>
        <w:t>Оказание услуг по специальной оценке условий труда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shd w:fill="FFFFFF" w:val="clear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333333"/>
          <w:sz w:val="24"/>
          <w:szCs w:val="24"/>
          <w:shd w:fill="FFFFFF" w:val="clear"/>
          <w:lang w:eastAsia="ar-SA"/>
        </w:rPr>
        <w:t xml:space="preserve">(далее – услуги). </w:t>
      </w:r>
    </w:p>
    <w:p>
      <w:pPr>
        <w:pStyle w:val="Style64"/>
        <w:widowControl/>
        <w:suppressAutoHyphens w:val="true"/>
        <w:bidi w:val="0"/>
        <w:spacing w:lineRule="auto" w:line="276"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b w:val="false"/>
          <w:bCs/>
          <w:color w:val="000000"/>
          <w:sz w:val="24"/>
          <w:szCs w:val="24"/>
          <w:shd w:fill="FFFFFF" w:val="clear"/>
          <w:lang w:eastAsia="ar-SA"/>
        </w:rPr>
        <w:t xml:space="preserve">ОКПД2: </w:t>
      </w:r>
      <w:r>
        <w:rPr>
          <w:rFonts w:cs="Times New Roman" w:ascii="Times New Roman" w:hAnsi="Times New Roman"/>
          <w:b w:val="false"/>
          <w:bCs w:val="false"/>
          <w:color w:val="2D2D2D"/>
          <w:sz w:val="24"/>
          <w:szCs w:val="24"/>
          <w:shd w:fill="FFFFFF" w:val="clear"/>
          <w:lang w:eastAsia="ar-SA"/>
        </w:rPr>
        <w:t xml:space="preserve">71.20.19.130 </w:t>
      </w:r>
      <w:r>
        <w:rPr>
          <w:rFonts w:cs="Times New Roman" w:ascii="Times New Roman" w:hAnsi="Times New Roman"/>
          <w:b w:val="false"/>
          <w:bCs/>
          <w:color w:val="000000"/>
          <w:sz w:val="24"/>
          <w:szCs w:val="24"/>
          <w:shd w:fill="FFFFFF" w:val="clear"/>
          <w:lang w:eastAsia="ar-SA"/>
        </w:rPr>
        <w:t>«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shd w:fill="FFFFFF" w:val="clear"/>
          <w:lang w:eastAsia="ar-SA"/>
        </w:rPr>
        <w:t>Услуги по оценке условий труда</w:t>
      </w:r>
      <w:r>
        <w:rPr>
          <w:rFonts w:cs="Times New Roman" w:ascii="Times New Roman" w:hAnsi="Times New Roman"/>
          <w:b w:val="false"/>
          <w:bCs/>
          <w:color w:val="000000"/>
          <w:sz w:val="24"/>
          <w:szCs w:val="24"/>
          <w:shd w:fill="FFFFFF" w:val="clear"/>
          <w:lang w:eastAsia="ar-SA"/>
        </w:rPr>
        <w:t>»</w:t>
      </w:r>
    </w:p>
    <w:p>
      <w:pPr>
        <w:pStyle w:val="Style64"/>
        <w:widowControl/>
        <w:suppressAutoHyphens w:val="true"/>
        <w:bidi w:val="0"/>
        <w:spacing w:lineRule="auto" w:line="276" w:before="0" w:after="0"/>
        <w:ind w:left="0" w:right="0" w:hanging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color w:val="333333"/>
          <w:sz w:val="24"/>
          <w:szCs w:val="24"/>
          <w:shd w:fill="FFFFFF" w:val="clear"/>
        </w:rPr>
        <w:t xml:space="preserve">   </w:t>
      </w:r>
      <w:r>
        <w:rPr>
          <w:rFonts w:cs="Times New Roman" w:ascii="Times New Roman" w:hAnsi="Times New Roman"/>
          <w:b w:val="false"/>
          <w:bCs w:val="false"/>
          <w:color w:val="333333"/>
          <w:sz w:val="24"/>
          <w:szCs w:val="24"/>
          <w:shd w:fill="FFFFFF" w:val="clear"/>
        </w:rPr>
        <w:t>1.2.Количество рабочих мест подлежащих специальной оценке условий труда - 86 (Восемьдесят шесть) рабочих мест.</w:t>
      </w:r>
    </w:p>
    <w:p>
      <w:pPr>
        <w:pStyle w:val="Style64"/>
        <w:rPr/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     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1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.3.Место оказания Услуг: </w:t>
      </w:r>
    </w:p>
    <w:p>
      <w:pPr>
        <w:pStyle w:val="Style31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0" w:after="0"/>
        <w:ind w:left="1021" w:right="0" w:hanging="0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- г. Астрахань, ул. Адмирала Нахимова, д. 135;</w:t>
      </w:r>
    </w:p>
    <w:p>
      <w:pPr>
        <w:pStyle w:val="Style31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0" w:after="0"/>
        <w:ind w:left="1021" w:right="0" w:hanging="0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- г. Астрахань, ул. Боевая/Б. Хмельницкого, д. 34/49;</w:t>
      </w:r>
    </w:p>
    <w:p>
      <w:pPr>
        <w:pStyle w:val="Style31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0" w:after="0"/>
        <w:ind w:left="1021" w:right="0" w:hanging="0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- г. Астрахань, ул. Боевая/Ахшарумова д. 45/8;</w:t>
      </w:r>
    </w:p>
    <w:p>
      <w:pPr>
        <w:pStyle w:val="Style31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0" w:after="0"/>
        <w:ind w:left="1021" w:right="0" w:hanging="0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- г. Астрахань, ул. Набережная Приволжского Затона, д. 14;</w:t>
      </w:r>
    </w:p>
    <w:p>
      <w:pPr>
        <w:pStyle w:val="Style31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0" w:after="0"/>
        <w:ind w:left="1021" w:right="0" w:hanging="0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- г.Астрахань, ул.1-Степная/2-Степная, 5/7.</w:t>
      </w:r>
    </w:p>
    <w:p>
      <w:pPr>
        <w:pStyle w:val="Style31"/>
        <w:spacing w:before="0" w:after="0"/>
        <w:ind w:left="0" w:right="0" w:hanging="0"/>
        <w:jc w:val="both"/>
        <w:rPr/>
      </w:pPr>
      <w:r>
        <w:rPr>
          <w:rFonts w:eastAsia="Times New Roman" w:cs="Times New Roman"/>
          <w:color w:val="000000"/>
          <w:sz w:val="24"/>
        </w:rPr>
        <w:t xml:space="preserve">       </w:t>
      </w:r>
      <w:r>
        <w:rPr>
          <w:rFonts w:eastAsia="Times New Roman" w:cs="Times New Roman"/>
          <w:color w:val="000000"/>
          <w:sz w:val="24"/>
        </w:rPr>
        <w:t xml:space="preserve">1.4. </w:t>
      </w:r>
      <w:r>
        <w:rPr>
          <w:rFonts w:cs="Times New Roman"/>
          <w:color w:val="000000"/>
          <w:sz w:val="24"/>
        </w:rPr>
        <w:t>Место сдачи результатов оказанных Услуг: г. Астрахань, ул. Адмирала Нахимова, д. 135.</w:t>
      </w:r>
    </w:p>
    <w:p>
      <w:pPr>
        <w:pStyle w:val="Style31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 w:cs="Times New Roman"/>
          <w:b w:val="false"/>
          <w:b w:val="false"/>
          <w:bCs w:val="false"/>
          <w:color w:val="000000"/>
          <w:sz w:val="24"/>
        </w:rPr>
      </w:pPr>
      <w:r>
        <w:rPr>
          <w:rFonts w:cs="Times New Roman"/>
          <w:b w:val="false"/>
          <w:bCs w:val="false"/>
          <w:color w:val="000000"/>
          <w:sz w:val="24"/>
        </w:rPr>
        <w:t xml:space="preserve">       </w:t>
      </w:r>
      <w:r>
        <w:rPr>
          <w:rFonts w:cs="Times New Roman"/>
          <w:b w:val="false"/>
          <w:bCs w:val="false"/>
          <w:color w:val="000000"/>
          <w:sz w:val="24"/>
        </w:rPr>
        <w:t xml:space="preserve">1.5.Сроки оказания Услуг: </w:t>
      </w:r>
      <w:r>
        <w:rPr>
          <w:rFonts w:cs="Times New Roman"/>
          <w:color w:val="000000"/>
          <w:sz w:val="24"/>
        </w:rPr>
        <w:t xml:space="preserve"> </w:t>
      </w:r>
    </w:p>
    <w:p>
      <w:pPr>
        <w:pStyle w:val="Style31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 w:cs="Times New Roman"/>
          <w:b w:val="false"/>
          <w:b w:val="false"/>
          <w:bCs w:val="false"/>
          <w:color w:val="000000"/>
          <w:sz w:val="24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 xml:space="preserve">     </w:t>
      </w: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начало оказания Услуг - с даты заключения контракта;</w:t>
      </w:r>
    </w:p>
    <w:p>
      <w:pPr>
        <w:pStyle w:val="Normal"/>
        <w:bidi w:val="0"/>
        <w:ind w:left="0" w:right="0" w:hanging="0"/>
        <w:jc w:val="both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     –</w:t>
      </w:r>
      <w:r>
        <w:rPr>
          <w:rFonts w:ascii="Times New Roman" w:hAnsi="Times New Roman"/>
          <w:color w:val="000000"/>
          <w:sz w:val="24"/>
          <w:szCs w:val="24"/>
        </w:rPr>
        <w:t xml:space="preserve">окончание оказания Услуг – в течение </w:t>
      </w:r>
      <w:r>
        <w:rPr>
          <w:rFonts w:ascii="Times New Roman" w:hAnsi="Times New Roman"/>
          <w:bCs/>
          <w:iCs/>
          <w:color w:val="000000"/>
          <w:sz w:val="24"/>
          <w:szCs w:val="24"/>
        </w:rPr>
        <w:t>30 (тридцати) календарных дней с даты заключения Контракта.</w:t>
      </w:r>
    </w:p>
    <w:p>
      <w:pPr>
        <w:pStyle w:val="Normal"/>
        <w:bidi w:val="0"/>
        <w:ind w:left="0" w:right="0" w:hanging="0"/>
        <w:jc w:val="both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 xml:space="preserve">       </w:t>
      </w: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 xml:space="preserve">1.6.  Исполнитель должен оказать услуги в соответствии с </w:t>
      </w:r>
      <w:r>
        <w:rPr>
          <w:rFonts w:eastAsia="Times New Roman" w:cs="Times New Roman"/>
          <w:b w:val="false"/>
          <w:bCs w:val="false"/>
          <w:color w:val="000000"/>
          <w:spacing w:val="-2"/>
          <w:sz w:val="24"/>
          <w:szCs w:val="24"/>
        </w:rPr>
        <w:t>требованиями: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Федеральный закон от 30.12.2001 № 197-ФЗ «Трудовой кодекс РФ»;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Федеральный закон от 28.12.2013 № 426-ФЗ «О специальной оценке условий труда»;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Федеральный закон от 28.12.2013 № 421-ФЗ «О внесении изменений в отдельные законодательные акты РФ в связи с принятием закона «О специальной оценке условий труда»;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-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Приказа Минтруда России от 21.11.2023 №817н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</w:t>
      </w:r>
      <w:r>
        <w:rPr>
          <w:rFonts w:eastAsia="Times New Roman" w:cs="Times New Roman" w:ascii="Times New Roman" w:hAnsi="Times New Roman"/>
          <w:sz w:val="24"/>
          <w:szCs w:val="24"/>
        </w:rPr>
        <w:t>;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действующие гигиенические критерии оценки условий труда по показателям вредности и опасности факторов производственной среды, тяжести и напряженности трудового процесса;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действующие стандарты системы безопасности труда (ССБТ);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санитарные правила и нормы;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гигиенические нормативы.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1.7.  </w:t>
      </w:r>
      <w:r>
        <w:rPr>
          <w:rFonts w:eastAsia="Times New Roman" w:cs="Times New Roman" w:ascii="Times New Roman" w:hAnsi="Times New Roman"/>
          <w:b w:val="false"/>
          <w:bCs w:val="false"/>
          <w:color w:val="333333"/>
          <w:sz w:val="24"/>
          <w:szCs w:val="24"/>
          <w:shd w:fill="FFFFFF" w:val="clear"/>
        </w:rPr>
        <w:t xml:space="preserve">Оказание услуг по проведению специальной оценки условий труда и оценки профессиональных рисков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на рабочих местах ГБУЗ АО «ГП №3»  оказываются Исполнителем с выездом на место оказания услуг , указанные в п.1.4. 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zh-CN" w:bidi="ar-SA"/>
        </w:rPr>
        <w:t>Описания объекта закупки.</w:t>
      </w:r>
    </w:p>
    <w:p>
      <w:pPr>
        <w:pStyle w:val="Style64"/>
        <w:jc w:val="both"/>
        <w:rPr>
          <w:rFonts w:ascii="Times New Roman" w:hAnsi="Times New Roman"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               </w:t>
      </w:r>
    </w:p>
    <w:p>
      <w:pPr>
        <w:pStyle w:val="Style64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       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2. Требования к </w:t>
      </w:r>
      <w:r>
        <w:rPr>
          <w:rFonts w:cs="Times New Roman" w:ascii="Times New Roman" w:hAnsi="Times New Roman"/>
          <w:b/>
          <w:bCs/>
          <w:color w:val="333333"/>
          <w:sz w:val="24"/>
          <w:szCs w:val="24"/>
          <w:shd w:fill="FFFFFF" w:val="clear"/>
        </w:rPr>
        <w:t>оказанию услуг по проведению специальной оценки условий труда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:</w:t>
      </w:r>
    </w:p>
    <w:p>
      <w:pPr>
        <w:pStyle w:val="Normal"/>
        <w:snapToGrid w:val="false"/>
        <w:spacing w:lineRule="auto" w:line="240" w:before="0" w:after="0"/>
        <w:ind w:left="0" w:right="0" w:firstLine="567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Заказчик до начала оказания Услуги утверждает перечень рабочих мест, на которых будет проводиться специальная оценка условий труда. 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Идентификация потенциально вредных и (или) опасных производственных факторов (далее соответственно - вредные и (или) опасные факторы, идентификация) включает в себя следующие этапы: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- проведение процедуры идентификации потенциально вредных и (или) опасных производственных факторов на рабочих местах в соответствии с требованиями Федерального закона от 28.12.2013 № 426-ФЗ «</w:t>
      </w:r>
      <w:r>
        <w:rPr>
          <w:rFonts w:cs="Times New Roman" w:ascii="Times New Roman" w:hAnsi="Times New Roman"/>
          <w:sz w:val="24"/>
          <w:szCs w:val="24"/>
        </w:rPr>
        <w:t>О специальной оценке условий труда»</w:t>
      </w:r>
      <w:r>
        <w:rPr>
          <w:rFonts w:cs="Times New Roman" w:ascii="Times New Roman" w:hAnsi="Times New Roman"/>
          <w:color w:val="000000"/>
          <w:sz w:val="24"/>
          <w:szCs w:val="24"/>
        </w:rPr>
        <w:t>, Приказа Минтруда России от 21.11.2023 №817н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заполнению». Оформление результатов идентификации вредных и (или) опасных производственных факторов в отношении каждого рабочего места, подлежащего идентификации;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оформление экспертом заключения об отсутствии на рабочем месте вредных и (или) опасных производственных факторов (при наличии таких рабочих мест). Составление декларации о соответствии условий труда государственным нормативным требованиям охраны труда в отношении рабочих мест, на которых вредные и (или) опасные производственные факторы по результатам идентификации не выявлены;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определение перечня подлежащих исследованиям (испытаниям) и измерениям вредных и (или) опасных производственных факторов, исходя из перечня вредных и (или) опасных производственных факторов, указанных в частях 1 и 2 статьи 13 Федерального закона от 28.12.2013 № 426-ФЗ в отношении каждого рабочего места;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-составление перечня рабочих мест, на которых проводилась СОУТ, с учетом результатов идентификации вредных и (или) опасных производственных факторов; 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-проведение исследований (испытаний) и измерений уровней вредных и (или) опасных производственных факторов в соответствии с перечнем вредных и (или) опасных производственных факторов, подлежащих исследованиям (испытаниям) и измерениям, в том числе и в особых условиях. Оформление протоколов проведения исследований (испытаний) и измерений в отношении каждого из подвергнутых исследованиям вредных и (или) опасных производственных факторов. 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-отнесение условий труда по степени вредности и (или) опасности к классам (подклассам) условий труда на рабочих местах, где проводились исследования (испытания) и измерения уровней вредных и (или) опасных производственных факторов;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-проведение оценки обеспеченности работников, занятых на работах во вредных условиях труда, эффективными средствами индивидуальной защиты, прошедшими обязательную сертификацию. Оформление экспертом заключения о возможности снижения класса (подкласса) условий труда в случае применения работниками эффективных средств индивидуальной защиты;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подготовка сведений для оформления результатов СОУТ, в том числе на рабочих местах, на которых не идентифицированы вредные и (или) опасные производственные факторы: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проект сводной таблицы классов (подклассов) условий труда, установленных на рабочих местах;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рекомендуемые мероприятия, направленные на улучшение условий труда работников, с учетом результатов СОУТ (в случае выявления устранимых вредных и (или) опасных производственных факторов);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предложения (рекомендации) о предоставлении работникам, занятым на работах с вредными и (или) опасными условиями труда, гарантий и компенсаций;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предложения (рекомендации) об обязательных предварительных (при поступлении на работу) и периодических (в течение трудовой деятельности) медицинских осмотрах работников.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выявление и описание имеющихся на рабочем месте факторов производственной среды и трудового процесса, источников вредных и (или) опасных факторов;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сопоставление и установление совпадения имеющихся на рабочем месте факторов производственной среды и трудового процесса с факторами производственной среды и трудового процесса, предусмотренными классификатором вредных и (или) опасных производственных факторов (далее - классификатор), содержащимся в приложении № 2 к настоящему приказу;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принятие решения о проведении исследований (испытаний) и измерений вредных и (или) опасных факторов;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оформление результатов идентификации.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 Идентификация осуществляется экспертом организации, проводящей специальную оценку условий труда (далее - эксперт). Результаты идентификации оформляются экспертом и утверждаются комиссией по проведению специальной оценки условий труда, формируемой в порядке, установленном Федеральным законом от 28 декабря 2013 г. № 426-ФЗ "О специальной оценке условий труда" (далее - комиссия).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2.3. Выявление на рабочем месте факторов производственной среды и трудового процесса, источников вредных и (или) опасных факторов осуществляется путем изучения представляемых работодателем: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технической (эксплуатационной) документации на производственное оборудование (машины, механизмы, инструменты и приспособления), используемое работником на рабочем месте;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технологической документации, характеристик технологического процесса;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должностной инструкции и иных документов, регламентирующих обязанности работника;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проектов строительства и (или) реконструкции производственных объектов (зданий, сооружений, производственных помещений), если на рабочих местах ведутся работы по строительству и (или) реконструкции производственных объектов;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характеристик применяемых в производстве материалов и сырья (в том числе установленных по результатам токсикологической, санитарно-гигиенической и медико-биологической оценок);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деклараций о соответствии и (или) сертификатов соответствия производственного оборудования, машин, механизмов, инструментов и приспособлений, технологических процессов, веществ, материалов, сырья установленным требованиям;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результатов ранее проводившихся на данном рабочем месте исследований (испытаний) и измерений вредных и (или) опасных факторов;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предложений работников по осуществлению на их рабочих местах идентификации потенциально вредных и (или) опасных производственных факторов (при наличии таких предложений);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результатов, полученных при осуществлении организованного на рабочих местах производственного контроля за условиями труда;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результатов, полученных при осуществлении федерального государственного санитарно-эпидемиологического надзора (акт проверки, предписание, акт о случае профессионального заболевания).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Указанные в настоящем пункте документация и материалы представляются работодателем при их наличии.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2.4. Сопоставление и установление совпадения имеющихся на рабочем месте факторов производственной среды и трудового процесса с факторами производственной среды и трудового процесса, предусмотренными классификатором, производится путем сравнения их наименований с учетом следующего: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а) параметры микроклимата идентифицируются как вредные и (или) опасные факторы на рабочих местах, расположенных в закрытых производственных помещениях (рабочих зонах), на которых имеется производственное оборудование, являющееся искусственным источником тепла и (или) холода (за исключением климатического оборудования, не используемого в технологическом процессе и предназначенного для создания комфортных условий труда);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б) аэрозоли преимущественно фиброгенного действия (АПФД) идентифицируются как вредные и (или) опасные факторы только на рабочих местах, на которых осуществляется добыча, обогащение, производство и использование в технологическом процессе пылящих веществ, относящихся к АПФД, а также эксплуатируется оборудование, работа на котором сопровождается выделением АПФД (пыли, содержащие природные и искусственные минеральные волокна, угольная пыль);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в) виброакустические факторы идентифицируются как вредные и (или) опасные факторы только на рабочих местах, на которых имеется производственное оборудование, являющееся источником указанных виброакустических факторов;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г) параметры световой среды идентифицируются как вредные и (или) опасные факторы только при выполнении прецизионных работ с величиной объектов различения менее 0,5 мм (кроме работ, допускающих масштабирование объектов различения), при наличии слепящих источников света, при проведении работ с объектами различения и рабочими поверхностями, обладающими направленно-рассеянным и смешанным отражением, при осуществлении подземных работ, в том числе работ по эксплуатации метрополитена;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д) неионизирующие излучения идентифицируются как вредные и (или) опасные факторы только при наличии на рабочем месте производственного (технологического) оборудования, являющегося источником неионизирующих излучений, за исключением рабочих мест, на которых работники заняты только на персональных электронно-вычислительных машинах (персональных компьютерах) и (или) эксплуатируют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иную офисную организационную технику, а также бытовую технику, не используемую в технологическом процессе производства;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е) ионизирующие излучения идентифицируются как вредные и (или) опасные факторы только на рабочих местах, на которых осуществляются добыча, обогащение, производство и использование в технологическом процессе радиоактивных веществ и изотопов, а также при эксплуатации производственного оборудования, создающего ионизирующее излучение;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ж) химический факторы идентифицируется как вредный и (или) опасный фактор только на рабочих местах при добыче, обогащении, химическом синтезе, использовании в технологическом процессе и/или химическом анализе химических веществ и смесей, выделении химических веществ в ходе технологического процесса, а также при производстве веществ биологической природы;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з) биологический фактор идентифицируется как вредный и (или) опасный фактор только на рабочих местах:</w:t>
      </w:r>
    </w:p>
    <w:p>
      <w:pPr>
        <w:pStyle w:val="Style6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организаций, осуществляющих деятельность в области использования возбудителей инфекционных заболеваний человека и животных и (или) в замкнутых системах генно-инженерно-модифицированных организмов III и IV степеней потенциальной опасности при наличии соответствующих разрешительных документов (лицензии) на право осуществления такой деятельности;</w:t>
      </w:r>
    </w:p>
    <w:p>
      <w:pPr>
        <w:pStyle w:val="Style6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организаций, осуществляющих деятельность в области использования в замкнутых системах генно-инженерно-модифицированных организмов II степени потенциальной опасности;</w:t>
      </w:r>
    </w:p>
    <w:p>
      <w:pPr>
        <w:pStyle w:val="Style6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медицинских и иных работников, непосредственно осуществляющих медицинскую деятельность;</w:t>
      </w:r>
    </w:p>
    <w:p>
      <w:pPr>
        <w:pStyle w:val="Style6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работников, непосредственно осуществляющих ветеринарную деятельность, государственный ветеринарный надзор и (или) проводящих ветеринарно-санитарную экспертизу;</w:t>
      </w:r>
    </w:p>
    <w:p>
      <w:pPr>
        <w:pStyle w:val="Style6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работников, непосредственно осуществляющих работы по обслуживанию и ремонту относящихся к жилищно-коммунальному хозяйству канализационных сооружений и сетей, в том числе производственного оборудования на этих объектах;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и) показатели тяжести трудового процесса  идентифицируются как вредные и (или) опасные факторы только на рабочих местах, на которых работниками осуществляется выполнение обусловленных технологическим процессом (трудовой функцией) работ по поднятию и переноске грузов вручную, работ в вынужденном положении или положении "стоя", при перемещении в пространстве;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к) показатели напряженности трудового процесса идентифицируются как вредные и (или) опасные факторы при выполнении работ по диспетчеризации производственных процессов, в том числе конвейерного типа, на рабочих местах операторов производственного оборудования, при управлении транспортными средствами.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2.5. По результатам идентификации экспертом оформляется заключение. При несовпадении наименований имеющихся на рабочем месте факторов производственной среды и трудового процесса с наименованиями факторов производственной среды и трудового процесса, предусмотренных классификатором, экспертом фиксируется в своем заключении отсутствие на рабочем месте вредных и (или) опасных факторов.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2.6. подготовка сведений для оформления результатов СОУТ, в том числе на рабочих местах, на которых не идентифицированы вредные и (или) опасные производственные факторы: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338" w:leader="none"/>
        </w:tabs>
        <w:suppressAutoHyphens w:val="true"/>
        <w:bidi w:val="0"/>
        <w:spacing w:lineRule="auto" w:line="240" w:before="0" w:after="0"/>
        <w:ind w:left="0" w:right="0" w:firstLine="62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проект сводной таблицы классов (подклассов) условий труда, установленных на рабочих местах;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338" w:leader="none"/>
        </w:tabs>
        <w:suppressAutoHyphens w:val="true"/>
        <w:bidi w:val="0"/>
        <w:spacing w:lineRule="auto" w:line="240" w:before="0" w:after="0"/>
        <w:ind w:left="0" w:right="0" w:firstLine="62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рекомендуемые мероприятия, направленные на улучшение условий труда работников, с учетом результатов СОУТ (в случае выявления устранимых вредных и (или) опасных производственных факторов);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338" w:leader="none"/>
        </w:tabs>
        <w:suppressAutoHyphens w:val="true"/>
        <w:bidi w:val="0"/>
        <w:spacing w:lineRule="auto" w:line="240" w:before="0" w:after="0"/>
        <w:ind w:left="0" w:right="0" w:firstLine="62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предложения (рекомендации) о предоставлении работникам, занятым на работах с вредными и (или) опасными условиями труда, гарантий и компенсаций;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left" w:pos="338" w:leader="none"/>
        </w:tabs>
        <w:suppressAutoHyphens w:val="true"/>
        <w:bidi w:val="0"/>
        <w:spacing w:lineRule="auto" w:line="240" w:before="0" w:after="0"/>
        <w:ind w:left="0" w:right="0" w:firstLine="62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предложения (рекомендации) об обязательных предварительных (при поступлении на работу) и периодических (в течение трудовой деятельности) медицинских осмотрах работников.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338" w:leader="none"/>
        </w:tabs>
        <w:suppressAutoHyphens w:val="true"/>
        <w:bidi w:val="0"/>
        <w:spacing w:lineRule="auto" w:line="240" w:before="0" w:after="0"/>
        <w:ind w:left="720" w:right="0" w:hanging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Style64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sz w:val="24"/>
          <w:szCs w:val="24"/>
        </w:rPr>
        <w:t>2.7.составление и представление на бумажном и электронном носителях отчета о проведении СОУТ, оформленного по форме, утвержденной Приказом Минтруда России от 21.11.2023 №817н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заполнению», в том числе в отношении рабочих мест, на которых не идентифицированы вредные и (или) опасные производственные факторы, включающего в себя:</w:t>
      </w:r>
    </w:p>
    <w:p>
      <w:pPr>
        <w:pStyle w:val="Style64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76" w:before="0" w:after="0"/>
        <w:ind w:left="0" w:right="0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- сведения об организации, проводящей СОУТ, с приложением копий документов, подтверждающих ее соответствие установленным статьей 19 Федерального закона от 28.12.2013 № 426-ФЗ требованиям;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284" w:leader="none"/>
        </w:tabs>
        <w:suppressAutoHyphens w:val="true"/>
        <w:bidi w:val="0"/>
        <w:spacing w:lineRule="auto" w:line="240" w:before="0" w:after="0"/>
        <w:ind w:left="0" w:right="170" w:hanging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cs="Times New Roman" w:ascii="Times New Roman" w:hAnsi="Times New Roman"/>
          <w:color w:val="000000"/>
          <w:sz w:val="24"/>
          <w:szCs w:val="24"/>
        </w:rPr>
        <w:t>- перечень рабочих мест, на которых проводилась СОУТ, с указанием вредных и (или) опасных производственных факторов;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284" w:leader="none"/>
        </w:tabs>
        <w:suppressAutoHyphens w:val="true"/>
        <w:bidi w:val="0"/>
        <w:spacing w:lineRule="auto" w:line="240" w:before="0" w:after="0"/>
        <w:ind w:left="0" w:right="170" w:hanging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color w:val="000000"/>
          <w:sz w:val="24"/>
          <w:szCs w:val="24"/>
        </w:rPr>
        <w:t>- карты СОУТ;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284" w:leader="none"/>
        </w:tabs>
        <w:suppressAutoHyphens w:val="true"/>
        <w:bidi w:val="0"/>
        <w:spacing w:lineRule="auto" w:line="240" w:before="0" w:after="0"/>
        <w:ind w:left="0" w:right="170" w:hanging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     </w:t>
      </w:r>
      <w:r>
        <w:rPr>
          <w:rFonts w:cs="Times New Roman" w:ascii="Times New Roman" w:hAnsi="Times New Roman"/>
          <w:color w:val="000000"/>
          <w:sz w:val="24"/>
          <w:szCs w:val="24"/>
        </w:rPr>
        <w:t>- протоколы проведения исследований (испытаний) и измерений вредных и (или) опасных производственных факторов;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284" w:leader="none"/>
        </w:tabs>
        <w:suppressAutoHyphens w:val="true"/>
        <w:bidi w:val="0"/>
        <w:spacing w:lineRule="auto" w:line="240" w:before="0" w:after="0"/>
        <w:ind w:left="0" w:right="170" w:hanging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     </w:t>
      </w:r>
      <w:r>
        <w:rPr>
          <w:rFonts w:cs="Times New Roman" w:ascii="Times New Roman" w:hAnsi="Times New Roman"/>
          <w:color w:val="000000"/>
          <w:sz w:val="24"/>
          <w:szCs w:val="24"/>
        </w:rPr>
        <w:t>- протокол, содержащий решение комиссии о невозможности проведения на рабочих местах исследований (испытаний) и измерений в связи с созданием угрозы для жизни работников и экспертов (при наличии такого решения);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284" w:leader="none"/>
        </w:tabs>
        <w:suppressAutoHyphens w:val="true"/>
        <w:bidi w:val="0"/>
        <w:spacing w:lineRule="auto" w:line="240" w:before="0" w:after="0"/>
        <w:ind w:left="0" w:right="170" w:hanging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color w:val="000000"/>
          <w:sz w:val="24"/>
          <w:szCs w:val="24"/>
        </w:rPr>
        <w:t>- сводную ведомость результатов проведения СОУТ;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284" w:leader="none"/>
        </w:tabs>
        <w:suppressAutoHyphens w:val="true"/>
        <w:bidi w:val="0"/>
        <w:spacing w:lineRule="auto" w:line="240" w:before="0" w:after="0"/>
        <w:ind w:left="0" w:right="170" w:hanging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cs="Times New Roman" w:ascii="Times New Roman" w:hAnsi="Times New Roman"/>
          <w:color w:val="000000"/>
          <w:sz w:val="24"/>
          <w:szCs w:val="24"/>
        </w:rPr>
        <w:t>- перечень мероприятий по улучшению условий труда работников, на рабочих местах которых проводилась СОУТ;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284" w:leader="none"/>
        </w:tabs>
        <w:suppressAutoHyphens w:val="true"/>
        <w:bidi w:val="0"/>
        <w:spacing w:lineRule="auto" w:line="240" w:before="0" w:after="0"/>
        <w:ind w:left="0" w:right="170" w:hanging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color w:val="000000"/>
          <w:sz w:val="24"/>
          <w:szCs w:val="24"/>
        </w:rPr>
        <w:t>- заключения эксперта организации, проводящей СОУТ.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2.8. подготовка сведений о результатах проведения СОУТ, предусмотренных частью 2 статьи 18 Федерального закона от 28.12.2013 № 426-ФЗ, и передача их во ФГИС СОУТ;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2.9. Требования к методам исследований (испытаний) и методикам измерений при проведении СОУТ: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2.9.1. при проведении исследований (испытаний) и измерений вредных и (или) опасных производственных факторов должны применяться утвержденные и аттестованные в порядке, установленном законодательством Российской Федерации об обеспечении единства измерений, методы исследований (испытаний) и методики (методы) измерений и соответствующие им средства измерений;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2.9.2. испытательная лаборатория (центр) должна быть укомплектована измерительным оборудованием и приборами, прошедшими поверку и внесенными в Федеральный информационный фонд по обеспечению единства измерений, для оценки вредных и (или) опасных факторов производственной среды и трудового процесса, предусмотренных пунктами 1 - 11 и 15 — 23 части 3 статьи 13 Федерального закона от 28.12.2013 № 426-ФЗ.</w:t>
      </w:r>
    </w:p>
    <w:p>
      <w:pPr>
        <w:pStyle w:val="Normal"/>
        <w:spacing w:lineRule="auto" w:line="240" w:before="0" w:after="0"/>
        <w:ind w:left="0" w:right="0" w:firstLine="567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2.9.3.Исполнитель обязан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>осуществить передачу сведений о результатах проведения специальной оценки условий труда в соответствии с Приказом Министерства труда и социальной защиты РФ от 3 ноября 2015г. №843н «Об утверждении порядка формирования, хранения и использования сведений, содержащихся в федеральной государственной информационной системе учета результатов проведения специальной оценки условий труда».</w:t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left="0" w:right="0" w:firstLine="567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 оказании услуг вся полнота ответственности за соблюдение норм и правил охраны труда и пожарной безопасности, возлагается на Исполнителя.</w:t>
      </w:r>
    </w:p>
    <w:p>
      <w:pPr>
        <w:pStyle w:val="Normal"/>
        <w:widowControl w:val="false"/>
        <w:snapToGrid w:val="false"/>
        <w:spacing w:lineRule="auto" w:line="240" w:before="0" w:after="0"/>
        <w:ind w:left="0" w:right="0" w:firstLine="5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Обязанность по передаче результатов проведения СОУТ возлагается на Исполнителя в установленные ФЗ № 426-ФЗ от 28.12.2013 сроки. </w:t>
      </w:r>
    </w:p>
    <w:p>
      <w:pPr>
        <w:pStyle w:val="Normal"/>
        <w:widowControl w:val="false"/>
        <w:suppressAutoHyphens w:val="true"/>
        <w:overflowPunct w:val="true"/>
        <w:bidi w:val="0"/>
        <w:snapToGrid w:val="false"/>
        <w:spacing w:lineRule="auto" w:line="240" w:before="0" w:after="0"/>
        <w:ind w:left="0" w:right="0" w:firstLine="5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стоимость услуг по СОУТ включены затраты на проведение всех вышеуказанных этапов.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2.10. Требования к организации, оказывающей услуги по проведению СОУТ: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2.10.1. указание в уставных документах организации в качестве основного вида деятельности или одного из видов ее деятельности проведения специальной оценки условий труда;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2.10.2. наличие в организации не менее пяти экспертов, работающих по трудовому договору и имеющих сертификат эксперта на право выполнения работ по специальной оценке условий труда, в том числе не менее одного эксперта, имеющего высшее образование по одной из специальностей - общая гигиена, гигиена труда, санитарно-гигиенические лабораторные исследования;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2.10.3. наличие в качестве структурного подразделения испытательной лаборатории (центра), которая аккредитована национальным органом по аккредитации в соответствии с законодательством Российской Федерации об аккредитации в национальной системе аккредитации и областью аккредитации которой является проведение исследований (испытаний) и измерений вредных и (или) опасных факторов производственной среды и трудового процесса, предусмотренных пунктами 1 - 11 и 15 - 23части 3 статьи 13 Федерального закона от 28.12.2013 № 426-ФЗ;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2.10.4. наличие регистрации в реестре организаций, проводящих СОУТ, согласно части 3 статьи 19 Федерального закона от 28.12.2013 № 426-ФЗ;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2.11. Привлечение соисполнителей допускается в соответствии с частью 2 статьи 19 Федерального закона от 28.12.2013 № 426-ФЗ.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b w:val="false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2.12. Требования к качественным характеристикам оказываемых Услуг:</w:t>
      </w:r>
    </w:p>
    <w:p>
      <w:pPr>
        <w:pStyle w:val="Style64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проведение СОУТ осуществляется в соответствии с требованиями Федерального закона от 28.12.2013 № 426-ФЗ, Приказа Минтруда России от 21.11.2023 N 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 с учетом специфики деятельности Заказчика.</w:t>
      </w:r>
    </w:p>
    <w:p>
      <w:pPr>
        <w:pStyle w:val="Style31"/>
        <w:widowControl/>
        <w:suppressAutoHyphens w:val="true"/>
        <w:overflowPunct w:val="true"/>
        <w:bidi w:val="0"/>
        <w:spacing w:lineRule="auto" w:line="276" w:before="0" w:after="0"/>
        <w:ind w:left="0" w:right="0" w:firstLine="567"/>
        <w:jc w:val="both"/>
        <w:rPr/>
      </w:pPr>
      <w:r>
        <w:rPr>
          <w:rFonts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cs="Times New Roman"/>
          <w:b w:val="false"/>
          <w:bCs w:val="false"/>
          <w:color w:val="000000"/>
          <w:sz w:val="24"/>
          <w:szCs w:val="24"/>
        </w:rPr>
        <w:t>2.13.Список передаваемой документации для оказания услуг.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Исполнителю представляются следующие документы: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а) Копия приказа Руководителя организации Заказчика о создании комиссии по проведению специальной оценки условий труда (далее - СОУТ):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В состав комиссии включаются представители работодателя, специалист по охране труда, представители выборного органа первичной профсоюзной организации или иного представительного органа работников (при наличии). Состав и порядок деятельности комиссии утверждаются приказом (распоряжением) работодателя в соответствии с требованиями Федерального закона.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б) Копия штатного расписания или выписка из него, или копия утвержденного перечня рабочих мест, на которых будет проводиться специальная оценка условий труда, с указанием названия подразделений, штатных единиц и их количества, СНИЛС и Ф.И.О. работников.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в) Карточка юридического лица (копия информационного письма об учете в Статрегистре Росстата) с указанием полного наименования организации и сокращенного наименования организации, места нахождения и места осуществления деятельности, идентификационного номера налогоплательщика (ИНН), основного государственного регистрационного номера (ОГРН), кодов статистики - ОКПО, ОКВЭД, ОКТМО (ранее ОКАТО), ОКОТУ.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г) Список должностей и профессий, подлежащих предварительным и периодическим медицинским осмотрам (при наличии). При отсутствии составляется письмо, подтверждающее их отсутствие, заверенное руководителем организации (в свободной форме).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д) Результаты ранее проведенной специальной оценки условий труда рабочих мест по условиям труда в виде сводной таблицы классов условий труда (при наличии).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е) Результаты ранее проводившихся на данных рабочих местах исследований (испытаний) и измерений вредных и (или) опасных производственных факторов (при наличии).</w:t>
      </w:r>
    </w:p>
    <w:p>
      <w:pPr>
        <w:pStyle w:val="Style31"/>
        <w:spacing w:before="0" w:after="0"/>
        <w:ind w:left="0" w:right="0" w:firstLine="709"/>
        <w:jc w:val="both"/>
        <w:rPr/>
      </w:pPr>
      <w:r>
        <w:rPr>
          <w:rFonts w:cs="Times New Roman"/>
          <w:color w:val="000000"/>
          <w:sz w:val="24"/>
        </w:rPr>
        <w:t>ё) Сведения о произошедших за последние 5 (пять) лет несчастных случаях, случаях производственного травматизма и (или) установления профессионального заболевания, возникшие, в связи с воздействием</w:t>
      </w:r>
      <w:r>
        <w:rPr>
          <w:color w:val="000000"/>
        </w:rPr>
        <w:t xml:space="preserve"> </w:t>
      </w:r>
      <w:r>
        <w:rPr>
          <w:rFonts w:cs="Times New Roman"/>
          <w:color w:val="000000"/>
          <w:sz w:val="24"/>
        </w:rPr>
        <w:t>на работника на его рабочем месте вредных и (или) опасных производственных факторов (копия журнала регистрации несчастных случаев). При отсутствии составляется письмо, подтверждающее их отсутствие, заверенное руководителем организации (в свободной форме).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ж) Перечень должностей/профессий, работа на которых дает право на досрочное назначение трудовой пенсии по старости. При их отсутствии составляется письмо, подтверждающее их отсутствие, заверенное руководителем организации (в свободной форме).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з) Перечень должностей/профессий, для которых установлены дополнительные отпуска, сокращенная продолжительность рабочей недели, размер повышения оплаты труда за работу с вредными и (или) опасными условиями труда. При их отсутствии составляется письмо, подтверждающее их отсутствие, заверенное руководителем организации (в свободной форме).</w:t>
      </w:r>
    </w:p>
    <w:p>
      <w:pPr>
        <w:pStyle w:val="Style31"/>
        <w:spacing w:before="0" w:after="0"/>
        <w:ind w:left="0" w:right="0" w:firstLine="709"/>
        <w:jc w:val="both"/>
        <w:rPr/>
      </w:pPr>
      <w:r>
        <w:rPr>
          <w:rFonts w:cs="Times New Roman"/>
          <w:color w:val="000000"/>
          <w:sz w:val="24"/>
        </w:rPr>
        <w:t>и) Перечень должностей/профессий, на</w:t>
      </w:r>
      <w:r>
        <w:rPr>
          <w:color w:val="000000"/>
        </w:rPr>
        <w:t xml:space="preserve"> </w:t>
      </w:r>
      <w:r>
        <w:rPr>
          <w:rFonts w:cs="Times New Roman"/>
          <w:color w:val="000000"/>
          <w:sz w:val="24"/>
        </w:rPr>
        <w:t>которых бесплатно выдается лечебно-профилактическое питание (ЛПП), молоко или другие равноценные пищевые продукты (при наличии). При их отсутствии составляется письмо, подтверждающее их отсутствие, заверенное руководителем организации (в свободной форме).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й) Перечень средств индивидуальной защиты, выдаваемых работникам, перечень смывающих и (или) обезвреживающих средств (при наличии).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к) Копии сертификатов на средства индивидуальной защиты работников (при наличии СИЗ).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л) Письмо о наличии сотрудников в возрасте до 18 лет с указанием их должности. При их отсутствии составляется письмо, подтверждающее их отсутствие, заверенное руководителем организации (в свободной форме).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м) Письмо о наличии или отсутствии мнений и жалоб работников на рабочих местах по идентификации потенциально вредных и (или) опасных производственных факторов;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н) Сведения о производственном оборудовании, материалах и сырье, используемых работниками.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о) Сведения о руководителе организации (должность, Ф.И.О. (полностью), телефон, факс).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п) Список автотранспортной техники организации с указанием количества водителей, работающих в каждом автомобиле, грузоподъемности и вида используемого топлива, марки и года выпуска (при наличии).</w:t>
      </w:r>
    </w:p>
    <w:p>
      <w:pPr>
        <w:pStyle w:val="Style31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р) Сведения об ответственном за проведение специальной оценки условий труда (должность, Ф.И.О. (полностью), телефон, факс, электронная почта).</w:t>
      </w:r>
    </w:p>
    <w:p>
      <w:pPr>
        <w:pStyle w:val="Style64"/>
        <w:widowControl/>
        <w:bidi w:val="0"/>
        <w:spacing w:lineRule="auto" w:line="276" w:before="0" w:after="0"/>
        <w:ind w:left="0" w:right="0" w:hanging="0"/>
        <w:jc w:val="both"/>
        <w:rPr>
          <w:b w:val="false"/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eastAsia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eastAsia="ar-SA"/>
        </w:rPr>
        <w:t>с) Таблица отнесения рабочих мест медицинских и иных работников, непосредственно осуществляющих медицинскую деятельность, по воздействию биологического фактора (работы с патогенными микроорганизмами) (Перечень рабочих мест — Таблица 1).</w:t>
      </w:r>
    </w:p>
    <w:p>
      <w:pPr>
        <w:pStyle w:val="Style64"/>
        <w:widowControl/>
        <w:bidi w:val="0"/>
        <w:spacing w:lineRule="auto" w:line="276" w:before="0" w:after="0"/>
        <w:ind w:left="0" w:right="0" w:hanging="0"/>
        <w:jc w:val="right"/>
        <w:rPr>
          <w:b w:val="false"/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eastAsia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eastAsia="ar-SA"/>
        </w:rPr>
        <w:t>Таблица 1.</w:t>
      </w:r>
    </w:p>
    <w:p>
      <w:pPr>
        <w:pStyle w:val="ListParagraph"/>
        <w:spacing w:before="0" w:after="200"/>
        <w:ind w:left="-284" w:hanging="0"/>
        <w:contextualSpacing/>
        <w:jc w:val="center"/>
        <w:rPr>
          <w:b/>
          <w:b/>
          <w:bCs/>
        </w:rPr>
      </w:pPr>
      <w:r>
        <w:rPr>
          <w:rFonts w:cs="Times New Roman" w:ascii="Times New Roman" w:hAnsi="Times New Roman"/>
          <w:b/>
          <w:bCs/>
        </w:rPr>
        <w:t>ПЕРЕЧЕНЬ</w:t>
      </w:r>
    </w:p>
    <w:p>
      <w:pPr>
        <w:pStyle w:val="ListParagraph"/>
        <w:spacing w:before="0" w:after="200"/>
        <w:ind w:left="-284" w:hanging="0"/>
        <w:contextualSpacing/>
        <w:jc w:val="center"/>
        <w:rPr>
          <w:b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рабочих мест, подлежащих специальной оценке условий труда в ГБУЗ АО «ГП №3»,</w:t>
      </w:r>
    </w:p>
    <w:p>
      <w:pPr>
        <w:pStyle w:val="ListParagraph"/>
        <w:spacing w:before="0" w:after="200"/>
        <w:ind w:left="-284" w:hanging="0"/>
        <w:contextualSpacing/>
        <w:jc w:val="center"/>
        <w:rPr>
          <w:b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с указанием аналогичных рабочих мест</w:t>
      </w:r>
    </w:p>
    <w:p>
      <w:pPr>
        <w:pStyle w:val="ListParagraph"/>
        <w:spacing w:before="0" w:after="200"/>
        <w:ind w:left="-284" w:hanging="0"/>
        <w:contextualSpacing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W w:w="9750" w:type="dxa"/>
        <w:jc w:val="left"/>
        <w:tblInd w:w="82" w:type="dxa"/>
        <w:tblLayout w:type="fixed"/>
        <w:tblCellMar>
          <w:top w:w="28" w:type="dxa"/>
          <w:left w:w="28" w:type="dxa"/>
          <w:bottom w:w="28" w:type="dxa"/>
          <w:right w:w="0" w:type="dxa"/>
        </w:tblCellMar>
      </w:tblPr>
      <w:tblGrid>
        <w:gridCol w:w="914"/>
        <w:gridCol w:w="1581"/>
        <w:gridCol w:w="1569"/>
        <w:gridCol w:w="1279"/>
        <w:gridCol w:w="897"/>
        <w:gridCol w:w="979"/>
        <w:gridCol w:w="1370"/>
        <w:gridCol w:w="1159"/>
      </w:tblGrid>
      <w:tr>
        <w:trPr/>
        <w:tc>
          <w:tcPr>
            <w:tcW w:w="9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0" w:name="p_2"/>
            <w:bookmarkEnd w:id="0"/>
            <w:r>
              <w:rPr>
                <w:sz w:val="20"/>
                <w:szCs w:val="20"/>
              </w:rPr>
              <w:t>N</w:t>
              <w:br/>
              <w:t>рабочего места</w:t>
            </w:r>
          </w:p>
        </w:tc>
        <w:tc>
          <w:tcPr>
            <w:tcW w:w="158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1" w:name="p_3"/>
            <w:bookmarkEnd w:id="1"/>
            <w:r>
              <w:rPr>
                <w:sz w:val="20"/>
                <w:szCs w:val="20"/>
              </w:rPr>
              <w:t>Наименование структурного подразделения</w:t>
            </w:r>
          </w:p>
        </w:tc>
        <w:tc>
          <w:tcPr>
            <w:tcW w:w="15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2" w:name="p_4"/>
            <w:bookmarkEnd w:id="2"/>
            <w:r>
              <w:rPr>
                <w:sz w:val="20"/>
                <w:szCs w:val="20"/>
              </w:rPr>
              <w:t>Наименование рабочего места</w:t>
            </w:r>
          </w:p>
        </w:tc>
        <w:tc>
          <w:tcPr>
            <w:tcW w:w="12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3" w:name="p_5"/>
            <w:bookmarkEnd w:id="3"/>
            <w:r>
              <w:rPr>
                <w:sz w:val="20"/>
                <w:szCs w:val="20"/>
              </w:rPr>
              <w:t>Количество работников, занятых на данном рабочем месте</w:t>
            </w:r>
          </w:p>
        </w:tc>
        <w:tc>
          <w:tcPr>
            <w:tcW w:w="324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4" w:name="p_6"/>
            <w:bookmarkEnd w:id="4"/>
            <w:r>
              <w:rPr>
                <w:sz w:val="20"/>
                <w:szCs w:val="20"/>
              </w:rPr>
              <w:t>Из них</w:t>
            </w:r>
          </w:p>
        </w:tc>
        <w:tc>
          <w:tcPr>
            <w:tcW w:w="11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5" w:name="p_20"/>
            <w:bookmarkEnd w:id="5"/>
            <w:r>
              <w:rPr>
                <w:sz w:val="20"/>
                <w:szCs w:val="20"/>
              </w:rPr>
              <w:t>Наименование аналогичных рабочих мест</w:t>
            </w:r>
            <w:bookmarkStart w:id="6" w:name="ext-gen1290"/>
            <w:bookmarkEnd w:id="6"/>
          </w:p>
        </w:tc>
      </w:tr>
      <w:tr>
        <w:trPr/>
        <w:tc>
          <w:tcPr>
            <w:tcW w:w="91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60"/>
              <w:widowControl w:val="false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8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60"/>
              <w:widowControl w:val="false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6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60"/>
              <w:widowControl w:val="false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7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60"/>
              <w:widowControl w:val="false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7" w:name="p_7"/>
            <w:bookmarkEnd w:id="7"/>
            <w:r>
              <w:rPr>
                <w:sz w:val="20"/>
                <w:szCs w:val="20"/>
              </w:rPr>
              <w:t>женщин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8" w:name="p_8"/>
            <w:bookmarkEnd w:id="8"/>
            <w:r>
              <w:rPr>
                <w:sz w:val="20"/>
                <w:szCs w:val="20"/>
              </w:rPr>
              <w:t>лиц в возрасте до 18 лет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9" w:name="p_9"/>
            <w:bookmarkEnd w:id="9"/>
            <w:r>
              <w:rPr>
                <w:sz w:val="20"/>
                <w:szCs w:val="20"/>
              </w:rPr>
              <w:t>инвалидов, допущенных к выполнению работ на данном рабочем месте</w:t>
            </w:r>
          </w:p>
        </w:tc>
        <w:tc>
          <w:tcPr>
            <w:tcW w:w="115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10" w:name="p_10"/>
            <w:bookmarkEnd w:id="10"/>
            <w:r>
              <w:rPr>
                <w:sz w:val="20"/>
                <w:szCs w:val="20"/>
              </w:rPr>
              <w:t>1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11" w:name="p_11"/>
            <w:bookmarkEnd w:id="11"/>
            <w:r>
              <w:rPr>
                <w:sz w:val="20"/>
                <w:szCs w:val="20"/>
              </w:rPr>
              <w:t>2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12" w:name="p_12"/>
            <w:bookmarkEnd w:id="12"/>
            <w:r>
              <w:rPr>
                <w:sz w:val="20"/>
                <w:szCs w:val="20"/>
              </w:rPr>
              <w:t>3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13" w:name="p_13"/>
            <w:bookmarkEnd w:id="13"/>
            <w:r>
              <w:rPr>
                <w:sz w:val="20"/>
                <w:szCs w:val="20"/>
              </w:rPr>
              <w:t>4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14" w:name="p_14"/>
            <w:bookmarkEnd w:id="14"/>
            <w:r>
              <w:rPr>
                <w:sz w:val="20"/>
                <w:szCs w:val="20"/>
              </w:rPr>
              <w:t>5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15" w:name="p_15"/>
            <w:bookmarkEnd w:id="15"/>
            <w:r>
              <w:rPr>
                <w:sz w:val="20"/>
                <w:szCs w:val="20"/>
              </w:rPr>
              <w:t>6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16" w:name="p_16"/>
            <w:bookmarkEnd w:id="16"/>
            <w:r>
              <w:rPr>
                <w:sz w:val="20"/>
                <w:szCs w:val="20"/>
              </w:rPr>
              <w:t>7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bookmarkStart w:id="17" w:name="p_21"/>
            <w:bookmarkEnd w:id="17"/>
            <w:r>
              <w:rPr>
                <w:sz w:val="20"/>
                <w:szCs w:val="20"/>
              </w:rPr>
              <w:t>8</w:t>
            </w:r>
          </w:p>
        </w:tc>
      </w:tr>
      <w:tr>
        <w:trPr/>
        <w:tc>
          <w:tcPr>
            <w:tcW w:w="9748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БАЗОВОЕ ПОЛИКЛИНИЧЕСКОЕ ОТДЕЛЕНИЕ</w:t>
            </w:r>
          </w:p>
          <w:p>
            <w:pPr>
              <w:pStyle w:val="Style64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адресу: г.Астрахань, ул.Адмирала Нахимова, 135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ОТДЕЛЕНИЕ МЕДИЦИНСКОЙ ПРОФИЛАКТИКИ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em w:val="none"/>
              </w:rPr>
              <w:t>Кабинет организации диспансеризации и профилактических медицинских осмотров</w:t>
            </w:r>
          </w:p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Врач-терапевт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12001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ОТДЕЛЕНИЕ</w:t>
            </w:r>
          </w:p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РЕНТГЕНО-ДИАГНОСТИКИ</w:t>
            </w:r>
          </w:p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</w:r>
          </w:p>
          <w:p>
            <w:pPr>
              <w:pStyle w:val="Normal"/>
              <w:widowControl w:val="false"/>
              <w:spacing w:before="0" w:after="200"/>
              <w:jc w:val="center"/>
              <w:rPr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Рентгеновский кабинет для рентгенографии легких (флюорографии)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Врач-рентгенолог</w:t>
            </w:r>
          </w:p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12002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Рентгенолаборант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i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ШКОЛА ДЛЯ БОЛЬНЫХ  С АРТЕРИАЛЬНОЙ ГИПЕРТОНИЕЙ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Врач-терапевт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Врач общей практики (семейный врач)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Врач-кардиолог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ШКОЛА ДЛЯ БЕРЕМЕННЫХ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Врач-акушер-гинеколог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ОБЩЕПОЛИКЛИНИЧЕСКИЙ НЕМЕДИЦИН-СКИЙ ПЕРСОНАЛ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Специалист по связям с общественностью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ДЕТСКОЕ ПОЛИКЛИНИ-ЧЕСКОЕ ОТДЕЛЕНИЕ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Отделение неотложной медицинской помощи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Врач-педиатр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ДЕТСКОЕ ПОЛИКЛИНИ-ЧЕСКОЕ ОТДЕЛЕНИЕ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Школа для пациентов с избыточной массой тела и ожирением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Врач-детский эндокринолог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ДЕТСКОЕ ПОЛИКЛИНИЧЕСКОЕ ОТДЕЛЕНИЕ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Школа для больных с эпилепсией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Врач-невролог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ДЕТСКОЕ ПОЛИКЛИНИЧЕСКОЕ ОТДЕЛЕНИЕ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Детский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акушерско-гинекологический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кабинет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Медицинская сестра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748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ПОЛИКЛИНИЧЕСКОЕ ОТДЕЛЕНИЕ №1</w:t>
            </w:r>
          </w:p>
          <w:p>
            <w:pPr>
              <w:pStyle w:val="Style64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адресу: г.Астрахань, ул.Боевая/Ахшарумова,45/8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17007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000000"/>
                <w:kern w:val="0"/>
                <w:sz w:val="18"/>
                <w:szCs w:val="18"/>
                <w:lang w:val="ru-RU" w:eastAsia="en-US" w:bidi="ar-SA"/>
              </w:rPr>
              <w:t>ОТДЕЛЕНИЕ ОБЩЕЙ ВРАЧЕБНОЙ (СЕМЕЙНОЙ) ПРАКТИКИ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left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Заведующий отделением-врач общей практики (семейный) врач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17009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17010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17011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17012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17013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17013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Врач общей практики (семейный) врач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17008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Старшая медицинская сестра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17019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17020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17021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17022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17023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Медицинская сестра врача общей практики (семейного) врача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17025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ТЕРАПЕВТИ-ЧЕСКОЕ ОТДЕЛЕНИЕ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Заведующий  отделением-врач-терапевт участковый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17001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17002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17026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17027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17028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17029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17030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uppressAutoHyphens w:val="true"/>
              <w:bidi w:val="0"/>
              <w:snapToGrid w:val="false"/>
              <w:spacing w:lineRule="auto" w:line="276" w:before="0" w:after="20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Врач-терапевт участковый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shd w:fill="auto" w:val="clear"/>
              </w:rPr>
              <w:t>14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  <w:shd w:fill="auto" w:val="clear"/>
              </w:rPr>
              <w:t>7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17031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Старшая медицинская сестра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17003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17004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17005</w:t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17006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  <w:shd w:fill="auto" w:val="clear"/>
              </w:rPr>
              <w:t>Медицинская сестра участковая (медицинский брат)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  <w:shd w:fill="auto" w:val="clear"/>
              </w:rPr>
              <w:t>11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  <w:shd w:fill="auto" w:val="clear"/>
              </w:rPr>
              <w:t>9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КАБИНЕТ ПАЛЛИАТИВ-</w:t>
            </w:r>
          </w:p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НОЙ МЕДИЦИНСКОЙ ПОМОЩИ ВЗРОСЛЫМ</w:t>
            </w:r>
          </w:p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Медицинская сестра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182001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ОТДЕЛЕНИЕ</w:t>
            </w:r>
          </w:p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РЕНТГЕНО-ДИАГНОСТИКИ</w:t>
            </w:r>
          </w:p>
          <w:p>
            <w:pPr>
              <w:pStyle w:val="Normal"/>
              <w:widowControl w:val="false"/>
              <w:spacing w:before="0" w:after="200"/>
              <w:jc w:val="center"/>
              <w:rPr>
                <w:rFonts w:cs="Times New Roman"/>
                <w:b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</w:r>
          </w:p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Рентгеновский кабинет для рентгенографии легких (флюорографии)</w:t>
            </w:r>
          </w:p>
          <w:p>
            <w:pPr>
              <w:pStyle w:val="Normal"/>
              <w:widowControl w:val="false"/>
              <w:spacing w:before="0" w:after="200"/>
              <w:jc w:val="center"/>
              <w:rPr>
                <w:rFonts w:cs="Times New Roman"/>
                <w:b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Врач-рентгенолог</w:t>
            </w:r>
          </w:p>
          <w:p>
            <w:pPr>
              <w:pStyle w:val="Normal"/>
              <w:widowControl w:val="false"/>
              <w:spacing w:before="0" w:after="20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182002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Рентгенолаборант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eastAsia="Arial" w:cs="Arial" w:cstheme="minorBidi" w:eastAsiaTheme="minorHAnsi"/>
                <w:sz w:val="18"/>
                <w:szCs w:val="18"/>
                <w:shd w:fill="auto" w:val="clear"/>
              </w:rPr>
              <w:t>2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eastAsia="Calibri" w:cs=""/>
                <w:sz w:val="18"/>
                <w:szCs w:val="18"/>
              </w:rPr>
            </w:pPr>
            <w:r>
              <w:rPr>
                <w:rFonts w:eastAsia="Calibri" w:cs=""/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АМБУЛАТОР-НОЕ ОТДЕЛЕНИЕ МЕДИЦИНСКОЙ РЕАБИЛИТАЦИИ ВЗРОСЛЫХ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Заведующий отделением медицинской реабилитации-врач физической и реабилитационной медицины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Старшая медицинская сестра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pacing w:before="0" w:after="200"/>
              <w:jc w:val="left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Врач физической и реабилитационной медицины/</w:t>
            </w:r>
          </w:p>
          <w:p>
            <w:pPr>
              <w:pStyle w:val="Normal"/>
              <w:widowControl w:val="false"/>
              <w:bidi w:val="0"/>
              <w:spacing w:before="0" w:after="200"/>
              <w:jc w:val="left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врач по медицинской реабилитации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Специалист по физической реабилитации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Медицинский психолог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Медицинская сестра по медицинской реабилитации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Fonts w:ascii="Times New Roman" w:hAnsi="Times New Roman"/>
                <w:i w:val="false"/>
                <w:iCs w:val="false"/>
                <w:sz w:val="18"/>
                <w:szCs w:val="18"/>
              </w:rPr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ШКОЛА ДЛЯ БОЛЬНЫХ  С АРТЕРИАЛЬНОЙ ГИПЕРТОНИЕЙ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Врач-терапевт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Врач общей практики (семейный врач)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pacing w:before="0" w:after="200"/>
              <w:jc w:val="center"/>
              <w:rPr>
                <w:rFonts w:ascii="Times New Roman" w:hAnsi="Times New Roman" w:cs="Arial" w:cstheme="minorBidi"/>
                <w:b w:val="false"/>
                <w:b w:val="false"/>
                <w:bCs w:val="false"/>
                <w:sz w:val="18"/>
                <w:szCs w:val="18"/>
                <w:shd w:fill="auto" w:val="clear"/>
              </w:rPr>
            </w:pPr>
            <w:r>
              <w:rPr>
                <w:rFonts w:cs="Arial" w:cstheme="minorBidi" w:ascii="Times New Roman" w:hAnsi="Times New Roman"/>
                <w:b w:val="false"/>
                <w:bCs w:val="false"/>
                <w:sz w:val="18"/>
                <w:szCs w:val="18"/>
                <w:shd w:fill="auto" w:val="clear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Врач-кардиолог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748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ПОЛИКЛИНИЧЕСКОЕ ОТДЕЛЕНИЕ  №1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по адресу:  </w:t>
            </w:r>
            <w:r>
              <w:rPr>
                <w:rFonts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0"/>
                <w:u w:val="none"/>
                <w:em w:val="none"/>
              </w:rPr>
              <w:t xml:space="preserve"> г.Астрахань, </w:t>
            </w: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0"/>
                <w:u w:val="none"/>
                <w:em w:val="none"/>
              </w:rPr>
              <w:t>ул. Боевая/ Б.Хмельницкого 34/49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ЦЕНТР ЗДОРОВЬЯ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Медицинский психолог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748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ПОЛИКЛИНИЧЕСКОЕ ОТДЕЛЕНИЕ  №2</w:t>
            </w:r>
          </w:p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п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о адресу:  г.Астрахань, ул.Набережная Приволжского Затона,14 к.2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ОТДЕЛЕНИЕ НЕОТЛОЖНОЙ МЕДИЦИНСКОЙ ПОМОЩИ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Фельдшер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19001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ОТДЕЛЕНИЕ ОБЩЕЙ ВРАЧЕБНОЙ (СЕМЕЙНОЙ) ПРАКТИКИ (ПОДРАЗДЕ-ЛЕНИЯ №3)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Врач общей практики (семейный) врач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sz w:val="18"/>
                <w:szCs w:val="18"/>
              </w:rPr>
              <w:t>19003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Медицинская сестра врача общей практики (семейного) врача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A"/>
                <w:sz w:val="18"/>
                <w:szCs w:val="18"/>
                <w:u w:val="none"/>
                <w:em w:val="none"/>
              </w:rPr>
              <w:t>КАБИНЕТ ТЕРАПЕВТИЧЕСКИЙ</w:t>
            </w:r>
          </w:p>
          <w:p>
            <w:pPr>
              <w:pStyle w:val="Normal"/>
              <w:widowControl w:val="false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Врач-терапевт участковый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ШКОЛА ДЛЯ БОЛЬНЫХ  С АРТЕРИАЛЬНОЙ ГИПЕРТОНИЕЙ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Врач- общей практики (семейный врач)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4"/>
              <w:widowControl w:val="false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Врач-терапевт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748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ПОЛИКЛИНИЧЕСКОЕ ОТДЕЛЕНИЕ  №3</w:t>
            </w:r>
          </w:p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п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о адресу:  г.Астрахань,  </w:t>
            </w:r>
            <w:r>
              <w:rPr>
                <w:rFonts w:ascii="Times New Roman" w:hAnsi="Times New Roman"/>
                <w:b/>
                <w:bCs/>
                <w:i w:val="false"/>
                <w:iCs/>
                <w:strike w:val="false"/>
                <w:dstrike w:val="false"/>
                <w:outline w:val="false"/>
                <w:shadow w:val="false"/>
                <w:color w:val="00000A"/>
                <w:sz w:val="24"/>
                <w:szCs w:val="18"/>
                <w:u w:val="none"/>
                <w:em w:val="none"/>
              </w:rPr>
              <w:t>у</w:t>
            </w:r>
            <w:r>
              <w:rPr>
                <w:rFonts w:ascii="Times New Roman" w:hAnsi="Times New Roman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A"/>
                <w:sz w:val="24"/>
                <w:szCs w:val="18"/>
                <w:u w:val="none"/>
                <w:em w:val="none"/>
              </w:rPr>
              <w:t>л. 1-Степная/ 2-Степная, 5/7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ПРИВИВОЧНЫЙ КАБИНЕТ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Медицинская сестра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ШКОЛА ДЛЯ БОЛЬНЫХ  С АРТЕРИАЛЬНОЙ ГИПЕРТОНИЕЙ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Врач-терапевт</w:t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914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bidi w:val="0"/>
              <w:snapToGrid w:val="false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</w:t>
            </w:r>
          </w:p>
        </w:tc>
        <w:tc>
          <w:tcPr>
            <w:tcW w:w="15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85</w:t>
            </w:r>
          </w:p>
        </w:tc>
        <w:tc>
          <w:tcPr>
            <w:tcW w:w="89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66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1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right w:w="28" w:type="dxa"/>
            </w:tcMar>
          </w:tcPr>
          <w:p>
            <w:pPr>
              <w:pStyle w:val="Style60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</w:tr>
    </w:tbl>
    <w:p>
      <w:pPr>
        <w:pStyle w:val="Normal"/>
        <w:spacing w:lineRule="auto" w:line="240" w:before="0" w:after="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 Гарантия исполнителя услуг:</w:t>
      </w:r>
    </w:p>
    <w:p>
      <w:pPr>
        <w:pStyle w:val="Normal"/>
        <w:spacing w:lineRule="auto" w:line="240" w:before="0" w:after="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Исполнитель гарантирует:</w:t>
      </w:r>
    </w:p>
    <w:p>
      <w:pPr>
        <w:pStyle w:val="Normal"/>
        <w:spacing w:lineRule="auto" w:line="240" w:before="0" w:after="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Надлежащее качество услуг в полном объеме в соответствии с действующей нормативно-технической документацией в области специальной оценки условий труда;</w:t>
      </w:r>
    </w:p>
    <w:p>
      <w:pPr>
        <w:pStyle w:val="Normal"/>
        <w:spacing w:lineRule="auto" w:line="240" w:before="0" w:after="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Исполнитель гарантирует, что качество оказываемых услуг  соответствует положениям </w:t>
      </w:r>
      <w:r>
        <w:rPr>
          <w:rFonts w:ascii="Times New Roman" w:hAnsi="Times New Roman"/>
          <w:bCs/>
          <w:sz w:val="24"/>
          <w:szCs w:val="24"/>
        </w:rPr>
        <w:t>Федерального закона от 28.12.2013 г. № 426-ФЗ «О специальной оценке условий труда» требованиям</w:t>
      </w:r>
      <w:r>
        <w:rPr>
          <w:rFonts w:ascii="Times New Roman" w:hAnsi="Times New Roman"/>
          <w:sz w:val="24"/>
          <w:szCs w:val="24"/>
        </w:rPr>
        <w:t>, а также иным нормативным документам в области оценки условий труда.</w:t>
      </w:r>
    </w:p>
    <w:p>
      <w:pPr>
        <w:pStyle w:val="Normal"/>
        <w:spacing w:lineRule="auto" w:line="240" w:before="0" w:after="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Срок гарантии оказанных услуг устанавливается продолжительностью 5 лет с даты подписания документа о приемке.</w:t>
      </w:r>
    </w:p>
    <w:p>
      <w:pPr>
        <w:pStyle w:val="ListParagraph"/>
        <w:spacing w:before="0" w:after="200"/>
        <w:ind w:left="-284" w:hanging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spacing w:before="0" w:after="200"/>
        <w:ind w:left="-284" w:hanging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spacing w:before="0" w:after="200"/>
        <w:ind w:left="-284" w:hanging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spacing w:before="0" w:after="200"/>
        <w:ind w:left="-284" w:hanging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spacing w:before="0" w:after="200"/>
        <w:ind w:left="-284" w:hanging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76" w:before="0" w:after="200"/>
        <w:ind w:left="-284" w:hanging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64"/>
        <w:widowControl/>
        <w:bidi w:val="0"/>
        <w:spacing w:lineRule="auto" w:line="276" w:before="0" w:after="0"/>
        <w:ind w:left="0" w:right="0" w:hanging="0"/>
        <w:jc w:val="both"/>
        <w:rPr>
          <w:b w:val="false"/>
          <w:b w:val="false"/>
          <w:bCs w:val="false"/>
        </w:rPr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707" w:header="708" w:top="765" w:footer="708" w:bottom="765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ahoma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9"/>
      <w:rPr/>
    </w:pPr>
    <w:r>
      <w:rPr/>
    </w:r>
  </w:p>
  <w:p>
    <w:pPr>
      <w:pStyle w:val="Style39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9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8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Style38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8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b/>
        <w:color w:val="333333"/>
      </w:rPr>
    </w:lvl>
    <w:lvl w:ilvl="3">
      <w:start w:val="3"/>
      <w:numFmt w:val="decimal"/>
      <w:lvlText w:val="%4"/>
      <w:lvlJc w:val="left"/>
      <w:pPr>
        <w:tabs>
          <w:tab w:val="num" w:pos="0"/>
        </w:tabs>
        <w:ind w:left="2880" w:hanging="360"/>
      </w:pPr>
      <w:rPr>
        <w:sz w:val="24"/>
        <w:b/>
        <w:color w:val="333333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center"/>
      <w:pPr>
        <w:tabs>
          <w:tab w:val="num" w:pos="0"/>
        </w:tabs>
        <w:ind w:left="0" w:hanging="0"/>
      </w:pPr>
      <w:rPr>
        <w:i w:val="false"/>
        <w:b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0" w:firstLine="567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szCs w:val="24"/>
        <w:iCs w:val="false"/>
        <w:bCs w:val="false"/>
        <w:vanish w:val="false"/>
        <w:rFonts w:cs="Times New Roman"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0" w:firstLine="567"/>
      </w:pPr>
      <w:rPr>
        <w:i w:val="false"/>
        <w:b w:val="false"/>
        <w:iCs w:val="false"/>
        <w:bCs w:val="false"/>
      </w:rPr>
    </w:lvl>
    <w:lvl w:ilvl="3">
      <w:start w:val="1"/>
      <w:numFmt w:val="decimal"/>
      <w:lvlText w:val="%4)"/>
      <w:lvlJc w:val="left"/>
      <w:pPr>
        <w:tabs>
          <w:tab w:val="num" w:pos="1418"/>
        </w:tabs>
        <w:ind w:left="0" w:firstLine="567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iCs w:val="false"/>
        <w:bCs w:val="false"/>
        <w:vanish w:val="false"/>
        <w:rFonts w:cs="Times New Roman"/>
        <w:color w:val="000000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cs="Symbol" w:hint="default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Mangal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link w:val="947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zh-CN" w:bidi="ar-SA"/>
    </w:rPr>
  </w:style>
  <w:style w:type="paragraph" w:styleId="1">
    <w:name w:val="Heading 1"/>
    <w:basedOn w:val="Normal"/>
    <w:next w:val="Normal"/>
    <w:link w:val="896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2">
    <w:name w:val="Heading 2"/>
    <w:basedOn w:val="Normal"/>
    <w:next w:val="Normal"/>
    <w:link w:val="897"/>
    <w:uiPriority w:val="9"/>
    <w:unhideWhenUsed/>
    <w:qFormat/>
    <w:pPr>
      <w:keepNext w:val="true"/>
      <w:spacing w:lineRule="auto" w:line="240" w:before="0" w:after="0"/>
      <w:outlineLvl w:val="1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3">
    <w:name w:val="Heading 3"/>
    <w:basedOn w:val="Normal"/>
    <w:next w:val="Normal"/>
    <w:link w:val="898"/>
    <w:uiPriority w:val="9"/>
    <w:unhideWhenUsed/>
    <w:qFormat/>
    <w:pPr>
      <w:keepNext w:val="true"/>
      <w:spacing w:lineRule="auto" w:line="240" w:before="0" w:after="0"/>
      <w:jc w:val="center"/>
      <w:outlineLvl w:val="2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4">
    <w:name w:val="Heading 4"/>
    <w:basedOn w:val="Normal"/>
    <w:next w:val="Normal"/>
    <w:link w:val="899"/>
    <w:uiPriority w:val="9"/>
    <w:unhideWhenUsed/>
    <w:qFormat/>
    <w:pPr>
      <w:keepNext w:val="true"/>
      <w:spacing w:lineRule="auto" w:line="240" w:before="0" w:after="0"/>
      <w:jc w:val="center"/>
      <w:outlineLvl w:val="3"/>
    </w:pPr>
    <w:rPr>
      <w:rFonts w:ascii="Times New Roman" w:hAnsi="Times New Roman" w:eastAsia="Times New Roman" w:cs="Times New Roman"/>
      <w:sz w:val="28"/>
      <w:szCs w:val="20"/>
    </w:rPr>
  </w:style>
  <w:style w:type="paragraph" w:styleId="5">
    <w:name w:val="Heading 5"/>
    <w:basedOn w:val="Normal"/>
    <w:next w:val="Normal"/>
    <w:link w:val="900"/>
    <w:uiPriority w:val="9"/>
    <w:unhideWhenUsed/>
    <w:qFormat/>
    <w:pPr>
      <w:keepNext w:val="true"/>
      <w:spacing w:lineRule="auto" w:line="240" w:before="0" w:after="0"/>
      <w:outlineLvl w:val="4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6">
    <w:name w:val="Heading 6"/>
    <w:basedOn w:val="Normal"/>
    <w:next w:val="Normal"/>
    <w:link w:val="901"/>
    <w:uiPriority w:val="9"/>
    <w:unhideWhenUsed/>
    <w:qFormat/>
    <w:pPr>
      <w:keepNext w:val="true"/>
      <w:spacing w:lineRule="auto" w:line="360" w:before="0" w:after="0"/>
      <w:outlineLvl w:val="5"/>
    </w:pPr>
    <w:rPr>
      <w:rFonts w:ascii="Times New Roman" w:hAnsi="Times New Roman" w:eastAsia="Times New Roman" w:cs="Times New Roman"/>
      <w:bCs/>
      <w:sz w:val="28"/>
      <w:szCs w:val="20"/>
    </w:rPr>
  </w:style>
  <w:style w:type="paragraph" w:styleId="7">
    <w:name w:val="Heading 7"/>
    <w:basedOn w:val="Normal"/>
    <w:next w:val="Normal"/>
    <w:link w:val="902"/>
    <w:uiPriority w:val="9"/>
    <w:unhideWhenUsed/>
    <w:qFormat/>
    <w:pPr>
      <w:keepNext w:val="true"/>
      <w:widowControl w:val="false"/>
      <w:spacing w:lineRule="atLeast" w:line="360" w:before="0" w:after="0"/>
      <w:jc w:val="center"/>
      <w:outlineLvl w:val="6"/>
    </w:pPr>
    <w:rPr>
      <w:rFonts w:ascii="Times New Roman" w:hAnsi="Times New Roman" w:eastAsia="Times New Roman" w:cs="Times New Roman"/>
      <w:sz w:val="24"/>
      <w:szCs w:val="20"/>
    </w:rPr>
  </w:style>
  <w:style w:type="paragraph" w:styleId="8">
    <w:name w:val="Heading 8"/>
    <w:basedOn w:val="Normal"/>
    <w:next w:val="Normal"/>
    <w:link w:val="903"/>
    <w:uiPriority w:val="9"/>
    <w:unhideWhenUsed/>
    <w:qFormat/>
    <w:pPr>
      <w:keepNext w:val="true"/>
      <w:widowControl w:val="false"/>
      <w:spacing w:lineRule="atLeast" w:line="360" w:before="0" w:after="0"/>
      <w:jc w:val="center"/>
      <w:outlineLvl w:val="7"/>
    </w:pPr>
    <w:rPr>
      <w:rFonts w:ascii="Times New Roman" w:hAnsi="Times New Roman" w:eastAsia="Times New Roman" w:cs="Times New Roman"/>
      <w:b/>
      <w:sz w:val="24"/>
      <w:szCs w:val="20"/>
    </w:rPr>
  </w:style>
  <w:style w:type="paragraph" w:styleId="9">
    <w:name w:val="Heading 9"/>
    <w:basedOn w:val="Normal"/>
    <w:next w:val="Normal"/>
    <w:link w:val="947"/>
    <w:qFormat/>
    <w:pPr>
      <w:keepNext w:val="true"/>
      <w:widowControl w:val="false"/>
      <w:spacing w:lineRule="atLeast" w:line="360" w:before="0" w:after="0"/>
      <w:jc w:val="center"/>
      <w:outlineLvl w:val="8"/>
    </w:pPr>
    <w:rPr>
      <w:rFonts w:ascii="Times New Roman" w:hAnsi="Times New Roman" w:eastAsia="Times New Roman" w:cs="Times New Roman"/>
      <w:b/>
      <w:sz w:val="2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885"/>
    <w:uiPriority w:val="9"/>
    <w:qFormat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>
    <w:name w:val="Heading 2 Char"/>
    <w:basedOn w:val="DefaultParagraphFont"/>
    <w:link w:val="886"/>
    <w:uiPriority w:val="9"/>
    <w:qFormat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>
    <w:name w:val="Heading 3 Char"/>
    <w:basedOn w:val="DefaultParagraphFont"/>
    <w:link w:val="887"/>
    <w:uiPriority w:val="9"/>
    <w:qFormat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>
    <w:name w:val="Heading 4 Char"/>
    <w:basedOn w:val="DefaultParagraphFont"/>
    <w:link w:val="888"/>
    <w:uiPriority w:val="9"/>
    <w:qFormat/>
    <w:rPr>
      <w:rFonts w:ascii="Arial" w:hAnsi="Arial" w:eastAsia="Arial" w:cs="Arial"/>
      <w:i/>
      <w:iCs/>
      <w:color w:val="0F4761" w:themeColor="accent1" w:themeShade="bf"/>
    </w:rPr>
  </w:style>
  <w:style w:type="character" w:styleId="Heading5Char">
    <w:name w:val="Heading 5 Char"/>
    <w:basedOn w:val="DefaultParagraphFont"/>
    <w:link w:val="889"/>
    <w:uiPriority w:val="9"/>
    <w:qFormat/>
    <w:rPr>
      <w:rFonts w:ascii="Arial" w:hAnsi="Arial" w:eastAsia="Arial" w:cs="Arial"/>
      <w:color w:val="0F4761" w:themeColor="accent1" w:themeShade="bf"/>
    </w:rPr>
  </w:style>
  <w:style w:type="character" w:styleId="Heading6Char">
    <w:name w:val="Heading 6 Char"/>
    <w:basedOn w:val="DefaultParagraphFont"/>
    <w:link w:val="890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link w:val="891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>
    <w:name w:val="Heading 8 Char"/>
    <w:basedOn w:val="DefaultParagraphFont"/>
    <w:link w:val="892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link w:val="893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>
    <w:name w:val="Title Char"/>
    <w:basedOn w:val="DefaultParagraphFont"/>
    <w:link w:val="905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907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909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QuoteChar">
    <w:name w:val="Intense Quote Char"/>
    <w:basedOn w:val="DefaultParagraphFont"/>
    <w:link w:val="913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yle5">
    <w:name w:val="Выделение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922"/>
    <w:uiPriority w:val="99"/>
    <w:qFormat/>
    <w:rPr/>
  </w:style>
  <w:style w:type="character" w:styleId="FooterChar">
    <w:name w:val="Footer Char"/>
    <w:basedOn w:val="DefaultParagraphFont"/>
    <w:link w:val="924"/>
    <w:uiPriority w:val="99"/>
    <w:qFormat/>
    <w:rPr/>
  </w:style>
  <w:style w:type="character" w:styleId="FootnoteTextChar">
    <w:name w:val="Footnote Text Char"/>
    <w:basedOn w:val="DefaultParagraphFont"/>
    <w:link w:val="927"/>
    <w:uiPriority w:val="99"/>
    <w:semiHidden/>
    <w:qFormat/>
    <w:rPr>
      <w:sz w:val="20"/>
      <w:szCs w:val="20"/>
    </w:rPr>
  </w:style>
  <w:style w:type="character" w:styleId="Style6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basedOn w:val="DefaultParagraphFont"/>
    <w:link w:val="930"/>
    <w:uiPriority w:val="99"/>
    <w:semiHidden/>
    <w:qFormat/>
    <w:rPr>
      <w:sz w:val="20"/>
      <w:szCs w:val="20"/>
    </w:rPr>
  </w:style>
  <w:style w:type="character" w:styleId="Style7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8">
    <w:name w:val="Интернет-ссылка"/>
    <w:uiPriority w:val="99"/>
    <w:unhideWhenUsed/>
    <w:rPr>
      <w:strike w:val="false"/>
      <w:dstrike w:val="false"/>
      <w:color w:val="3272C0"/>
      <w:u w:val="none"/>
      <w:shd w:fill="auto" w:val="clear"/>
    </w:rPr>
  </w:style>
  <w:style w:type="character" w:styleId="Style9">
    <w:name w:val="Посещённая гиперссылка"/>
    <w:link w:val="947"/>
    <w:rPr>
      <w:color w:val="B38FEE"/>
      <w:u w:val="single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link w:val="947"/>
    <w:qFormat/>
    <w:rPr>
      <w:rFonts w:ascii="Courier New" w:hAnsi="Courier New" w:cs="Courier New"/>
      <w:sz w:val="20"/>
    </w:rPr>
  </w:style>
  <w:style w:type="character" w:styleId="WW8Num2z2">
    <w:name w:val="WW8Num2z2"/>
    <w:link w:val="947"/>
    <w:qFormat/>
    <w:rPr>
      <w:b/>
      <w:color w:val="333333"/>
      <w:sz w:val="24"/>
    </w:rPr>
  </w:style>
  <w:style w:type="character" w:styleId="WW8Num2z4">
    <w:name w:val="WW8Num2z4"/>
    <w:link w:val="947"/>
    <w:qFormat/>
    <w:rPr>
      <w:rFonts w:ascii="Wingdings" w:hAnsi="Wingdings" w:cs="Wingdings"/>
      <w:sz w:val="20"/>
    </w:rPr>
  </w:style>
  <w:style w:type="character" w:styleId="WW8Num3z0">
    <w:name w:val="WW8Num3z0"/>
    <w:link w:val="947"/>
    <w:qFormat/>
    <w:rPr>
      <w:rFonts w:ascii="Symbol" w:hAnsi="Symbol" w:cs="Symbol"/>
      <w:sz w:val="20"/>
    </w:rPr>
  </w:style>
  <w:style w:type="character" w:styleId="WW8Num3z1">
    <w:name w:val="WW8Num3z1"/>
    <w:link w:val="947"/>
    <w:qFormat/>
    <w:rPr>
      <w:rFonts w:ascii="Courier New" w:hAnsi="Courier New" w:cs="Courier New"/>
      <w:sz w:val="20"/>
    </w:rPr>
  </w:style>
  <w:style w:type="character" w:styleId="WW8Num3z2">
    <w:name w:val="WW8Num3z2"/>
    <w:link w:val="947"/>
    <w:qFormat/>
    <w:rPr>
      <w:rFonts w:ascii="Wingdings" w:hAnsi="Wingdings" w:cs="Wingdings"/>
      <w:sz w:val="20"/>
    </w:rPr>
  </w:style>
  <w:style w:type="character" w:styleId="WW8Num4z0">
    <w:name w:val="WW8Num4z0"/>
    <w:link w:val="947"/>
    <w:qFormat/>
    <w:rPr>
      <w:b/>
      <w:i w:val="false"/>
    </w:rPr>
  </w:style>
  <w:style w:type="character" w:styleId="WW8Num4z1">
    <w:name w:val="WW8Num4z1"/>
    <w:link w:val="947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szCs w:val="24"/>
      <w:u w:val="none"/>
      <w:vertAlign w:val="baseline"/>
    </w:rPr>
  </w:style>
  <w:style w:type="character" w:styleId="WW8Num4z2">
    <w:name w:val="WW8Num4z2"/>
    <w:qFormat/>
    <w:rPr>
      <w:b w:val="false"/>
      <w:bCs w:val="false"/>
      <w:i w:val="false"/>
      <w:iCs w:val="false"/>
    </w:rPr>
  </w:style>
  <w:style w:type="character" w:styleId="WW8Num4z3">
    <w:name w:val="WW8Num4z3"/>
    <w:link w:val="947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vertAlign w:val="baseline"/>
    </w:rPr>
  </w:style>
  <w:style w:type="character" w:styleId="WW8Num4z5">
    <w:name w:val="WW8Num4z5"/>
    <w:qFormat/>
    <w:rPr>
      <w:rFonts w:ascii="Symbol" w:hAnsi="Symbol" w:cs="Symbol"/>
    </w:rPr>
  </w:style>
  <w:style w:type="character" w:styleId="WW8Num5z0">
    <w:name w:val="WW8Num5z0"/>
    <w:link w:val="947"/>
    <w:qFormat/>
    <w:rPr>
      <w:rFonts w:ascii="Symbol" w:hAnsi="Symbol" w:cs="OpenSymbol"/>
    </w:rPr>
  </w:style>
  <w:style w:type="character" w:styleId="WW8Num5z1">
    <w:name w:val="WW8Num5z1"/>
    <w:link w:val="947"/>
    <w:qFormat/>
    <w:rPr>
      <w:rFonts w:ascii="OpenSymbol" w:hAnsi="OpenSymbol" w:cs="OpenSymbol"/>
    </w:rPr>
  </w:style>
  <w:style w:type="character" w:styleId="WW8Num3z4">
    <w:name w:val="WW8Num3z4"/>
    <w:link w:val="947"/>
    <w:qFormat/>
    <w:rPr>
      <w:rFonts w:ascii="Wingdings" w:hAnsi="Wingdings" w:cs="Wingdings"/>
      <w:sz w:val="20"/>
    </w:rPr>
  </w:style>
  <w:style w:type="character" w:styleId="WW8Num6z0">
    <w:name w:val="WW8Num6z0"/>
    <w:link w:val="947"/>
    <w:qFormat/>
    <w:rPr>
      <w:rFonts w:ascii="Times New Roman" w:hAnsi="Times New Roman" w:cs="Times New Roman"/>
      <w:b w:val="false"/>
      <w:bCs w:val="false"/>
      <w:i w:val="false"/>
      <w:iCs w:val="false"/>
      <w:spacing w:val="0"/>
      <w:sz w:val="24"/>
      <w:szCs w:val="24"/>
      <w:lang w:val="ru-RU" w:bidi="ar-SA"/>
    </w:rPr>
  </w:style>
  <w:style w:type="character" w:styleId="WW8Num7z0">
    <w:name w:val="WW8Num7z0"/>
    <w:qFormat/>
    <w:rPr>
      <w:b/>
      <w:i w:val="false"/>
    </w:rPr>
  </w:style>
  <w:style w:type="character" w:styleId="WW8Num7z1">
    <w:name w:val="WW8Num7z1"/>
    <w:link w:val="947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szCs w:val="24"/>
      <w:u w:val="none"/>
      <w:vertAlign w:val="baseline"/>
    </w:rPr>
  </w:style>
  <w:style w:type="character" w:styleId="WW8Num7z2">
    <w:name w:val="WW8Num7z2"/>
    <w:qFormat/>
    <w:rPr>
      <w:b w:val="false"/>
      <w:bCs w:val="false"/>
      <w:i w:val="false"/>
      <w:iCs w:val="false"/>
    </w:rPr>
  </w:style>
  <w:style w:type="character" w:styleId="WW8Num7z3">
    <w:name w:val="WW8Num7z3"/>
    <w:link w:val="947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vertAlign w:val="baseline"/>
    </w:rPr>
  </w:style>
  <w:style w:type="character" w:styleId="WW8Num7z5">
    <w:name w:val="WW8Num7z5"/>
    <w:qFormat/>
    <w:rPr>
      <w:rFonts w:ascii="Symbol" w:hAnsi="Symbol" w:cs="Symbol"/>
    </w:rPr>
  </w:style>
  <w:style w:type="character" w:styleId="WW8Num8z0">
    <w:name w:val="WW8Num8z0"/>
    <w:link w:val="947"/>
    <w:qFormat/>
    <w:rPr>
      <w:rFonts w:ascii="Symbol" w:hAnsi="Symbol" w:cs="OpenSymbol"/>
    </w:rPr>
  </w:style>
  <w:style w:type="character" w:styleId="WW8Num8z1">
    <w:name w:val="WW8Num8z1"/>
    <w:link w:val="947"/>
    <w:qFormat/>
    <w:rPr>
      <w:rFonts w:ascii="OpenSymbol" w:hAnsi="OpenSymbol" w:cs="OpenSymbol"/>
    </w:rPr>
  </w:style>
  <w:style w:type="character" w:styleId="WW8Num9z0">
    <w:name w:val="WW8Num9z0"/>
    <w:link w:val="947"/>
    <w:qFormat/>
    <w:rPr>
      <w:rFonts w:ascii="Symbol" w:hAnsi="Symbol" w:cs="OpenSymbol"/>
    </w:rPr>
  </w:style>
  <w:style w:type="character" w:styleId="WW8Num9z1">
    <w:name w:val="WW8Num9z1"/>
    <w:link w:val="947"/>
    <w:qFormat/>
    <w:rPr>
      <w:rFonts w:ascii="OpenSymbol" w:hAnsi="OpenSymbol" w:cs="OpenSymbol"/>
    </w:rPr>
  </w:style>
  <w:style w:type="character" w:styleId="WW8Num10z0">
    <w:name w:val="WW8Num10z0"/>
    <w:link w:val="947"/>
    <w:qFormat/>
    <w:rPr>
      <w:rFonts w:ascii="Symbol" w:hAnsi="Symbol" w:cs="OpenSymbol"/>
    </w:rPr>
  </w:style>
  <w:style w:type="character" w:styleId="WW8Num10z1">
    <w:name w:val="WW8Num10z1"/>
    <w:link w:val="947"/>
    <w:qFormat/>
    <w:rPr>
      <w:rFonts w:ascii="OpenSymbol" w:hAnsi="OpenSymbol" w:cs="OpenSymbol"/>
    </w:rPr>
  </w:style>
  <w:style w:type="character" w:styleId="WW8Num4z4">
    <w:name w:val="WW8Num4z4"/>
    <w:link w:val="947"/>
    <w:qFormat/>
    <w:rPr>
      <w:rFonts w:ascii="Wingdings" w:hAnsi="Wingdings" w:cs="Wingdings"/>
      <w:sz w:val="20"/>
    </w:rPr>
  </w:style>
  <w:style w:type="character" w:styleId="WW8Num5z2">
    <w:name w:val="WW8Num5z2"/>
    <w:link w:val="947"/>
    <w:qFormat/>
    <w:rPr>
      <w:rFonts w:ascii="Wingdings" w:hAnsi="Wingdings" w:cs="Wingdings"/>
      <w:sz w:val="20"/>
    </w:rPr>
  </w:style>
  <w:style w:type="character" w:styleId="WW8Num8z2">
    <w:name w:val="WW8Num8z2"/>
    <w:link w:val="947"/>
    <w:qFormat/>
    <w:rPr>
      <w:b w:val="false"/>
      <w:bCs w:val="false"/>
      <w:i w:val="false"/>
      <w:iCs w:val="false"/>
    </w:rPr>
  </w:style>
  <w:style w:type="character" w:styleId="WW8Num8z3">
    <w:name w:val="WW8Num8z3"/>
    <w:link w:val="947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vertAlign w:val="baseline"/>
    </w:rPr>
  </w:style>
  <w:style w:type="character" w:styleId="WW8Num8z5">
    <w:name w:val="WW8Num8z5"/>
    <w:qFormat/>
    <w:rPr>
      <w:rFonts w:ascii="Symbol" w:hAnsi="Symbol" w:cs="Symbol"/>
    </w:rPr>
  </w:style>
  <w:style w:type="character" w:styleId="WW8Num11z0">
    <w:name w:val="WW8Num11z0"/>
    <w:link w:val="947"/>
    <w:qFormat/>
    <w:rPr>
      <w:rFonts w:ascii="Symbol" w:hAnsi="Symbol" w:cs="OpenSymbol"/>
    </w:rPr>
  </w:style>
  <w:style w:type="character" w:styleId="WW8Num11z1">
    <w:name w:val="WW8Num11z1"/>
    <w:link w:val="947"/>
    <w:qFormat/>
    <w:rPr>
      <w:rFonts w:ascii="OpenSymbol" w:hAnsi="OpenSymbol" w:cs="OpenSymbol"/>
    </w:rPr>
  </w:style>
  <w:style w:type="character" w:styleId="WW8Num6z1">
    <w:name w:val="WW8Num6z1"/>
    <w:link w:val="947"/>
    <w:qFormat/>
    <w:rPr>
      <w:rFonts w:ascii="Courier New" w:hAnsi="Courier New" w:cs="Courier New"/>
      <w:sz w:val="20"/>
    </w:rPr>
  </w:style>
  <w:style w:type="character" w:styleId="WW8Num6z2">
    <w:name w:val="WW8Num6z2"/>
    <w:link w:val="947"/>
    <w:qFormat/>
    <w:rPr>
      <w:b/>
      <w:color w:val="333333"/>
      <w:sz w:val="24"/>
    </w:rPr>
  </w:style>
  <w:style w:type="character" w:styleId="WW8Num6z4">
    <w:name w:val="WW8Num6z4"/>
    <w:link w:val="947"/>
    <w:qFormat/>
    <w:rPr>
      <w:rFonts w:ascii="Wingdings" w:hAnsi="Wingdings" w:cs="Wingdings"/>
      <w:sz w:val="20"/>
    </w:rPr>
  </w:style>
  <w:style w:type="character" w:styleId="WW8Num10z2">
    <w:name w:val="WW8Num10z2"/>
    <w:link w:val="947"/>
    <w:qFormat/>
    <w:rPr>
      <w:b w:val="false"/>
      <w:bCs w:val="false"/>
      <w:i w:val="false"/>
      <w:iCs w:val="false"/>
    </w:rPr>
  </w:style>
  <w:style w:type="character" w:styleId="WW8Num10z3">
    <w:name w:val="WW8Num10z3"/>
    <w:link w:val="947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vertAlign w:val="baseline"/>
    </w:rPr>
  </w:style>
  <w:style w:type="character" w:styleId="WW8Num10z5">
    <w:name w:val="WW8Num10z5"/>
    <w:qFormat/>
    <w:rPr>
      <w:rFonts w:ascii="Symbol" w:hAnsi="Symbol" w:cs="Symbol"/>
    </w:rPr>
  </w:style>
  <w:style w:type="character" w:styleId="WW8Num10z4">
    <w:name w:val="WW8Num10z4"/>
    <w:link w:val="947"/>
    <w:qFormat/>
    <w:rPr>
      <w:rFonts w:ascii="Wingdings" w:hAnsi="Wingdings" w:cs="Wingdings"/>
      <w:sz w:val="20"/>
    </w:rPr>
  </w:style>
  <w:style w:type="character" w:styleId="WW8Num11z2">
    <w:name w:val="WW8Num11z2"/>
    <w:link w:val="947"/>
    <w:qFormat/>
    <w:rPr>
      <w:rFonts w:ascii="Wingdings" w:hAnsi="Wingdings" w:cs="Wingdings"/>
      <w:sz w:val="20"/>
    </w:rPr>
  </w:style>
  <w:style w:type="character" w:styleId="WW8Num12z0">
    <w:name w:val="WW8Num12z0"/>
    <w:link w:val="947"/>
    <w:qFormat/>
    <w:rPr>
      <w:rFonts w:ascii="Times New Roman" w:hAnsi="Times New Roman" w:eastAsia="Times New Roman" w:cs="Times New Roman"/>
      <w:b w:val="false"/>
      <w:bCs w:val="false"/>
      <w:i w:val="false"/>
      <w:iCs w:val="false"/>
      <w:spacing w:val="0"/>
      <w:sz w:val="24"/>
      <w:szCs w:val="24"/>
      <w:lang w:val="ru-RU" w:bidi="ar-SA"/>
    </w:rPr>
  </w:style>
  <w:style w:type="character" w:styleId="WW8Num12z1">
    <w:name w:val="WW8Num12z1"/>
    <w:qFormat/>
    <w:rPr>
      <w:lang w:val="ru-RU" w:bidi="ar-SA"/>
    </w:rPr>
  </w:style>
  <w:style w:type="character" w:styleId="WW8Num13z0">
    <w:name w:val="WW8Num13z0"/>
    <w:link w:val="947"/>
    <w:qFormat/>
    <w:rPr>
      <w:rFonts w:ascii="Times New Roman" w:hAnsi="Times New Roman" w:eastAsia="Times New Roman" w:cs="Times New Roman"/>
      <w:b w:val="false"/>
      <w:bCs w:val="false"/>
      <w:i w:val="false"/>
      <w:iCs w:val="false"/>
      <w:spacing w:val="0"/>
      <w:sz w:val="24"/>
      <w:szCs w:val="24"/>
      <w:lang w:val="ru-RU" w:bidi="ar-SA"/>
    </w:rPr>
  </w:style>
  <w:style w:type="character" w:styleId="WW8Num13z1">
    <w:name w:val="WW8Num13z1"/>
    <w:qFormat/>
    <w:rPr>
      <w:lang w:val="ru-RU" w:bidi="ar-SA"/>
    </w:rPr>
  </w:style>
  <w:style w:type="character" w:styleId="Style10">
    <w:name w:val="Основной шрифт абзаца"/>
    <w:link w:val="947"/>
    <w:qFormat/>
    <w:rPr/>
  </w:style>
  <w:style w:type="character" w:styleId="11">
    <w:name w:val="Заголовок 1 Знак"/>
    <w:link w:val="947"/>
    <w:qFormat/>
    <w:rPr>
      <w:rFonts w:ascii="Times New Roman" w:hAnsi="Times New Roman" w:eastAsia="Times New Roman" w:cs="Times New Roman"/>
      <w:b/>
      <w:sz w:val="20"/>
      <w:szCs w:val="20"/>
    </w:rPr>
  </w:style>
  <w:style w:type="character" w:styleId="21">
    <w:name w:val="Заголовок 2 Знак"/>
    <w:qFormat/>
    <w:rPr>
      <w:rFonts w:ascii="Times New Roman" w:hAnsi="Times New Roman" w:eastAsia="Times New Roman" w:cs="Times New Roman"/>
      <w:b/>
      <w:sz w:val="20"/>
      <w:szCs w:val="20"/>
    </w:rPr>
  </w:style>
  <w:style w:type="character" w:styleId="31">
    <w:name w:val="Заголовок 3 Знак"/>
    <w:qFormat/>
    <w:rPr>
      <w:rFonts w:ascii="Times New Roman" w:hAnsi="Times New Roman" w:eastAsia="Times New Roman" w:cs="Times New Roman"/>
      <w:b/>
      <w:sz w:val="28"/>
      <w:szCs w:val="20"/>
    </w:rPr>
  </w:style>
  <w:style w:type="character" w:styleId="41">
    <w:name w:val="Заголовок 4 Знак"/>
    <w:qFormat/>
    <w:rPr>
      <w:rFonts w:ascii="Times New Roman" w:hAnsi="Times New Roman" w:eastAsia="Times New Roman" w:cs="Times New Roman"/>
      <w:sz w:val="28"/>
      <w:szCs w:val="20"/>
    </w:rPr>
  </w:style>
  <w:style w:type="character" w:styleId="51">
    <w:name w:val="Заголовок 5 Знак"/>
    <w:qFormat/>
    <w:rPr>
      <w:rFonts w:ascii="Times New Roman" w:hAnsi="Times New Roman" w:eastAsia="Times New Roman" w:cs="Times New Roman"/>
      <w:b/>
      <w:sz w:val="28"/>
      <w:szCs w:val="20"/>
    </w:rPr>
  </w:style>
  <w:style w:type="character" w:styleId="61">
    <w:name w:val="Заголовок 6 Знак"/>
    <w:qFormat/>
    <w:rPr>
      <w:rFonts w:ascii="Times New Roman" w:hAnsi="Times New Roman" w:eastAsia="Times New Roman" w:cs="Times New Roman"/>
      <w:bCs/>
      <w:sz w:val="28"/>
      <w:szCs w:val="20"/>
    </w:rPr>
  </w:style>
  <w:style w:type="character" w:styleId="Style11">
    <w:name w:val="Текст сноски Знак"/>
    <w:qFormat/>
    <w:rPr>
      <w:rFonts w:ascii="Times New Roman" w:hAnsi="Times New Roman" w:cs="Times New Roman"/>
      <w:sz w:val="20"/>
      <w:szCs w:val="20"/>
    </w:rPr>
  </w:style>
  <w:style w:type="character" w:styleId="Style12">
    <w:name w:val="Контракт-подпункт Знак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3">
    <w:name w:val="Символ сноски"/>
    <w:qFormat/>
    <w:rPr>
      <w:vertAlign w:val="superscript"/>
    </w:rPr>
  </w:style>
  <w:style w:type="character" w:styleId="Style14">
    <w:name w:val="Основной текст Знак"/>
    <w:link w:val="947"/>
    <w:qFormat/>
    <w:rPr>
      <w:rFonts w:ascii="Times New Roman" w:hAnsi="Times New Roman" w:cs="Times New Roman"/>
      <w:sz w:val="28"/>
      <w:szCs w:val="28"/>
    </w:rPr>
  </w:style>
  <w:style w:type="character" w:styleId="Style15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character" w:styleId="Style16">
    <w:name w:val="Верх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7">
    <w:name w:val="Ниж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8">
    <w:name w:val="Основной текст с отступом Знак"/>
    <w:qFormat/>
    <w:rPr>
      <w:rFonts w:ascii="Times New Roman" w:hAnsi="Times New Roman" w:eastAsia="Times New Roman" w:cs="Times New Roman"/>
      <w:sz w:val="28"/>
      <w:szCs w:val="20"/>
    </w:rPr>
  </w:style>
  <w:style w:type="character" w:styleId="32">
    <w:name w:val="Основной текст с отступом 3 Знак"/>
    <w:qFormat/>
    <w:rPr>
      <w:rFonts w:ascii="Times New Roman" w:hAnsi="Times New Roman" w:eastAsia="Times New Roman" w:cs="Times New Roman"/>
      <w:sz w:val="24"/>
      <w:szCs w:val="20"/>
    </w:rPr>
  </w:style>
  <w:style w:type="character" w:styleId="22">
    <w:name w:val="Основной текст 2 Знак"/>
    <w:qFormat/>
    <w:rPr>
      <w:rFonts w:ascii="Times New Roman" w:hAnsi="Times New Roman" w:eastAsia="Times New Roman" w:cs="Times New Roman"/>
      <w:b/>
      <w:caps/>
      <w:sz w:val="24"/>
      <w:szCs w:val="20"/>
    </w:rPr>
  </w:style>
  <w:style w:type="character" w:styleId="Style19">
    <w:name w:val="Цветовое выделение"/>
    <w:qFormat/>
    <w:rPr>
      <w:b/>
      <w:bCs/>
      <w:color w:val="26282F"/>
    </w:rPr>
  </w:style>
  <w:style w:type="character" w:styleId="Style20">
    <w:name w:val="Гипертекстовая ссылка"/>
    <w:link w:val="947"/>
    <w:qFormat/>
    <w:rPr>
      <w:b/>
      <w:bCs/>
      <w:color w:val="106BBE"/>
    </w:rPr>
  </w:style>
  <w:style w:type="character" w:styleId="Style21">
    <w:name w:val="Текст примечания Знак"/>
    <w:link w:val="947"/>
    <w:qFormat/>
    <w:rPr>
      <w:rFonts w:ascii="Calibri" w:hAnsi="Calibri" w:eastAsia="Calibri" w:cs="Calibri"/>
    </w:rPr>
  </w:style>
  <w:style w:type="character" w:styleId="12">
    <w:name w:val="Текст примечания Знак1"/>
    <w:link w:val="947"/>
    <w:qFormat/>
    <w:rPr>
      <w:sz w:val="20"/>
      <w:szCs w:val="20"/>
    </w:rPr>
  </w:style>
  <w:style w:type="character" w:styleId="Style22">
    <w:name w:val="Тема примечания Знак"/>
    <w:link w:val="947"/>
    <w:qFormat/>
    <w:rPr>
      <w:rFonts w:ascii="Calibri" w:hAnsi="Calibri" w:eastAsia="Calibri" w:cs="Calibri"/>
      <w:b/>
      <w:bCs/>
    </w:rPr>
  </w:style>
  <w:style w:type="character" w:styleId="13">
    <w:name w:val="Тема примечания Знак1"/>
    <w:qFormat/>
    <w:rPr>
      <w:b/>
      <w:bCs/>
      <w:sz w:val="20"/>
      <w:szCs w:val="20"/>
    </w:rPr>
  </w:style>
  <w:style w:type="character" w:styleId="Style23">
    <w:name w:val="Текст концевой сноски Знак"/>
    <w:link w:val="947"/>
    <w:qFormat/>
    <w:rPr>
      <w:rFonts w:ascii="Times New Roman" w:hAnsi="Times New Roman" w:eastAsia="Times New Roman" w:cs="Times New Roman"/>
      <w:sz w:val="20"/>
      <w:szCs w:val="20"/>
    </w:rPr>
  </w:style>
  <w:style w:type="character" w:styleId="33">
    <w:name w:val="Основной текст 3 Знак"/>
    <w:qFormat/>
    <w:rPr>
      <w:rFonts w:ascii="Times New Roman" w:hAnsi="Times New Roman" w:eastAsia="Times New Roman" w:cs="Times New Roman"/>
      <w:sz w:val="16"/>
      <w:szCs w:val="16"/>
    </w:rPr>
  </w:style>
  <w:style w:type="character" w:styleId="Style24">
    <w:name w:val="Символ концевой сноски"/>
    <w:qFormat/>
    <w:rPr>
      <w:vertAlign w:val="superscript"/>
    </w:rPr>
  </w:style>
  <w:style w:type="character" w:styleId="ConsPlusNormal">
    <w:name w:val="ConsPlusNormal Знак"/>
    <w:link w:val="947"/>
    <w:qFormat/>
    <w:rPr>
      <w:rFonts w:ascii="Arial" w:hAnsi="Arial" w:eastAsia="Times New Roman" w:cs="Arial"/>
      <w:sz w:val="22"/>
      <w:szCs w:val="22"/>
      <w:lang w:bidi="ar-SA"/>
    </w:rPr>
  </w:style>
  <w:style w:type="character" w:styleId="Style25">
    <w:name w:val="Абзац списка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71">
    <w:name w:val="Заголовок 7 Знак"/>
    <w:qFormat/>
    <w:rPr>
      <w:rFonts w:ascii="Times New Roman" w:hAnsi="Times New Roman" w:eastAsia="Times New Roman" w:cs="Times New Roman"/>
      <w:sz w:val="24"/>
      <w:szCs w:val="20"/>
    </w:rPr>
  </w:style>
  <w:style w:type="character" w:styleId="81">
    <w:name w:val="Заголовок 8 Знак"/>
    <w:qFormat/>
    <w:rPr>
      <w:rFonts w:ascii="Times New Roman" w:hAnsi="Times New Roman" w:eastAsia="Times New Roman" w:cs="Times New Roman"/>
      <w:b/>
      <w:sz w:val="24"/>
      <w:szCs w:val="20"/>
    </w:rPr>
  </w:style>
  <w:style w:type="character" w:styleId="91">
    <w:name w:val="Заголовок 9 Знак"/>
    <w:qFormat/>
    <w:rPr>
      <w:rFonts w:ascii="Times New Roman" w:hAnsi="Times New Roman" w:eastAsia="Times New Roman" w:cs="Times New Roman"/>
      <w:b/>
      <w:sz w:val="20"/>
      <w:szCs w:val="24"/>
    </w:rPr>
  </w:style>
  <w:style w:type="character" w:styleId="Style26">
    <w:name w:val="Без интервала Знак"/>
    <w:qFormat/>
    <w:rPr>
      <w:sz w:val="22"/>
      <w:szCs w:val="22"/>
    </w:rPr>
  </w:style>
  <w:style w:type="character" w:styleId="Style27">
    <w:name w:val="Номер страницы"/>
    <w:basedOn w:val="Style10"/>
    <w:link w:val="947"/>
    <w:rPr/>
  </w:style>
  <w:style w:type="character" w:styleId="Style28">
    <w:name w:val="Маркеры"/>
    <w:link w:val="947"/>
    <w:qFormat/>
    <w:rPr>
      <w:rFonts w:ascii="OpenSymbol" w:hAnsi="OpenSymbol" w:eastAsia="OpenSymbol" w:cs="OpenSymbol"/>
    </w:rPr>
  </w:style>
  <w:style w:type="character" w:styleId="Style29">
    <w:name w:val="Символ нумерации"/>
    <w:link w:val="947"/>
    <w:qFormat/>
    <w:rPr/>
  </w:style>
  <w:style w:type="paragraph" w:styleId="Style30">
    <w:name w:val="Заголовок"/>
    <w:basedOn w:val="Normal"/>
    <w:next w:val="Style31"/>
    <w:link w:val="94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31">
    <w:name w:val="Body Text"/>
    <w:basedOn w:val="Normal"/>
    <w:pPr>
      <w:spacing w:lineRule="auto" w:line="240" w:before="0" w:after="120"/>
      <w:jc w:val="both"/>
    </w:pPr>
    <w:rPr>
      <w:rFonts w:ascii="Times New Roman" w:hAnsi="Times New Roman" w:cs="Times New Roman"/>
      <w:sz w:val="28"/>
      <w:szCs w:val="28"/>
    </w:rPr>
  </w:style>
  <w:style w:type="paragraph" w:styleId="Style32">
    <w:name w:val="List"/>
    <w:basedOn w:val="Style31"/>
    <w:pPr/>
    <w:rPr>
      <w:rFonts w:cs="Lohit Devanagari"/>
    </w:rPr>
  </w:style>
  <w:style w:type="paragraph" w:styleId="Style33">
    <w:name w:val="Caption"/>
    <w:basedOn w:val="Normal"/>
    <w:link w:val="947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34">
    <w:name w:val="Указатель"/>
    <w:basedOn w:val="Normal"/>
    <w:qFormat/>
    <w:pPr>
      <w:suppressLineNumbers/>
    </w:pPr>
    <w:rPr>
      <w:rFonts w:cs="Lohit Devanagari"/>
    </w:rPr>
  </w:style>
  <w:style w:type="paragraph" w:styleId="Style35">
    <w:name w:val="Title"/>
    <w:basedOn w:val="Normal"/>
    <w:next w:val="Normal"/>
    <w:link w:val="906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tyle36">
    <w:name w:val="Subtitle"/>
    <w:basedOn w:val="Normal"/>
    <w:next w:val="Normal"/>
    <w:link w:val="908"/>
    <w:uiPriority w:val="11"/>
    <w:qFormat/>
    <w:pPr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910"/>
    <w:uiPriority w:val="29"/>
    <w:qFormat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914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Style37">
    <w:name w:val="Верхний и нижний колонтитулы"/>
    <w:basedOn w:val="Normal"/>
    <w:qFormat/>
    <w:pPr/>
    <w:rPr/>
  </w:style>
  <w:style w:type="paragraph" w:styleId="Style38">
    <w:name w:val="Header"/>
    <w:basedOn w:val="Normal"/>
    <w:link w:val="947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Style39">
    <w:name w:val="Footer"/>
    <w:basedOn w:val="Normal"/>
    <w:link w:val="925"/>
    <w:uiPriority w:val="99"/>
    <w:unhideWhenUsed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Style40">
    <w:name w:val="Footnote Text"/>
    <w:basedOn w:val="Normal"/>
    <w:link w:val="928"/>
    <w:uiPriority w:val="99"/>
    <w:semiHidden/>
    <w:unhideWhenUsed/>
    <w:pPr>
      <w:spacing w:lineRule="auto" w:line="240" w:before="0" w:after="0"/>
      <w:jc w:val="both"/>
    </w:pPr>
    <w:rPr>
      <w:rFonts w:ascii="Times New Roman" w:hAnsi="Times New Roman" w:cs="Times New Roman"/>
      <w:sz w:val="20"/>
      <w:szCs w:val="20"/>
    </w:rPr>
  </w:style>
  <w:style w:type="paragraph" w:styleId="Style41">
    <w:name w:val="Endnote Text"/>
    <w:basedOn w:val="Normal"/>
    <w:link w:val="947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34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Mangal"/>
      <w:color w:val="auto"/>
      <w:kern w:val="0"/>
      <w:sz w:val="20"/>
      <w:szCs w:val="20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S1">
    <w:name w:val="s_1"/>
    <w:basedOn w:val="Normal"/>
    <w:link w:val="947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3">
    <w:name w:val="s_3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16">
    <w:name w:val="s_16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42">
    <w:name w:val="Абзац списка"/>
    <w:basedOn w:val="Normal"/>
    <w:qFormat/>
    <w:pPr>
      <w:spacing w:lineRule="auto" w:line="240" w:before="0" w:after="0"/>
      <w:ind w:left="720" w:right="0" w:hanging="0"/>
      <w:contextualSpacing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ConsPlusNonformat">
    <w:name w:val="ConsPlusNonformat"/>
    <w:qFormat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ru-RU" w:eastAsia="zh-CN" w:bidi="ar-SA"/>
    </w:rPr>
  </w:style>
  <w:style w:type="paragraph" w:styleId="Style43">
    <w:name w:val="Контракт-пункт"/>
    <w:basedOn w:val="Normal"/>
    <w:qFormat/>
    <w:pPr>
      <w:numPr>
        <w:ilvl w:val="0"/>
        <w:numId w:val="3"/>
      </w:num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Style44">
    <w:name w:val="Контракт-раздел"/>
    <w:basedOn w:val="Normal"/>
    <w:next w:val="Style43"/>
    <w:link w:val="947"/>
    <w:qFormat/>
    <w:pPr>
      <w:keepNext w:val="true"/>
      <w:tabs>
        <w:tab w:val="clear" w:pos="708"/>
        <w:tab w:val="left" w:pos="540" w:leader="none"/>
      </w:tabs>
      <w:spacing w:lineRule="auto" w:line="240" w:before="360" w:after="120"/>
      <w:jc w:val="center"/>
      <w:outlineLvl w:val="1"/>
    </w:pPr>
    <w:rPr>
      <w:rFonts w:ascii="Times New Roman" w:hAnsi="Times New Roman" w:eastAsia="Times New Roman" w:cs="Times New Roman"/>
      <w:b/>
      <w:bCs/>
      <w:caps/>
      <w:sz w:val="24"/>
      <w:szCs w:val="24"/>
    </w:rPr>
  </w:style>
  <w:style w:type="paragraph" w:styleId="Style45">
    <w:name w:val="Контракт-подпункт"/>
    <w:basedOn w:val="Normal"/>
    <w:qFormat/>
    <w:pPr>
      <w:numPr>
        <w:ilvl w:val="0"/>
        <w:numId w:val="3"/>
      </w:num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tyle46">
    <w:name w:val="Контракт-подподпункт"/>
    <w:basedOn w:val="Normal"/>
    <w:qFormat/>
    <w:pPr>
      <w:numPr>
        <w:ilvl w:val="0"/>
        <w:numId w:val="3"/>
      </w:num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Style47">
    <w:name w:val="Подподпункт"/>
    <w:basedOn w:val="Normal"/>
    <w:qFormat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8"/>
    </w:rPr>
  </w:style>
  <w:style w:type="paragraph" w:styleId="15">
    <w:name w:val="Обычны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ConsPlusNormal1">
    <w:name w:val="ConsPlusNormal"/>
    <w:link w:val="947"/>
    <w:qFormat/>
    <w:pPr>
      <w:widowControl w:val="false"/>
      <w:suppressAutoHyphens w:val="true"/>
      <w:bidi w:val="0"/>
      <w:spacing w:before="0" w:after="0"/>
      <w:ind w:left="0" w:right="0" w:firstLine="720"/>
      <w:jc w:val="left"/>
    </w:pPr>
    <w:rPr>
      <w:rFonts w:ascii="Arial" w:hAnsi="Arial" w:eastAsia="Times New Roman" w:cs="Arial"/>
      <w:color w:val="auto"/>
      <w:kern w:val="0"/>
      <w:sz w:val="22"/>
      <w:szCs w:val="22"/>
      <w:lang w:val="ru-RU" w:eastAsia="zh-CN" w:bidi="ar-SA"/>
    </w:rPr>
  </w:style>
  <w:style w:type="paragraph" w:styleId="Style48">
    <w:name w:val="Style4"/>
    <w:basedOn w:val="Normal"/>
    <w:qFormat/>
    <w:pPr>
      <w:widowControl w:val="false"/>
      <w:spacing w:lineRule="exact" w:line="317" w:before="0" w:after="0"/>
      <w:ind w:left="0" w:right="0" w:firstLine="73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Style49">
    <w:name w:val="Таблицы (моноширинный)"/>
    <w:basedOn w:val="Normal"/>
    <w:next w:val="Normal"/>
    <w:qFormat/>
    <w:pPr>
      <w:widowControl w:val="false"/>
      <w:spacing w:lineRule="auto" w:line="240" w:before="0" w:after="0"/>
      <w:jc w:val="both"/>
    </w:pPr>
    <w:rPr>
      <w:rFonts w:ascii="Courier New" w:hAnsi="Courier New" w:eastAsia="Times New Roman" w:cs="Courier New"/>
    </w:rPr>
  </w:style>
  <w:style w:type="paragraph" w:styleId="Style50">
    <w:name w:val="Текст выноски"/>
    <w:basedOn w:val="Normal"/>
    <w:link w:val="947"/>
    <w:qFormat/>
    <w:pPr>
      <w:spacing w:lineRule="auto" w:line="240" w:before="0" w:after="0"/>
    </w:pPr>
    <w:rPr>
      <w:rFonts w:ascii="Segoe UI" w:hAnsi="Segoe UI" w:eastAsia="Times New Roman" w:cs="Segoe UI"/>
      <w:sz w:val="18"/>
      <w:szCs w:val="18"/>
    </w:rPr>
  </w:style>
  <w:style w:type="paragraph" w:styleId="Style51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52">
    <w:name w:val="Body Text Indent"/>
    <w:basedOn w:val="Normal"/>
    <w:link w:val="947"/>
    <w:pPr>
      <w:spacing w:lineRule="auto" w:line="240" w:before="0" w:after="0"/>
      <w:ind w:left="0" w:right="0" w:firstLine="567"/>
      <w:jc w:val="both"/>
    </w:pPr>
    <w:rPr>
      <w:rFonts w:ascii="Times New Roman" w:hAnsi="Times New Roman" w:eastAsia="Times New Roman" w:cs="Times New Roman"/>
      <w:sz w:val="28"/>
      <w:szCs w:val="20"/>
    </w:rPr>
  </w:style>
  <w:style w:type="paragraph" w:styleId="35">
    <w:name w:val="Основной текст с отступом 3"/>
    <w:basedOn w:val="Normal"/>
    <w:qFormat/>
    <w:pPr>
      <w:spacing w:lineRule="auto" w:line="240" w:before="0" w:after="0"/>
      <w:ind w:left="0" w:right="-2" w:firstLine="720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styleId="24">
    <w:name w:val="Основной текст 2"/>
    <w:basedOn w:val="Normal"/>
    <w:qFormat/>
    <w:pPr>
      <w:spacing w:lineRule="auto" w:line="360" w:before="0" w:after="0"/>
      <w:jc w:val="center"/>
    </w:pPr>
    <w:rPr>
      <w:rFonts w:ascii="Times New Roman" w:hAnsi="Times New Roman" w:eastAsia="Times New Roman" w:cs="Times New Roman"/>
      <w:b/>
      <w:caps/>
      <w:sz w:val="24"/>
      <w:szCs w:val="20"/>
    </w:rPr>
  </w:style>
  <w:style w:type="paragraph" w:styleId="16">
    <w:name w:val="Абзац списка1"/>
    <w:basedOn w:val="Normal"/>
    <w:qFormat/>
    <w:pPr>
      <w:spacing w:before="0" w:after="200"/>
      <w:ind w:left="720" w:right="0" w:hanging="0"/>
      <w:contextualSpacing/>
    </w:pPr>
    <w:rPr>
      <w:rFonts w:ascii="Calibri" w:hAnsi="Calibri" w:eastAsia="Times New Roman" w:cs="Times New Roman"/>
    </w:rPr>
  </w:style>
  <w:style w:type="paragraph" w:styleId="Style53">
    <w:name w:val="Без интервала"/>
    <w:link w:val="947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zh-CN" w:bidi="ar-SA"/>
    </w:rPr>
  </w:style>
  <w:style w:type="paragraph" w:styleId="Style54">
    <w:name w:val="Нормальный (таблица)"/>
    <w:basedOn w:val="Normal"/>
    <w:next w:val="Normal"/>
    <w:qFormat/>
    <w:pPr>
      <w:widowControl w:val="false"/>
      <w:spacing w:lineRule="auto" w:line="240" w:before="0" w:after="0"/>
      <w:jc w:val="both"/>
    </w:pPr>
    <w:rPr>
      <w:rFonts w:ascii="Arial" w:hAnsi="Arial" w:eastAsia="Times New Roman" w:cs="Arial"/>
      <w:sz w:val="24"/>
      <w:szCs w:val="24"/>
    </w:rPr>
  </w:style>
  <w:style w:type="paragraph" w:styleId="Style55">
    <w:name w:val="Прижатый влево"/>
    <w:basedOn w:val="Normal"/>
    <w:next w:val="Normal"/>
    <w:qFormat/>
    <w:pPr>
      <w:widowControl w:val="false"/>
      <w:spacing w:lineRule="auto" w:line="240" w:before="0" w:after="0"/>
    </w:pPr>
    <w:rPr>
      <w:rFonts w:ascii="Arial" w:hAnsi="Arial" w:eastAsia="Times New Roman" w:cs="Arial"/>
      <w:sz w:val="24"/>
      <w:szCs w:val="24"/>
    </w:rPr>
  </w:style>
  <w:style w:type="paragraph" w:styleId="Style56">
    <w:name w:val="Текст примечания"/>
    <w:basedOn w:val="Normal"/>
    <w:qFormat/>
    <w:pPr/>
    <w:rPr>
      <w:rFonts w:ascii="Calibri" w:hAnsi="Calibri" w:eastAsia="Calibri" w:cs="Calibri"/>
    </w:rPr>
  </w:style>
  <w:style w:type="paragraph" w:styleId="Style57">
    <w:name w:val="Тема примечания"/>
    <w:basedOn w:val="Style56"/>
    <w:next w:val="Style56"/>
    <w:link w:val="947"/>
    <w:qFormat/>
    <w:pPr/>
    <w:rPr>
      <w:b/>
      <w:bCs/>
    </w:rPr>
  </w:style>
  <w:style w:type="paragraph" w:styleId="ConsPlusTitle">
    <w:name w:val="ConsPlusTitle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bCs/>
      <w:color w:val="auto"/>
      <w:kern w:val="0"/>
      <w:sz w:val="20"/>
      <w:szCs w:val="20"/>
      <w:lang w:val="ru-RU" w:eastAsia="zh-CN" w:bidi="ar-SA"/>
    </w:rPr>
  </w:style>
  <w:style w:type="paragraph" w:styleId="36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eastAsia="Times New Roman" w:cs="Times New Roman"/>
      <w:sz w:val="16"/>
      <w:szCs w:val="16"/>
    </w:rPr>
  </w:style>
  <w:style w:type="paragraph" w:styleId="Style58">
    <w:name w:val="Обычный (веб)"/>
    <w:basedOn w:val="Normal"/>
    <w:qFormat/>
    <w:pPr>
      <w:spacing w:lineRule="auto" w:line="240"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styleId="10">
    <w:name w:val=" Знак Знак10 Знак Знак"/>
    <w:basedOn w:val="Normal"/>
    <w:qFormat/>
    <w:pPr>
      <w:spacing w:lineRule="auto" w:line="240" w:before="280" w:after="280"/>
    </w:pPr>
    <w:rPr>
      <w:rFonts w:ascii="Tahoma" w:hAnsi="Tahoma" w:eastAsia="Times New Roman" w:cs="Tahoma"/>
      <w:sz w:val="20"/>
      <w:szCs w:val="20"/>
      <w:lang w:val="en-US"/>
    </w:rPr>
  </w:style>
  <w:style w:type="paragraph" w:styleId="Xl28">
    <w:name w:val="xl28"/>
    <w:basedOn w:val="Normal"/>
    <w:link w:val="947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20"/>
      <w:szCs w:val="20"/>
    </w:rPr>
  </w:style>
  <w:style w:type="paragraph" w:styleId="Xl33">
    <w:name w:val="xl33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20"/>
      <w:szCs w:val="20"/>
    </w:rPr>
  </w:style>
  <w:style w:type="paragraph" w:styleId="Xl22">
    <w:name w:val="xl22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Xl35">
    <w:name w:val="xl3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="280" w:after="280"/>
      <w:jc w:val="right"/>
    </w:pPr>
    <w:rPr>
      <w:rFonts w:ascii="Times New Roman" w:hAnsi="Times New Roman" w:eastAsia="Times New Roman" w:cs="Times New Roman"/>
      <w:sz w:val="20"/>
      <w:szCs w:val="20"/>
    </w:rPr>
  </w:style>
  <w:style w:type="paragraph" w:styleId="Xl17">
    <w:name w:val="xl17"/>
    <w:basedOn w:val="Normal"/>
    <w:qFormat/>
    <w:pPr>
      <w:pBdr>
        <w:top w:val="single" w:sz="4" w:space="0" w:color="000000"/>
        <w:left w:val="single" w:sz="8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34">
    <w:name w:val="xl34"/>
    <w:basedOn w:val="Normal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lineRule="auto" w:line="240" w:before="280" w:after="280"/>
      <w:jc w:val="right"/>
    </w:pPr>
    <w:rPr>
      <w:rFonts w:ascii="Courier New" w:hAnsi="Courier New" w:eastAsia="Times New Roman" w:cs="Courier New"/>
      <w:sz w:val="20"/>
      <w:szCs w:val="20"/>
    </w:rPr>
  </w:style>
  <w:style w:type="paragraph" w:styleId="Xl18">
    <w:name w:val="xl18"/>
    <w:basedOn w:val="Normal"/>
    <w:qFormat/>
    <w:pPr>
      <w:pBdr>
        <w:top w:val="single" w:sz="4" w:space="0" w:color="000000"/>
        <w:left w:val="single" w:sz="8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32">
    <w:name w:val="xl32"/>
    <w:basedOn w:val="Normal"/>
    <w:link w:val="947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="280" w:after="280"/>
    </w:pPr>
    <w:rPr>
      <w:rFonts w:ascii="Courier New" w:hAnsi="Courier New" w:eastAsia="Times New Roman" w:cs="Courier New"/>
      <w:sz w:val="20"/>
      <w:szCs w:val="20"/>
    </w:rPr>
  </w:style>
  <w:style w:type="paragraph" w:styleId="Xl19">
    <w:name w:val="xl1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Courier New" w:hAnsi="Courier New" w:eastAsia="Times New Roman" w:cs="Courier New"/>
      <w:sz w:val="20"/>
      <w:szCs w:val="20"/>
    </w:rPr>
  </w:style>
  <w:style w:type="paragraph" w:styleId="Style59">
    <w:name w:val=" Знак"/>
    <w:basedOn w:val="Normal"/>
    <w:qFormat/>
    <w:pPr>
      <w:spacing w:lineRule="auto" w:line="240" w:before="280" w:after="280"/>
    </w:pPr>
    <w:rPr>
      <w:rFonts w:ascii="Tahoma" w:hAnsi="Tahoma" w:eastAsia="Times New Roman" w:cs="Tahoma"/>
      <w:sz w:val="20"/>
      <w:szCs w:val="20"/>
      <w:lang w:val="en-US"/>
    </w:rPr>
  </w:style>
  <w:style w:type="paragraph" w:styleId="17">
    <w:name w:val="Знак Знак Знак1 Знак Знак Знак Знак"/>
    <w:basedOn w:val="Normal"/>
    <w:link w:val="947"/>
    <w:qFormat/>
    <w:pPr>
      <w:spacing w:lineRule="auto" w:line="240" w:before="280" w:after="280"/>
    </w:pPr>
    <w:rPr>
      <w:rFonts w:ascii="Tahoma" w:hAnsi="Tahoma" w:eastAsia="Times New Roman" w:cs="Tahoma"/>
      <w:sz w:val="20"/>
      <w:szCs w:val="20"/>
      <w:lang w:val="en-US"/>
    </w:rPr>
  </w:style>
  <w:style w:type="paragraph" w:styleId="18">
    <w:name w:val=" Знак Знак Знак1 Знак Знак Знак Знак Знак Знак Знак"/>
    <w:basedOn w:val="Normal"/>
    <w:qFormat/>
    <w:pPr>
      <w:spacing w:lineRule="auto" w:line="240" w:before="280" w:after="280"/>
    </w:pPr>
    <w:rPr>
      <w:rFonts w:ascii="Tahoma" w:hAnsi="Tahoma" w:eastAsia="Times New Roman" w:cs="Tahoma"/>
      <w:sz w:val="20"/>
      <w:szCs w:val="20"/>
      <w:lang w:val="en-US"/>
    </w:rPr>
  </w:style>
  <w:style w:type="paragraph" w:styleId="Style60">
    <w:name w:val="Содержимое таблицы"/>
    <w:basedOn w:val="Normal"/>
    <w:qFormat/>
    <w:pPr>
      <w:suppressLineNumbers/>
      <w:spacing w:lineRule="auto" w:line="240" w:before="0" w:after="0"/>
    </w:pPr>
    <w:rPr>
      <w:rFonts w:ascii="Times New Roman" w:hAnsi="Times New Roman" w:eastAsia="Times New Roman" w:cs="Times New Roman"/>
      <w:sz w:val="28"/>
      <w:szCs w:val="20"/>
    </w:rPr>
  </w:style>
  <w:style w:type="paragraph" w:styleId="Style61">
    <w:name w:val="Цитата"/>
    <w:basedOn w:val="Normal"/>
    <w:qFormat/>
    <w:pPr>
      <w:spacing w:lineRule="auto" w:line="240" w:before="0" w:after="0"/>
      <w:ind w:left="4320" w:right="850" w:firstLine="1440"/>
      <w:jc w:val="both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styleId="Xl63">
    <w:name w:val="xl63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Xl64">
    <w:name w:val="xl64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Xl65">
    <w:name w:val="xl6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66">
    <w:name w:val="xl66"/>
    <w:basedOn w:val="Normal"/>
    <w:qFormat/>
    <w:pPr>
      <w:pBdr>
        <w:top w:val="single" w:sz="4" w:space="0" w:color="000000"/>
        <w:lef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67">
    <w:name w:val="xl6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68">
    <w:name w:val="xl68"/>
    <w:basedOn w:val="Normal"/>
    <w:qFormat/>
    <w:pPr>
      <w:pBdr>
        <w:lef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Xl75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76">
    <w:name w:val="xl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77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78">
    <w:name w:val="xl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79">
    <w:name w:val="xl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80">
    <w:name w:val="xl8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81">
    <w:name w:val="xl8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82">
    <w:name w:val="xl8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83">
    <w:name w:val="xl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84">
    <w:name w:val="xl8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85">
    <w:name w:val="xl85"/>
    <w:basedOn w:val="Normal"/>
    <w:qFormat/>
    <w:pPr>
      <w:pBdr>
        <w:top w:val="single" w:sz="4" w:space="0" w:color="000000"/>
        <w:left w:val="single" w:sz="4" w:space="0" w:color="000000"/>
        <w:bottom w:val="single" w:sz="8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sz w:val="18"/>
      <w:szCs w:val="18"/>
    </w:rPr>
  </w:style>
  <w:style w:type="paragraph" w:styleId="Xl86">
    <w:name w:val="xl86"/>
    <w:basedOn w:val="Normal"/>
    <w:qFormat/>
    <w:pPr>
      <w:spacing w:lineRule="auto" w:line="240" w:before="280" w:after="280"/>
      <w:jc w:val="center"/>
    </w:pPr>
    <w:rPr>
      <w:rFonts w:ascii="Courier New" w:hAnsi="Courier New" w:eastAsia="Times New Roman" w:cs="Courier New"/>
      <w:sz w:val="2"/>
      <w:szCs w:val="2"/>
    </w:rPr>
  </w:style>
  <w:style w:type="paragraph" w:styleId="Xl87">
    <w:name w:val="xl8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88">
    <w:name w:val="xl88"/>
    <w:basedOn w:val="Normal"/>
    <w:qFormat/>
    <w:pPr>
      <w:pBdr>
        <w:left w:val="single" w:sz="8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89">
    <w:name w:val="xl89"/>
    <w:basedOn w:val="Normal"/>
    <w:qFormat/>
    <w:pPr>
      <w:spacing w:lineRule="auto" w:line="240" w:before="280" w:after="280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90">
    <w:name w:val="xl90"/>
    <w:basedOn w:val="Normal"/>
    <w:qFormat/>
    <w:pPr>
      <w:pBdr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91">
    <w:name w:val="xl9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92">
    <w:name w:val="xl9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sz w:val="18"/>
      <w:szCs w:val="18"/>
    </w:rPr>
  </w:style>
  <w:style w:type="paragraph" w:styleId="Xl93">
    <w:name w:val="xl93"/>
    <w:basedOn w:val="Normal"/>
    <w:qFormat/>
    <w:pPr>
      <w:spacing w:lineRule="auto" w:line="240" w:before="280" w:after="280"/>
      <w:jc w:val="center"/>
    </w:pPr>
    <w:rPr>
      <w:rFonts w:ascii="Courier New" w:hAnsi="Courier New" w:eastAsia="Times New Roman" w:cs="Courier New"/>
      <w:sz w:val="24"/>
      <w:szCs w:val="24"/>
    </w:rPr>
  </w:style>
  <w:style w:type="paragraph" w:styleId="311">
    <w:name w:val="Основной текст с отступом 31"/>
    <w:basedOn w:val="Normal"/>
    <w:link w:val="947"/>
    <w:qFormat/>
    <w:pPr>
      <w:spacing w:lineRule="auto" w:line="240" w:before="0" w:after="0"/>
      <w:ind w:left="426" w:right="0" w:hanging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Style62">
    <w:name w:val=" Знак Знак Знак"/>
    <w:basedOn w:val="Normal"/>
    <w:qFormat/>
    <w:pPr>
      <w:spacing w:lineRule="auto" w:line="240" w:before="280" w:after="280"/>
    </w:pPr>
    <w:rPr>
      <w:rFonts w:ascii="Tahoma" w:hAnsi="Tahoma" w:eastAsia="Times New Roman" w:cs="Tahoma"/>
      <w:sz w:val="20"/>
      <w:szCs w:val="20"/>
      <w:lang w:val="en-US"/>
    </w:rPr>
  </w:style>
  <w:style w:type="paragraph" w:styleId="101">
    <w:name w:val="Обычный + 10 пт"/>
    <w:basedOn w:val="Normal"/>
    <w:qFormat/>
    <w:pPr>
      <w:spacing w:lineRule="atLeast" w:line="40" w:before="0" w:after="0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Pcenter">
    <w:name w:val="pcenter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111">
    <w:name w:val="Заголовок 11"/>
    <w:basedOn w:val="Normal"/>
    <w:qFormat/>
    <w:pPr>
      <w:widowControl w:val="false"/>
      <w:spacing w:lineRule="auto" w:line="240" w:before="0" w:after="0"/>
      <w:ind w:left="3" w:right="0" w:hanging="180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ableParagraph">
    <w:name w:val="Table Paragraph"/>
    <w:basedOn w:val="Normal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Style63">
    <w:name w:val="Заголовок таблицы"/>
    <w:basedOn w:val="Style60"/>
    <w:link w:val="947"/>
    <w:qFormat/>
    <w:pPr>
      <w:suppressLineNumbers/>
      <w:jc w:val="center"/>
    </w:pPr>
    <w:rPr>
      <w:b/>
      <w:bCs/>
    </w:rPr>
  </w:style>
  <w:style w:type="paragraph" w:styleId="Style64">
    <w:name w:val="Текст в заданном формате"/>
    <w:basedOn w:val="Normal"/>
    <w:link w:val="947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NormalTable">
    <w:name w:val="Normal Table"/>
    <w:qFormat/>
    <w:pPr>
      <w:widowControl/>
      <w:bidi w:val="0"/>
      <w:spacing w:before="0" w:after="0"/>
      <w:jc w:val="left"/>
      <w:textAlignment w:val="auto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759">
    <w:name w:val="Table Grid"/>
    <w:basedOn w:val="94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Table Grid Light"/>
    <w:basedOn w:val="94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Plain Table 1"/>
    <w:basedOn w:val="94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Plain Table 2"/>
    <w:basedOn w:val="94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Plain Table 3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Plain Table 4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Plain Table 5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Grid Table 1 Light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Grid Table 1 Light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Grid Table 1 Light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Grid Table 1 Light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Grid Table 1 Light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Grid Table 1 Light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Grid Table 1 Light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Grid Table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Grid Table 2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Grid Table 2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Grid Table 2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Grid Table 2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Grid Table 2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Grid Table 2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Grid Table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Grid Table 3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Grid Table 3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Grid Table 3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Grid Table 3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Grid Table 3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Grid Table 3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Grid Table 4"/>
    <w:basedOn w:val="94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Grid Table 4 - Accent 1"/>
    <w:basedOn w:val="94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Grid Table 4 - Accent 2"/>
    <w:basedOn w:val="94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Grid Table 4 - Accent 3"/>
    <w:basedOn w:val="94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Grid Table 4 - Accent 4"/>
    <w:basedOn w:val="94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Grid Table 4 - Accent 5"/>
    <w:basedOn w:val="94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Grid Table 4 - Accent 6"/>
    <w:basedOn w:val="94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Grid Table 5 Dark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Grid Table 5 Dark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Grid Table 5 Dark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Grid Table 5 Dark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Grid Table 5 Dark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Grid Table 5 Dark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0">
    <w:name w:val="Grid Table 5 Dark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1">
    <w:name w:val="Grid Table 6 Colorful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02">
    <w:name w:val="Grid Table 6 Colorful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3E6DA5" w:themeColor="accent1" w:themeTint="80" w:themeShade="95"/>
      </w:rPr>
      <w:tblPr/>
    </w:tblStylePr>
    <w:tblStylePr w:type="firstRow"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tblPr/>
    </w:tblStylePr>
    <w:tblStylePr w:type="lastRow">
      <w:rPr>
        <w:b/>
        <w:color w:val="3E6DA5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803">
    <w:name w:val="Grid Table 6 Colorful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A38" w:themeColor="accent2" w:themeTint="97" w:themeShade="95"/>
      </w:rPr>
      <w:tblPr/>
    </w:tblStylePr>
    <w:tblStylePr w:type="firstRow">
      <w:rPr>
        <w:b/>
        <w:color w:val="9F3A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A38" w:themeColor="accent2" w:themeTint="97" w:themeShade="95"/>
      </w:rPr>
      <w:tblPr/>
    </w:tblStylePr>
    <w:tblStylePr w:type="lastRow">
      <w:rPr>
        <w:b/>
        <w:color w:val="9F3A38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804">
    <w:name w:val="Grid Table 6 Colorful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5C732F" w:themeColor="accent3" w:themeTint="fe" w:themeShade="95"/>
      </w:rPr>
      <w:tblPr/>
    </w:tblStylePr>
    <w:tblStylePr w:type="firstRow">
      <w:rPr>
        <w:b/>
        <w:color w:val="5C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C732F" w:themeColor="accent3" w:themeTint="fe" w:themeShade="95"/>
      </w:rPr>
      <w:tblPr/>
    </w:tblStylePr>
    <w:tblStylePr w:type="lastRow">
      <w:rPr>
        <w:b/>
        <w:color w:val="5C732F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805">
    <w:name w:val="Grid Table 6 Colorful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64F84" w:themeColor="accent4" w:themeTint="9a" w:themeShade="95"/>
      </w:rPr>
      <w:tblPr/>
    </w:tblStylePr>
    <w:tblStylePr w:type="firstRow">
      <w:rPr>
        <w:b/>
        <w:color w:val="66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64F84" w:themeColor="accent4" w:themeTint="9a" w:themeShade="95"/>
      </w:rPr>
      <w:tblPr/>
    </w:tblStylePr>
    <w:tblStylePr w:type="lastRow">
      <w:rPr>
        <w:b/>
        <w:color w:val="664F84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806">
    <w:name w:val="Grid Table 6 Colorful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807">
    <w:name w:val="Grid Table 6 Colorful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808">
    <w:name w:val="Grid Table 7 Colorful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Grid Table 7 Colorful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3E6DA5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Grid Table 7 Colorful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F3A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9F3A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A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9F3A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A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F3A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Grid Table 7 Colorful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C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5C732F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5C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5C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5C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5C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Grid Table 7 Colorful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6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66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6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66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6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6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Grid Table 7 Colorful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266879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Grid Table 7 Colorful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B25408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List Table 1 Light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List Table 1 Light - Accent 1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List Table 1 Light - Accent 2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List Table 1 Light - Accent 3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List Table 1 Light - Accent 4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List Table 1 Light - Accent 5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List Table 1 Light - Accent 6"/>
    <w:basedOn w:val="94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List Table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List Table 2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List Table 2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List Table 2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List Table 2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List Table 2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List Table 2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List Table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List Table 3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List Table 3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List Table 3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List Table 3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List Table 3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List Table 3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6">
    <w:name w:val="List Table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7">
    <w:name w:val="List Table 4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8">
    <w:name w:val="List Table 4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9">
    <w:name w:val="List Table 4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0">
    <w:name w:val="List Table 4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1">
    <w:name w:val="List Table 4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2">
    <w:name w:val="List Table 4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3">
    <w:name w:val="List Table 5 Dark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4">
    <w:name w:val="List Table 5 Dark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5">
    <w:name w:val="List Table 5 Dark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6">
    <w:name w:val="List Table 5 Dark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7">
    <w:name w:val="List Table 5 Dark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8">
    <w:name w:val="List Table 5 Dark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49">
    <w:name w:val="List Table 5 Dark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50">
    <w:name w:val="List Table 6 Colorful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1">
    <w:name w:val="List Table 6 Colorful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2B4B72" w:themeColor="accent1" w:themeShade="95"/>
      </w:rPr>
      <w:tblPr/>
    </w:tblStylePr>
    <w:tblStylePr w:type="firstRow"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tblPr/>
    </w:tblStylePr>
    <w:tblStylePr w:type="lastRow"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2">
    <w:name w:val="List Table 6 Colorful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A38" w:themeColor="accent2" w:themeTint="97" w:themeShade="95"/>
      </w:rPr>
      <w:tblPr/>
    </w:tblStylePr>
    <w:tblStylePr w:type="firstRow">
      <w:rPr>
        <w:b/>
        <w:color w:val="9F3A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A38" w:themeColor="accent2" w:themeTint="97" w:themeShade="95"/>
      </w:rPr>
      <w:tblPr/>
    </w:tblStylePr>
    <w:tblStylePr w:type="lastRow">
      <w:rPr>
        <w:b/>
        <w:color w:val="9F3A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3">
    <w:name w:val="List Table 6 Colorful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7C993F" w:themeColor="accent3" w:themeTint="98" w:themeShade="95"/>
      </w:rPr>
      <w:tblPr/>
    </w:tblStylePr>
    <w:tblStylePr w:type="firstRow">
      <w:rPr>
        <w:b/>
        <w:color w:val="7C99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93F" w:themeColor="accent3" w:themeTint="98" w:themeShade="95"/>
      </w:rPr>
      <w:tblPr/>
    </w:tblStylePr>
    <w:tblStylePr w:type="lastRow">
      <w:rPr>
        <w:b/>
        <w:color w:val="7C99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4">
    <w:name w:val="List Table 6 Colorful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64F84" w:themeColor="accent4" w:themeTint="9a" w:themeShade="95"/>
      </w:rPr>
      <w:tblPr/>
    </w:tblStylePr>
    <w:tblStylePr w:type="firstRow">
      <w:rPr>
        <w:b/>
        <w:color w:val="66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64F84" w:themeColor="accent4" w:themeTint="9a" w:themeShade="95"/>
      </w:rPr>
      <w:tblPr/>
    </w:tblStylePr>
    <w:tblStylePr w:type="lastRow">
      <w:rPr>
        <w:b/>
        <w:color w:val="66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5">
    <w:name w:val="List Table 6 Colorful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338BA3" w:themeColor="accent5" w:themeTint="9a" w:themeShade="95"/>
      </w:rPr>
      <w:tblPr/>
    </w:tblStylePr>
    <w:tblStylePr w:type="firstRow">
      <w:rPr>
        <w:b/>
        <w:color w:val="33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8BA3" w:themeColor="accent5" w:themeTint="9a" w:themeShade="95"/>
      </w:rPr>
      <w:tblPr/>
    </w:tblStylePr>
    <w:tblStylePr w:type="lastRow">
      <w:rPr>
        <w:b/>
        <w:color w:val="33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6">
    <w:name w:val="List Table 6 Colorful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DD680A" w:themeColor="accent6" w:themeTint="98" w:themeShade="95"/>
      </w:rPr>
      <w:tblPr/>
    </w:tblStylePr>
    <w:tblStylePr w:type="firstRow">
      <w:rPr>
        <w:b/>
        <w:color w:val="DD68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80A" w:themeColor="accent6" w:themeTint="98" w:themeShade="95"/>
      </w:rPr>
      <w:tblPr/>
    </w:tblStylePr>
    <w:tblStylePr w:type="lastRow">
      <w:rPr>
        <w:b/>
        <w:color w:val="DD68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7">
    <w:name w:val="List Table 7 Colorful"/>
    <w:basedOn w:val="94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58">
    <w:name w:val="List Table 7 Colorful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2B4B7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B4B72" w:themeColor="accent1" w:themeShade="95"/>
        <w:sz w:val="22"/>
      </w:rPr>
      <w:tblPr/>
    </w:tblStylePr>
  </w:style>
  <w:style w:type="table" w:styleId="859">
    <w:name w:val="List Table 7 Colorful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9F3A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9F3A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A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9F3A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A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F3A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F3A38" w:themeColor="accent2" w:themeTint="97" w:themeShade="95"/>
        <w:sz w:val="22"/>
      </w:rPr>
      <w:tblPr/>
    </w:tblStylePr>
  </w:style>
  <w:style w:type="table" w:styleId="860">
    <w:name w:val="List Table 7 Colorful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C99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7C993F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C99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7C99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C99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7C99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C993F" w:themeColor="accent3" w:themeTint="98" w:themeShade="95"/>
        <w:sz w:val="22"/>
      </w:rPr>
      <w:tblPr/>
    </w:tblStylePr>
  </w:style>
  <w:style w:type="table" w:styleId="861">
    <w:name w:val="List Table 7 Colorful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66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66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6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66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6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66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664F84" w:themeColor="accent4" w:themeTint="9a" w:themeShade="95"/>
        <w:sz w:val="22"/>
      </w:rPr>
      <w:tblPr/>
    </w:tblStylePr>
  </w:style>
  <w:style w:type="table" w:styleId="862">
    <w:name w:val="List Table 7 Colorful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3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338BA3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3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33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3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33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338BA3" w:themeColor="accent5" w:themeTint="9a" w:themeShade="95"/>
        <w:sz w:val="22"/>
      </w:rPr>
      <w:tblPr/>
    </w:tblStylePr>
  </w:style>
  <w:style w:type="table" w:styleId="863">
    <w:name w:val="List Table 7 Colorful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DD68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DD680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D68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DD68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D68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DD68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DD680A" w:themeColor="accent6" w:themeTint="98" w:themeShade="95"/>
        <w:sz w:val="22"/>
      </w:rPr>
      <w:tblPr/>
    </w:tblStylePr>
  </w:style>
  <w:style w:type="table" w:styleId="864">
    <w:name w:val="Lined - Accent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5">
    <w:name w:val="Lined - Accent 1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6">
    <w:name w:val="Lined - Accent 2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7">
    <w:name w:val="Lined - Accent 3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8">
    <w:name w:val="Lined - Accent 4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9">
    <w:name w:val="Lined - Accent 5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0">
    <w:name w:val="Lined - Accent 6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1">
    <w:name w:val="Bordered &amp; Lined - Accent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2">
    <w:name w:val="Bordered &amp; Lined - Accent 1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3">
    <w:name w:val="Bordered &amp; Lined - Accent 2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4">
    <w:name w:val="Bordered &amp; Lined - Accent 3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5">
    <w:name w:val="Bordered &amp; Lined - Accent 4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6">
    <w:name w:val="Bordered &amp; Lined - Accent 5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7">
    <w:name w:val="Bordered &amp; Lined - Accent 6"/>
    <w:basedOn w:val="9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8">
    <w:name w:val="Bordered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9">
    <w:name w:val="Bordered - Accent 1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0">
    <w:name w:val="Bordered - Accent 2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1">
    <w:name w:val="Bordered - Accent 3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2">
    <w:name w:val="Bordered - Accent 4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3">
    <w:name w:val="Bordered - Accent 5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4">
    <w:name w:val="Bordered - Accent 6"/>
    <w:basedOn w:val="94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946">
    <w:name w:val="Normal Table"/>
    <w:uiPriority w:val="99"/>
    <w:semiHidden/>
    <w:unhideWhenUsed/>
    <w:qFormat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</TotalTime>
  <Application>LibreOffice/7.1.5.2$Windows_X86_64 LibreOffice_project/85f04e9f809797b8199d13c421bd8a2b025d52b5</Application>
  <AppVersion>15.0000</AppVersion>
  <Pages>14</Pages>
  <Words>3627</Words>
  <Characters>25303</Characters>
  <CharactersWithSpaces>28865</CharactersWithSpaces>
  <Paragraphs>491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2025-06-30T08:05:00Z</dcterms:created>
  <dc:creator>VorobyevaII</dc:creator>
  <dc:description/>
  <dc:language>ru-RU</dc:language>
  <cp:lastModifiedBy/>
  <cp:lastPrinted>2026-08-04T15:08:50Z</cp:lastPrinted>
  <dcterms:modified xsi:type="dcterms:W3CDTF">2026-08-04T15:08:45Z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