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r/>
    </w:p>
    <w:p>
      <w:r/>
    </w:p>
    <w:p>
      <w:r/>
    </w:p>
    <w:p>
      <w:pPr>
        <w:jc w:val="center"/>
      </w:pPr>
      <w:r>
        <w:rPr>
          <w:rFonts w:ascii="Arial" w:hAnsi="Noto Sans CJK SC" w:eastAsia="Noto Sans CJK SC"/>
          <w:b/>
          <w:color w:val="126785"/>
          <w:sz w:val="28"/>
        </w:rPr>
        <w:t>软件需求规格说明书</w:t>
      </w:r>
    </w:p>
    <w:p>
      <w:pPr>
        <w:jc w:val="center"/>
      </w:pPr>
      <w:r>
        <w:rPr>
          <w:rFonts w:ascii="Arial" w:hAnsi="Noto Sans CJK SC" w:eastAsia="Noto Sans CJK SC"/>
          <w:b/>
          <w:color w:val="1D3147"/>
          <w:sz w:val="50"/>
        </w:rPr>
        <w:t>N-01 动态障碍物避障导航算法</w:t>
      </w:r>
    </w:p>
    <w:p>
      <w:pPr>
        <w:spacing w:after="440"/>
        <w:jc w:val="center"/>
        <w:pBdr>
          <w:bottom w:val="single" w:sz="20" w:color="126785"/>
        </w:pBdr>
      </w:pPr>
      <w:r>
        <w:rPr>
          <w:rFonts w:ascii="Arial" w:hAnsi="Noto Sans CJK SC" w:eastAsia="Noto Sans CJK SC"/>
          <w:b/>
          <w:color w:val="1D3147"/>
          <w:sz w:val="48"/>
        </w:rPr>
        <w:t>需求规格说明书</w:t>
      </w:r>
    </w:p>
    <w:p>
      <w:pPr>
        <w:jc w:val="center"/>
      </w:pPr>
      <w:r>
        <w:rPr>
          <w:rFonts w:ascii="Arial" w:hAnsi="Noto Sans CJK SC" w:eastAsia="Noto Sans CJK SC"/>
          <w:color w:val="56626D"/>
          <w:sz w:val="22"/>
        </w:rPr>
        <w:t>原文要求保留 · 条款编号化 · 交付与验收可追溯</w:t>
      </w:r>
    </w:p>
    <w:p>
      <w:r/>
    </w:p>
    <w:p>
      <w:r/>
    </w:p>
    <w:p>
      <w:r/>
    </w:p>
    <w:p>
      <w:r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7654"/>
      </w:tblGrid>
      <w:tr>
        <w:trPr>
          <w:tblHeader w:val="true"/>
        </w:trPr>
        <w:tc>
          <w:tcPr>
            <w:tcW w:type="dxa" w:w="1786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8"/>
              </w:rPr>
              <w:t>文档属性</w:t>
            </w:r>
          </w:p>
        </w:tc>
        <w:tc>
          <w:tcPr>
            <w:tcW w:type="dxa" w:w="7654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8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文档版本</w:t>
            </w:r>
          </w:p>
        </w:tc>
        <w:tc>
          <w:tcPr>
            <w:tcW w:type="dxa" w:w="765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V1.1 · 修订优化稿</w:t>
            </w:r>
          </w:p>
        </w:tc>
      </w:tr>
      <w:tr>
        <w:trPr>
          <w:cantSplit/>
        </w:trPr>
        <w:tc>
          <w:tcPr>
            <w:tcW w:type="dxa" w:w="178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编制日期</w:t>
            </w:r>
          </w:p>
        </w:tc>
        <w:tc>
          <w:tcPr>
            <w:tcW w:type="dxa" w:w="765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2026-10-17</w:t>
            </w:r>
          </w:p>
        </w:tc>
      </w:tr>
      <w:tr>
        <w:trPr>
          <w:cantSplit/>
        </w:trPr>
        <w:tc>
          <w:tcPr>
            <w:tcW w:type="dxa" w:w="178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适用对象</w:t>
            </w:r>
          </w:p>
        </w:tc>
        <w:tc>
          <w:tcPr>
            <w:tcW w:type="dxa" w:w="765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HiveCore / Hive2 平台的 N-01 导航算法项目</w:t>
            </w:r>
          </w:p>
        </w:tc>
      </w:tr>
      <w:tr>
        <w:trPr>
          <w:cantSplit/>
        </w:trPr>
        <w:tc>
          <w:tcPr>
            <w:tcW w:type="dxa" w:w="178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业务场景</w:t>
            </w:r>
          </w:p>
        </w:tc>
        <w:tc>
          <w:tcPr>
            <w:tcW w:type="dxa" w:w="765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医药生产、流通与仓储等室内移动机器人应用</w:t>
            </w:r>
          </w:p>
        </w:tc>
      </w:tr>
      <w:tr>
        <w:trPr>
          <w:cantSplit/>
        </w:trPr>
        <w:tc>
          <w:tcPr>
            <w:tcW w:type="dxa" w:w="178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文档状态</w:t>
            </w:r>
          </w:p>
        </w:tc>
        <w:tc>
          <w:tcPr>
            <w:tcW w:type="dxa" w:w="765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待甲乙双方评审确认；不取代已签署合同或验收附件</w:t>
            </w:r>
          </w:p>
        </w:tc>
      </w:tr>
      <w:tr>
        <w:trPr>
          <w:cantSplit/>
        </w:trPr>
        <w:tc>
          <w:tcPr>
            <w:tcW w:type="dxa" w:w="178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编辑原则</w:t>
            </w:r>
          </w:p>
        </w:tc>
        <w:tc>
          <w:tcPr>
            <w:tcW w:type="dxa" w:w="765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完整保留原文范围及数值指标；新增验收口径单独标注待确认</w:t>
            </w:r>
          </w:p>
        </w:tc>
      </w:tr>
    </w:tbl>
    <w:p>
      <w:pPr>
        <w:spacing w:after="20"/>
      </w:pPr>
    </w:p>
    <w:p>
      <w:r/>
    </w:p>
    <w:p>
      <w:r/>
    </w:p>
    <w:p>
      <w:pPr>
        <w:pStyle w:val="SmallNote"/>
      </w:pPr>
      <w:r>
        <w:t>版本说明：依据原《N-01导航算法需求规格说明书》13 节进行结构化修订。参考 2026-10-17 SLAM 版本仅用于工程集成说明，不改变算法合同需求。</w:t>
      </w:r>
    </w:p>
    <w:p>
      <w:r>
        <w:br w:type="page"/>
      </w:r>
    </w:p>
    <w:p>
      <w:pPr>
        <w:pStyle w:val="Heading1"/>
        <w:pBdr>
          <w:bottom w:val="single" w:sz="12" w:color="126785"/>
        </w:pBdr>
      </w:pPr>
      <w:r>
        <w:t>文档说明与修订边界</w:t>
      </w:r>
    </w:p>
    <w:p>
      <w:r>
        <w:t>本说明书用于统一 N-01 导航算法的功能边界、输入输出、性能约束、测试方法与交付责任。第 1—8 章为原始需求的结构化表达；附录包含工程对接注意事项及建议验收口径。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7937"/>
      </w:tblGrid>
      <w:tr>
        <w:trPr>
          <w:tblHeader w:val="true"/>
        </w:trPr>
        <w:tc>
          <w:tcPr>
            <w:tcW w:type="dxa" w:w="1502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8"/>
              </w:rPr>
              <w:t>标识</w:t>
            </w:r>
          </w:p>
        </w:tc>
        <w:tc>
          <w:tcPr>
            <w:tcW w:type="dxa" w:w="7937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50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【原文要求】</w:t>
            </w:r>
          </w:p>
        </w:tc>
        <w:tc>
          <w:tcPr>
            <w:tcW w:type="dxa" w:w="793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原始 13 节明确提出的职责、功能、性能或交付项；修订版保持原意。</w:t>
            </w:r>
          </w:p>
        </w:tc>
      </w:tr>
      <w:tr>
        <w:trPr>
          <w:cantSplit/>
        </w:trPr>
        <w:tc>
          <w:tcPr>
            <w:tcW w:type="dxa" w:w="150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【编辑细化】</w:t>
            </w:r>
          </w:p>
        </w:tc>
        <w:tc>
          <w:tcPr>
            <w:tcW w:type="dxa" w:w="793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对原文抽象描述的结构化解释，不引入新的性能门槛。</w:t>
            </w:r>
          </w:p>
        </w:tc>
      </w:tr>
      <w:tr>
        <w:trPr>
          <w:cantSplit/>
        </w:trPr>
        <w:tc>
          <w:tcPr>
            <w:tcW w:type="dxa" w:w="150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【待确认】</w:t>
            </w:r>
          </w:p>
        </w:tc>
        <w:tc>
          <w:tcPr>
            <w:tcW w:type="dxa" w:w="793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原文未给出具体数值、边界或责任归属，需项目双方书面确认后生效。</w:t>
            </w:r>
          </w:p>
        </w:tc>
      </w:tr>
      <w:tr>
        <w:trPr>
          <w:cantSplit/>
        </w:trPr>
        <w:tc>
          <w:tcPr>
            <w:tcW w:type="dxa" w:w="150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【工程参考】</w:t>
            </w:r>
          </w:p>
        </w:tc>
        <w:tc>
          <w:tcPr>
            <w:tcW w:type="dxa" w:w="793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用于当前 Hive2/ROS2 集成的版本相关接口信息，不作为永久固定的合同接口。</w:t>
            </w:r>
          </w:p>
        </w:tc>
      </w:tr>
    </w:tbl>
    <w:p>
      <w:pPr>
        <w:spacing w:after="20"/>
      </w:pPr>
    </w:p>
    <w:p>
      <w:pPr>
        <w:pStyle w:val="Heading2"/>
      </w:pPr>
      <w:r>
        <w:t>关键约束一览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924"/>
        <w:gridCol w:w="2154"/>
      </w:tblGrid>
      <w:tr>
        <w:trPr>
          <w:tblHeader w:val="true"/>
        </w:trPr>
        <w:tc>
          <w:tcPr>
            <w:tcW w:type="dxa" w:w="1361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8"/>
              </w:rPr>
              <w:t>条款</w:t>
            </w:r>
          </w:p>
        </w:tc>
        <w:tc>
          <w:tcPr>
            <w:tcW w:type="dxa" w:w="5924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8"/>
              </w:rPr>
              <w:t>原始指标</w:t>
            </w:r>
          </w:p>
        </w:tc>
        <w:tc>
          <w:tcPr>
            <w:tcW w:type="dxa" w:w="2154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136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PERF-01</w:t>
            </w:r>
          </w:p>
        </w:tc>
        <w:tc>
          <w:tcPr>
            <w:tcW w:type="dxa" w:w="59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单次规划响应时间 ≤ 500 ms</w:t>
            </w:r>
          </w:p>
        </w:tc>
        <w:tc>
          <w:tcPr>
            <w:tcW w:type="dxa" w:w="215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原文 §9</w:t>
            </w:r>
          </w:p>
        </w:tc>
      </w:tr>
      <w:tr>
        <w:trPr>
          <w:cantSplit/>
        </w:trPr>
        <w:tc>
          <w:tcPr>
            <w:tcW w:type="dxa" w:w="136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PERF-02</w:t>
            </w:r>
          </w:p>
        </w:tc>
        <w:tc>
          <w:tcPr>
            <w:tcW w:type="dxa" w:w="59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连续运行能力 ≥ 8 h</w:t>
            </w:r>
          </w:p>
        </w:tc>
        <w:tc>
          <w:tcPr>
            <w:tcW w:type="dxa" w:w="215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原文 §9</w:t>
            </w:r>
          </w:p>
        </w:tc>
      </w:tr>
      <w:tr>
        <w:trPr>
          <w:cantSplit/>
        </w:trPr>
        <w:tc>
          <w:tcPr>
            <w:tcW w:type="dxa" w:w="136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PERF-03</w:t>
            </w:r>
          </w:p>
        </w:tc>
        <w:tc>
          <w:tcPr>
            <w:tcW w:type="dxa" w:w="59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静态导航测试成功率 ≥ 95%</w:t>
            </w:r>
          </w:p>
        </w:tc>
        <w:tc>
          <w:tcPr>
            <w:tcW w:type="dxa" w:w="215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原文 §9</w:t>
            </w:r>
          </w:p>
        </w:tc>
      </w:tr>
      <w:tr>
        <w:trPr>
          <w:cantSplit/>
        </w:trPr>
        <w:tc>
          <w:tcPr>
            <w:tcW w:type="dxa" w:w="136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MOT-02</w:t>
            </w:r>
          </w:p>
        </w:tc>
        <w:tc>
          <w:tcPr>
            <w:tcW w:type="dxa" w:w="59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运行速度 ≤ 1.0 m/s</w:t>
            </w:r>
          </w:p>
        </w:tc>
        <w:tc>
          <w:tcPr>
            <w:tcW w:type="dxa" w:w="215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原文 §8</w:t>
            </w:r>
          </w:p>
        </w:tc>
      </w:tr>
      <w:tr>
        <w:trPr>
          <w:cantSplit/>
        </w:trPr>
        <w:tc>
          <w:tcPr>
            <w:tcW w:type="dxa" w:w="136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SAFE-01</w:t>
            </w:r>
          </w:p>
        </w:tc>
        <w:tc>
          <w:tcPr>
            <w:tcW w:type="dxa" w:w="59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无法恢复的道路阻断：等待或安全停止</w:t>
            </w:r>
          </w:p>
        </w:tc>
        <w:tc>
          <w:tcPr>
            <w:tcW w:type="dxa" w:w="215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原文 §7</w:t>
            </w:r>
          </w:p>
        </w:tc>
      </w:tr>
    </w:tbl>
    <w:p>
      <w:pPr>
        <w:spacing w:after="20"/>
      </w:pPr>
    </w:p>
    <w:p>
      <w:pPr>
        <w:pStyle w:val="Heading2"/>
      </w:pPr>
      <w:r>
        <w:t>目录</w:t>
      </w:r>
    </w:p>
    <w:p>
      <w:pPr>
        <w:ind w:left="351" w:hanging="198"/>
      </w:pPr>
      <w:r>
        <w:rPr>
          <w:rFonts w:ascii="Arial" w:hAnsi="Noto Sans CJK SC" w:eastAsia="Noto Sans CJK SC"/>
          <w:color w:val="126785"/>
        </w:rPr>
        <w:t xml:space="preserve">•  </w:t>
      </w:r>
      <w:r>
        <w:t>01  项目目标与应用范围</w:t>
      </w:r>
    </w:p>
    <w:p>
      <w:pPr>
        <w:ind w:left="351" w:hanging="198"/>
      </w:pPr>
      <w:r>
        <w:rPr>
          <w:rFonts w:ascii="Arial" w:hAnsi="Noto Sans CJK SC" w:eastAsia="Noto Sans CJK SC"/>
          <w:color w:val="126785"/>
        </w:rPr>
        <w:t xml:space="preserve">•  </w:t>
      </w:r>
      <w:r>
        <w:t>02  职责划分与系统边界</w:t>
      </w:r>
    </w:p>
    <w:p>
      <w:pPr>
        <w:ind w:left="351" w:hanging="198"/>
      </w:pPr>
      <w:r>
        <w:rPr>
          <w:rFonts w:ascii="Arial" w:hAnsi="Noto Sans CJK SC" w:eastAsia="Noto Sans CJK SC"/>
          <w:color w:val="126785"/>
        </w:rPr>
        <w:t xml:space="preserve">•  </w:t>
      </w:r>
      <w:r>
        <w:t>03  业务场景与系统流程</w:t>
      </w:r>
    </w:p>
    <w:p>
      <w:pPr>
        <w:ind w:left="351" w:hanging="198"/>
      </w:pPr>
      <w:r>
        <w:rPr>
          <w:rFonts w:ascii="Arial" w:hAnsi="Noto Sans CJK SC" w:eastAsia="Noto Sans CJK SC"/>
          <w:color w:val="126785"/>
        </w:rPr>
        <w:t xml:space="preserve">•  </w:t>
      </w:r>
      <w:r>
        <w:t>04  功能性需求</w:t>
      </w:r>
    </w:p>
    <w:p>
      <w:pPr>
        <w:ind w:left="351" w:hanging="198"/>
      </w:pPr>
      <w:r>
        <w:rPr>
          <w:rFonts w:ascii="Arial" w:hAnsi="Noto Sans CJK SC" w:eastAsia="Noto Sans CJK SC"/>
          <w:color w:val="126785"/>
        </w:rPr>
        <w:t xml:space="preserve">•  </w:t>
      </w:r>
      <w:r>
        <w:t>05  运动约束与性能指标</w:t>
      </w:r>
    </w:p>
    <w:p>
      <w:pPr>
        <w:ind w:left="351" w:hanging="198"/>
      </w:pPr>
      <w:r>
        <w:rPr>
          <w:rFonts w:ascii="Arial" w:hAnsi="Noto Sans CJK SC" w:eastAsia="Noto Sans CJK SC"/>
          <w:color w:val="126785"/>
        </w:rPr>
        <w:t xml:space="preserve">•  </w:t>
      </w:r>
      <w:r>
        <w:t>06  软件接口与集成约定</w:t>
      </w:r>
    </w:p>
    <w:p>
      <w:pPr>
        <w:ind w:left="351" w:hanging="198"/>
      </w:pPr>
      <w:r>
        <w:rPr>
          <w:rFonts w:ascii="Arial" w:hAnsi="Noto Sans CJK SC" w:eastAsia="Noto Sans CJK SC"/>
          <w:color w:val="126785"/>
        </w:rPr>
        <w:t xml:space="preserve">•  </w:t>
      </w:r>
      <w:r>
        <w:t>07  测试、验收与交付</w:t>
      </w:r>
    </w:p>
    <w:p>
      <w:pPr>
        <w:ind w:left="351" w:hanging="198"/>
      </w:pPr>
      <w:r>
        <w:rPr>
          <w:rFonts w:ascii="Arial" w:hAnsi="Noto Sans CJK SC" w:eastAsia="Noto Sans CJK SC"/>
          <w:color w:val="126785"/>
        </w:rPr>
        <w:t xml:space="preserve">•  </w:t>
      </w:r>
      <w:r>
        <w:t>08  待确认事项与变更管理</w:t>
      </w:r>
    </w:p>
    <w:p>
      <w:pPr>
        <w:ind w:left="351" w:hanging="198"/>
      </w:pPr>
      <w:r>
        <w:rPr>
          <w:rFonts w:ascii="Arial" w:hAnsi="Noto Sans CJK SC" w:eastAsia="Noto Sans CJK SC"/>
          <w:color w:val="126785"/>
        </w:rPr>
        <w:t xml:space="preserve">•  </w:t>
      </w:r>
      <w:r>
        <w:t>附录 A  推荐软件模块与工程阶段</w:t>
      </w:r>
    </w:p>
    <w:p>
      <w:pPr>
        <w:ind w:left="351" w:hanging="198"/>
      </w:pPr>
      <w:r>
        <w:rPr>
          <w:rFonts w:ascii="Arial" w:hAnsi="Noto Sans CJK SC" w:eastAsia="Noto Sans CJK SC"/>
          <w:color w:val="126785"/>
        </w:rPr>
        <w:t xml:space="preserve">•  </w:t>
      </w:r>
      <w:r>
        <w:t>附录 B  需求追溯矩阵</w:t>
      </w:r>
    </w:p>
    <w:p>
      <w:pPr>
        <w:pStyle w:val="Heading1"/>
        <w:pBdr>
          <w:bottom w:val="single" w:sz="12" w:color="126785"/>
        </w:pBdr>
      </w:pPr>
      <w:r>
        <w:t>01  项目目标与应用范围</w:t>
      </w:r>
    </w:p>
    <w:p>
      <w:pPr>
        <w:pStyle w:val="Heading2"/>
      </w:pPr>
      <w:r>
        <w:t>1.1 建设目标</w:t>
      </w:r>
    </w:p>
    <w:p>
      <w:r>
        <w:t>面向医药生产、流通及仓储场景的 AGV / 移动机器人，在甲方提供的地图、定位与底盘能力基础上，由乙方开发路径规划、局部导航、动态障碍物避让和道路阻断恢复算法，使系统能够在室内复杂环境中执行自主导航并支持持续运行。</w:t>
      </w:r>
    </w:p>
    <w:p>
      <w:pPr>
        <w:pStyle w:val="Heading2"/>
      </w:pPr>
      <w:r>
        <w:t>1.2 应用场景</w:t>
      </w:r>
    </w:p>
    <w:p>
      <w:pPr>
        <w:ind w:left="351" w:hanging="198"/>
      </w:pPr>
      <w:r>
        <w:rPr>
          <w:rFonts w:ascii="Arial" w:hAnsi="Noto Sans CJK SC" w:eastAsia="Noto Sans CJK SC"/>
          <w:color w:val="126785"/>
        </w:rPr>
        <w:t xml:space="preserve">•  </w:t>
      </w:r>
      <w:r>
        <w:t>室内通道、生产及仓储区域的工位间移动。</w:t>
      </w:r>
    </w:p>
    <w:p>
      <w:pPr>
        <w:ind w:left="351" w:hanging="198"/>
      </w:pPr>
      <w:r>
        <w:rPr>
          <w:rFonts w:ascii="Arial" w:hAnsi="Noto Sans CJK SC" w:eastAsia="Noto Sans CJK SC"/>
          <w:color w:val="126785"/>
        </w:rPr>
        <w:t xml:space="preserve">•  </w:t>
      </w:r>
      <w:r>
        <w:t>行人、其他 AGV、临时物料出现时的路径和速度调整。</w:t>
      </w:r>
    </w:p>
    <w:p>
      <w:pPr>
        <w:ind w:left="351" w:hanging="198"/>
      </w:pPr>
      <w:r>
        <w:rPr>
          <w:rFonts w:ascii="Arial" w:hAnsi="Noto Sans CJK SC" w:eastAsia="Noto Sans CJK SC"/>
          <w:color w:val="126785"/>
        </w:rPr>
        <w:t xml:space="preserve">•  </w:t>
      </w:r>
      <w:r>
        <w:t>规划路径被临时占用、无法通行时的绕行、重新规划或安全等待。</w:t>
      </w:r>
    </w:p>
    <w:p>
      <w:pPr>
        <w:pStyle w:val="Heading2"/>
      </w:pPr>
      <w:r>
        <w:t>1.3 范围边界</w:t>
      </w:r>
    </w:p>
    <w:p>
      <w:r>
        <w:t>本项目交付对象为导航算法及其接口适配，不包含甲方已有的建图定位、地图管理、工位与任务调度、底盘驱动或业务应用层的独立开发。算法输入依赖甲方接口真实可用；相关组件未就绪时，不得以模拟位姿或虚构 TF 代替正式验收。</w:t>
      </w:r>
    </w:p>
    <w:p>
      <w:pPr>
        <w:pStyle w:val="Heading1"/>
        <w:pBdr>
          <w:bottom w:val="single" w:sz="12" w:color="126785"/>
        </w:pBdr>
      </w:pPr>
      <w:r>
        <w:t>02  职责划分与系统边界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543"/>
        <w:gridCol w:w="4989"/>
      </w:tblGrid>
      <w:tr>
        <w:trPr>
          <w:tblHeader w:val="true"/>
        </w:trPr>
        <w:tc>
          <w:tcPr>
            <w:tcW w:type="dxa" w:w="907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7"/>
              </w:rPr>
              <w:t>主体</w:t>
            </w:r>
          </w:p>
        </w:tc>
        <w:tc>
          <w:tcPr>
            <w:tcW w:type="dxa" w:w="3543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7"/>
              </w:rPr>
              <w:t>职责（原文要求）</w:t>
            </w:r>
          </w:p>
        </w:tc>
        <w:tc>
          <w:tcPr>
            <w:tcW w:type="dxa" w:w="4989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7"/>
              </w:rPr>
              <w:t>双方集成关注点（编辑细化）</w:t>
            </w:r>
          </w:p>
        </w:tc>
      </w:tr>
      <w:tr>
        <w:trPr>
          <w:cantSplit/>
        </w:trPr>
        <w:tc>
          <w:tcPr>
            <w:tcW w:type="dxa" w:w="90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乙方</w:t>
            </w:r>
          </w:p>
        </w:tc>
        <w:tc>
          <w:tcPr>
            <w:tcW w:type="dxa" w:w="3543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全局路径规划；局部导航；动态避障；道路阻断恢复；导航测试、参数配置与调试文档。</w:t>
            </w:r>
          </w:p>
        </w:tc>
        <w:tc>
          <w:tcPr>
            <w:tcW w:type="dxa" w:w="498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适配甲方数据输入与运动输出接口；提供源码、配置、部署说明、故障处理和测试证据。</w:t>
            </w:r>
          </w:p>
        </w:tc>
      </w:tr>
      <w:tr>
        <w:trPr>
          <w:cantSplit/>
        </w:trPr>
        <w:tc>
          <w:tcPr>
            <w:tcW w:type="dxa" w:w="90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甲方</w:t>
            </w:r>
          </w:p>
        </w:tc>
        <w:tc>
          <w:tcPr>
            <w:tcW w:type="dxa" w:w="3543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建图与定位、地图管理；工位管理与任务调度；底盘驱动；业务应用。</w:t>
            </w:r>
          </w:p>
        </w:tc>
        <w:tc>
          <w:tcPr>
            <w:tcW w:type="dxa" w:w="498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提供稳定地图、定位和环境数据接口，声明坐标系、时间戳、底盘控制限值及集成测试条件。</w:t>
            </w:r>
          </w:p>
        </w:tc>
      </w:tr>
    </w:tbl>
    <w:p>
      <w:pPr>
        <w:spacing w:after="20"/>
      </w:pPr>
    </w:p>
    <w:p>
      <w:pPr>
        <w:pStyle w:val="Heading2"/>
      </w:pPr>
      <w:r>
        <w:t>2.1 交接数据责任</w:t>
      </w:r>
    </w:p>
    <w:p>
      <w:r>
        <w:t>甲方提供地图、当前位置/姿态、目标任务或目标位置、实时传感器数据以及底盘运动能力；乙方使用这些输入生成全局路径、局部运动轨迹和底盘速度控制指令。接口格式、数据频率与超时处理在集成评审时确认，不能将话题发现等同于数据可用。</w:t>
      </w:r>
    </w:p>
    <w:p>
      <w:pPr>
        <w:pStyle w:val="Heading2"/>
      </w:pPr>
      <w:r>
        <w:t>2.2 安全与权限边界</w:t>
      </w:r>
    </w:p>
    <w:p>
      <w:r>
        <w:t>在算法开发、静态验证或 S3/S4 可视化调试阶段，不应擅自向真机底盘发送速度指令。涉及实际运动的验收，应在甲方授权的运行方式和现场安全条件下实施。此条为工程测试边界细化，不改变原文导航功能范围。</w:t>
      </w:r>
    </w:p>
    <w:p>
      <w:pPr>
        <w:pStyle w:val="Heading1"/>
        <w:pBdr>
          <w:bottom w:val="single" w:sz="12" w:color="126785"/>
        </w:pBdr>
      </w:pPr>
      <w:r>
        <w:t>03  业务场景与系统流程</w:t>
      </w:r>
    </w:p>
    <w:p>
      <w:pPr>
        <w:pStyle w:val="Heading2"/>
      </w:pPr>
      <w:r>
        <w:t>3.1 端到端处理流程</w:t>
      </w:r>
    </w:p>
    <w:p>
      <w:r>
        <w:t>工位/任务目标（甲方） → 目标位置与地图（甲方） → 全局路径（乙方） → 实时环境感知与碰撞风险评估（乙方） → 局部轨迹/速度指令（乙方） → 底盘执行（甲方）。道路阻断触发局部绕行、重新规划或等待/安全停止。</w:t>
      </w:r>
    </w:p>
    <w:p>
      <w:pPr>
        <w:pStyle w:val="Heading2"/>
      </w:pPr>
      <w:r>
        <w:t>3.2 主要输入与输出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9"/>
        <w:gridCol w:w="2580"/>
        <w:gridCol w:w="5981"/>
      </w:tblGrid>
      <w:tr>
        <w:trPr>
          <w:tblHeader w:val="true"/>
        </w:trPr>
        <w:tc>
          <w:tcPr>
            <w:tcW w:type="dxa" w:w="879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7"/>
              </w:rPr>
              <w:t>分类</w:t>
            </w:r>
          </w:p>
        </w:tc>
        <w:tc>
          <w:tcPr>
            <w:tcW w:type="dxa" w:w="2580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7"/>
              </w:rPr>
              <w:t>数据对象</w:t>
            </w:r>
          </w:p>
        </w:tc>
        <w:tc>
          <w:tcPr>
            <w:tcW w:type="dxa" w:w="5981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87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输入</w:t>
            </w:r>
          </w:p>
        </w:tc>
        <w:tc>
          <w:tcPr>
            <w:tcW w:type="dxa" w:w="25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地图</w:t>
            </w:r>
          </w:p>
        </w:tc>
        <w:tc>
          <w:tcPr>
            <w:tcW w:type="dxa" w:w="598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由甲方建图与地图管理模块提供，用于全局路径可达性判断。</w:t>
            </w:r>
          </w:p>
        </w:tc>
      </w:tr>
      <w:tr>
        <w:trPr>
          <w:cantSplit/>
        </w:trPr>
        <w:tc>
          <w:tcPr>
            <w:tcW w:type="dxa" w:w="87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输入</w:t>
            </w:r>
          </w:p>
        </w:tc>
        <w:tc>
          <w:tcPr>
            <w:tcW w:type="dxa" w:w="25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机器人位姿与运动状态</w:t>
            </w:r>
          </w:p>
        </w:tc>
        <w:tc>
          <w:tcPr>
            <w:tcW w:type="dxa" w:w="598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用于路径起点、局部规划以及运动约束计算。</w:t>
            </w:r>
          </w:p>
        </w:tc>
      </w:tr>
      <w:tr>
        <w:trPr>
          <w:cantSplit/>
        </w:trPr>
        <w:tc>
          <w:tcPr>
            <w:tcW w:type="dxa" w:w="87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输入</w:t>
            </w:r>
          </w:p>
        </w:tc>
        <w:tc>
          <w:tcPr>
            <w:tcW w:type="dxa" w:w="25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实时 LiDAR / 视觉感知信息</w:t>
            </w:r>
          </w:p>
        </w:tc>
        <w:tc>
          <w:tcPr>
            <w:tcW w:type="dxa" w:w="598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用于障碍检测及局部动态环境更新；具体传感器配置待确认。</w:t>
            </w:r>
          </w:p>
        </w:tc>
      </w:tr>
      <w:tr>
        <w:trPr>
          <w:cantSplit/>
        </w:trPr>
        <w:tc>
          <w:tcPr>
            <w:tcW w:type="dxa" w:w="87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输入</w:t>
            </w:r>
          </w:p>
        </w:tc>
        <w:tc>
          <w:tcPr>
            <w:tcW w:type="dxa" w:w="25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目标位置 / 目标任务信息</w:t>
            </w:r>
          </w:p>
        </w:tc>
        <w:tc>
          <w:tcPr>
            <w:tcW w:type="dxa" w:w="598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由甲方任务系统提供；导航算法对外定义可执行目标。</w:t>
            </w:r>
          </w:p>
        </w:tc>
      </w:tr>
      <w:tr>
        <w:trPr>
          <w:cantSplit/>
        </w:trPr>
        <w:tc>
          <w:tcPr>
            <w:tcW w:type="dxa" w:w="87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输出</w:t>
            </w:r>
          </w:p>
        </w:tc>
        <w:tc>
          <w:tcPr>
            <w:tcW w:type="dxa" w:w="25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全局路径</w:t>
            </w:r>
          </w:p>
        </w:tc>
        <w:tc>
          <w:tcPr>
            <w:tcW w:type="dxa" w:w="598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用于局部导航的参考路线。</w:t>
            </w:r>
          </w:p>
        </w:tc>
      </w:tr>
      <w:tr>
        <w:trPr>
          <w:cantSplit/>
        </w:trPr>
        <w:tc>
          <w:tcPr>
            <w:tcW w:type="dxa" w:w="87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输出</w:t>
            </w:r>
          </w:p>
        </w:tc>
        <w:tc>
          <w:tcPr>
            <w:tcW w:type="dxa" w:w="25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局部运动轨迹</w:t>
            </w:r>
          </w:p>
        </w:tc>
        <w:tc>
          <w:tcPr>
            <w:tcW w:type="dxa" w:w="598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基于环境动态变化形成的可执行轨迹。</w:t>
            </w:r>
          </w:p>
        </w:tc>
      </w:tr>
      <w:tr>
        <w:trPr>
          <w:cantSplit/>
        </w:trPr>
        <w:tc>
          <w:tcPr>
            <w:tcW w:type="dxa" w:w="87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输出</w:t>
            </w:r>
          </w:p>
        </w:tc>
        <w:tc>
          <w:tcPr>
            <w:tcW w:type="dxa" w:w="25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底盘速度控制指令</w:t>
            </w:r>
          </w:p>
        </w:tc>
        <w:tc>
          <w:tcPr>
            <w:tcW w:type="dxa" w:w="598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须符合甲方运动接口和速度、加速度等约束。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2" w:color="126785"/>
        </w:pBdr>
      </w:pPr>
      <w:r>
        <w:t>04  功能性需求</w:t>
      </w:r>
    </w:p>
    <w:p>
      <w:pPr>
        <w:pStyle w:val="Heading2"/>
      </w:pPr>
      <w:r>
        <w:t>NAV-01  基于地图的全局路径规划</w:t>
      </w:r>
    </w:p>
    <w:p>
      <w:pPr>
        <w:keepNext/>
      </w:pPr>
      <w:r>
        <w:t>根据地图、机器人当前位置与目标位置生成全局路径，适用于复杂室内环境，并考虑机器人尺寸和运动约束。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909"/>
      </w:tblGrid>
      <w:tr>
        <w:trPr>
          <w:tblHeader w:val="true"/>
        </w:trPr>
        <w:tc>
          <w:tcPr>
            <w:tcW w:type="dxa" w:w="1531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7909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8"/>
              </w:rPr>
              <w:t>要求 / 说明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输入</w:t>
            </w:r>
          </w:p>
        </w:tc>
        <w:tc>
          <w:tcPr>
            <w:tcW w:type="dxa" w:w="79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地图、机器人当前位姿、目标位置。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输出</w:t>
            </w:r>
          </w:p>
        </w:tc>
        <w:tc>
          <w:tcPr>
            <w:tcW w:type="dxa" w:w="79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全局路径。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验收关注点</w:t>
            </w:r>
          </w:p>
        </w:tc>
        <w:tc>
          <w:tcPr>
            <w:tcW w:type="dxa" w:w="79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可对有效起终点生成路线；路线避开地图中不可通行区域，并能够交由局部规划使用。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原始依据</w:t>
            </w:r>
          </w:p>
        </w:tc>
        <w:tc>
          <w:tcPr>
            <w:tcW w:type="dxa" w:w="79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原文 §3、§4</w:t>
            </w:r>
          </w:p>
        </w:tc>
      </w:tr>
    </w:tbl>
    <w:p>
      <w:pPr>
        <w:spacing w:after="20"/>
      </w:pPr>
    </w:p>
    <w:p>
      <w:pPr>
        <w:pStyle w:val="Heading2"/>
      </w:pPr>
      <w:r>
        <w:t>NAV-02  实时局部导航规划</w:t>
      </w:r>
    </w:p>
    <w:p>
      <w:pPr>
        <w:keepNext/>
      </w:pPr>
      <w:r>
        <w:t>依据全局路径与实时局部环境信息生成局部运动轨迹，持续调整导航行为，满足碰撞避免、速度与加速度限制。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909"/>
      </w:tblGrid>
      <w:tr>
        <w:trPr>
          <w:tblHeader w:val="true"/>
        </w:trPr>
        <w:tc>
          <w:tcPr>
            <w:tcW w:type="dxa" w:w="1531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7909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8"/>
              </w:rPr>
              <w:t>要求 / 说明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输入</w:t>
            </w:r>
          </w:p>
        </w:tc>
        <w:tc>
          <w:tcPr>
            <w:tcW w:type="dxa" w:w="79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全局路径、当前机器人状态、局部环境信息。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输出</w:t>
            </w:r>
          </w:p>
        </w:tc>
        <w:tc>
          <w:tcPr>
            <w:tcW w:type="dxa" w:w="79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局部轨迹、速度控制指令。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验收关注点</w:t>
            </w:r>
          </w:p>
        </w:tc>
        <w:tc>
          <w:tcPr>
            <w:tcW w:type="dxa" w:w="79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能够随着局部环境变化更新轨迹；输出须满足已确认的底盘运动限制。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原始依据</w:t>
            </w:r>
          </w:p>
        </w:tc>
        <w:tc>
          <w:tcPr>
            <w:tcW w:type="dxa" w:w="79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原文 §3、§5</w:t>
            </w:r>
          </w:p>
        </w:tc>
      </w:tr>
    </w:tbl>
    <w:p>
      <w:pPr>
        <w:spacing w:after="20"/>
      </w:pPr>
    </w:p>
    <w:p>
      <w:pPr>
        <w:pStyle w:val="Heading2"/>
      </w:pPr>
      <w:r>
        <w:t>OBS-01  动态障碍检测与碰撞风险判定</w:t>
      </w:r>
    </w:p>
    <w:p>
      <w:pPr>
        <w:keepNext/>
      </w:pPr>
      <w:r>
        <w:t>对行人、其他 AGV、临时物料等动态或临时障碍进行检测，判断其是否对当前导航构成碰撞风险。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909"/>
      </w:tblGrid>
      <w:tr>
        <w:trPr>
          <w:tblHeader w:val="true"/>
        </w:trPr>
        <w:tc>
          <w:tcPr>
            <w:tcW w:type="dxa" w:w="1531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7909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8"/>
              </w:rPr>
              <w:t>要求 / 说明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输入</w:t>
            </w:r>
          </w:p>
        </w:tc>
        <w:tc>
          <w:tcPr>
            <w:tcW w:type="dxa" w:w="79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实时雷达/视觉感知信息、机器人运动状态、局部路线。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输出</w:t>
            </w:r>
          </w:p>
        </w:tc>
        <w:tc>
          <w:tcPr>
            <w:tcW w:type="dxa" w:w="79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障碍及风险信息（具体消息形式待确认）。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验收关注点</w:t>
            </w:r>
          </w:p>
        </w:tc>
        <w:tc>
          <w:tcPr>
            <w:tcW w:type="dxa" w:w="79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覆盖行人横穿、对向行人、对向 AGV 和临时物料等原文场景；应留存判断及轨迹更新记录。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原始依据</w:t>
            </w:r>
          </w:p>
        </w:tc>
        <w:tc>
          <w:tcPr>
            <w:tcW w:type="dxa" w:w="79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原文 §3、§6</w:t>
            </w:r>
          </w:p>
        </w:tc>
      </w:tr>
    </w:tbl>
    <w:p>
      <w:pPr>
        <w:spacing w:after="20"/>
      </w:pPr>
    </w:p>
    <w:p>
      <w:pPr>
        <w:pStyle w:val="Heading2"/>
      </w:pPr>
      <w:r>
        <w:t>OBS-02  动态避障与任务恢复</w:t>
      </w:r>
    </w:p>
    <w:p>
      <w:pPr>
        <w:keepNext/>
      </w:pPr>
      <w:r>
        <w:t>发现碰撞风险时通过调整路径或速度实施避让，并在风险消除后恢复原导航任务。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909"/>
      </w:tblGrid>
      <w:tr>
        <w:trPr>
          <w:tblHeader w:val="true"/>
        </w:trPr>
        <w:tc>
          <w:tcPr>
            <w:tcW w:type="dxa" w:w="1531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7909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8"/>
              </w:rPr>
              <w:t>要求 / 说明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输入</w:t>
            </w:r>
          </w:p>
        </w:tc>
        <w:tc>
          <w:tcPr>
            <w:tcW w:type="dxa" w:w="79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障碍风险、全局路径、局部轨迹与机器人状态。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输出</w:t>
            </w:r>
          </w:p>
        </w:tc>
        <w:tc>
          <w:tcPr>
            <w:tcW w:type="dxa" w:w="79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更新后的局部轨迹 / 速度指令与任务继续状态。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验收关注点</w:t>
            </w:r>
          </w:p>
        </w:tc>
        <w:tc>
          <w:tcPr>
            <w:tcW w:type="dxa" w:w="79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避障过程中不发生实际碰撞，障碍离开后能回到可行路径；安全距离的验收数值待确认。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原始依据</w:t>
            </w:r>
          </w:p>
        </w:tc>
        <w:tc>
          <w:tcPr>
            <w:tcW w:type="dxa" w:w="79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原文 §6</w:t>
            </w:r>
          </w:p>
        </w:tc>
      </w:tr>
    </w:tbl>
    <w:p>
      <w:pPr>
        <w:spacing w:after="20"/>
      </w:pPr>
    </w:p>
    <w:p>
      <w:pPr>
        <w:pStyle w:val="Heading2"/>
      </w:pPr>
      <w:r>
        <w:t>REC-01  道路阻断识别与恢复</w:t>
      </w:r>
    </w:p>
    <w:p>
      <w:pPr>
        <w:keepNext/>
      </w:pPr>
      <w:r>
        <w:t>当原规划路径无法通行时，识别阻断并优先尝试局部绕行，必要时重新进行路径规划。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909"/>
      </w:tblGrid>
      <w:tr>
        <w:trPr>
          <w:tblHeader w:val="true"/>
        </w:trPr>
        <w:tc>
          <w:tcPr>
            <w:tcW w:type="dxa" w:w="1531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7909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8"/>
              </w:rPr>
              <w:t>要求 / 说明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输入</w:t>
            </w:r>
          </w:p>
        </w:tc>
        <w:tc>
          <w:tcPr>
            <w:tcW w:type="dxa" w:w="79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当前路径、局部环境和机器人状态。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输出</w:t>
            </w:r>
          </w:p>
        </w:tc>
        <w:tc>
          <w:tcPr>
            <w:tcW w:type="dxa" w:w="79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绕行轨迹、重规划路径或阻断处理状态。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验收关注点</w:t>
            </w:r>
          </w:p>
        </w:tc>
        <w:tc>
          <w:tcPr>
            <w:tcW w:type="dxa" w:w="79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分别验证可局部绕行、需要全局重规划和不可恢复三种场景。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原始依据</w:t>
            </w:r>
          </w:p>
        </w:tc>
        <w:tc>
          <w:tcPr>
            <w:tcW w:type="dxa" w:w="79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原文 §7</w:t>
            </w:r>
          </w:p>
        </w:tc>
      </w:tr>
    </w:tbl>
    <w:p>
      <w:pPr>
        <w:spacing w:after="20"/>
      </w:pPr>
    </w:p>
    <w:p>
      <w:pPr>
        <w:pStyle w:val="Heading2"/>
      </w:pPr>
      <w:r>
        <w:t>SAFE-01  不可恢复时的安全处置</w:t>
      </w:r>
    </w:p>
    <w:p>
      <w:pPr>
        <w:keepNext/>
      </w:pPr>
      <w:r>
        <w:t>路径阻断且无法有效恢复时进入等待或安全停止状态，不得继续输出与前方碰撞风险不一致的行驶指令。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909"/>
      </w:tblGrid>
      <w:tr>
        <w:trPr>
          <w:tblHeader w:val="true"/>
        </w:trPr>
        <w:tc>
          <w:tcPr>
            <w:tcW w:type="dxa" w:w="1531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7909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8"/>
              </w:rPr>
              <w:t>要求 / 说明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输入</w:t>
            </w:r>
          </w:p>
        </w:tc>
        <w:tc>
          <w:tcPr>
            <w:tcW w:type="dxa" w:w="79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阻断恢复结果、机器人运动约束。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输出</w:t>
            </w:r>
          </w:p>
        </w:tc>
        <w:tc>
          <w:tcPr>
            <w:tcW w:type="dxa" w:w="79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等待或安全停止状态（控制接口由双方确认）。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验收关注点</w:t>
            </w:r>
          </w:p>
        </w:tc>
        <w:tc>
          <w:tcPr>
            <w:tcW w:type="dxa" w:w="79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在不可恢复阻断场景能保持等待/安全停止；停止确认机制和异常上报接口待确认。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原始依据</w:t>
            </w:r>
          </w:p>
        </w:tc>
        <w:tc>
          <w:tcPr>
            <w:tcW w:type="dxa" w:w="79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8"/>
              </w:rPr>
              <w:t>原文 §7、§8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2" w:color="126785"/>
        </w:pBdr>
      </w:pPr>
      <w:r>
        <w:t>05  运动约束与性能指标</w:t>
      </w:r>
    </w:p>
    <w:p>
      <w:pPr>
        <w:pStyle w:val="Heading2"/>
      </w:pPr>
      <w:r>
        <w:t>5.1 运动学与空间约束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2"/>
        <w:gridCol w:w="3969"/>
        <w:gridCol w:w="4139"/>
      </w:tblGrid>
      <w:tr>
        <w:trPr>
          <w:tblHeader w:val="true"/>
        </w:trPr>
        <w:tc>
          <w:tcPr>
            <w:tcW w:type="dxa" w:w="1332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969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4139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7"/>
              </w:rPr>
              <w:t>验收说明</w:t>
            </w:r>
          </w:p>
        </w:tc>
      </w:tr>
      <w:tr>
        <w:trPr>
          <w:cantSplit/>
        </w:trPr>
        <w:tc>
          <w:tcPr>
            <w:tcW w:type="dxa" w:w="13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MOT-01</w:t>
            </w:r>
          </w:p>
        </w:tc>
        <w:tc>
          <w:tcPr>
            <w:tcW w:type="dxa" w:w="396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考虑机器人外形尺寸、安全距离、速度、加速度及转弯约束。</w:t>
            </w:r>
          </w:p>
        </w:tc>
        <w:tc>
          <w:tcPr>
            <w:tcW w:type="dxa" w:w="413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具体外形、加速度限值、安全距离由甲方底盘/项目参数确定。</w:t>
            </w:r>
          </w:p>
        </w:tc>
      </w:tr>
      <w:tr>
        <w:trPr>
          <w:cantSplit/>
        </w:trPr>
        <w:tc>
          <w:tcPr>
            <w:tcW w:type="dxa" w:w="13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MOT-02</w:t>
            </w:r>
          </w:p>
        </w:tc>
        <w:tc>
          <w:tcPr>
            <w:tcW w:type="dxa" w:w="396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机器人运行速度 ≤ 1.0 m/s。</w:t>
            </w:r>
          </w:p>
        </w:tc>
        <w:tc>
          <w:tcPr>
            <w:tcW w:type="dxa" w:w="413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按甲方允许的运行模式和指令/实测速率核验；不高于 1.0 m/s。</w:t>
            </w:r>
          </w:p>
        </w:tc>
      </w:tr>
      <w:tr>
        <w:trPr>
          <w:cantSplit/>
        </w:trPr>
        <w:tc>
          <w:tcPr>
            <w:tcW w:type="dxa" w:w="13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MOT-03</w:t>
            </w:r>
          </w:p>
        </w:tc>
        <w:tc>
          <w:tcPr>
            <w:tcW w:type="dxa" w:w="396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最小转弯半径等约束根据底盘实际运动形式适用。</w:t>
            </w:r>
          </w:p>
        </w:tc>
        <w:tc>
          <w:tcPr>
            <w:tcW w:type="dxa" w:w="413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若采用全向底盘，应按其可行速度空间确认，不能直接套用差速/汽车模型。</w:t>
            </w:r>
          </w:p>
        </w:tc>
      </w:tr>
    </w:tbl>
    <w:p>
      <w:pPr>
        <w:spacing w:after="20"/>
      </w:pPr>
    </w:p>
    <w:p>
      <w:pPr>
        <w:pStyle w:val="Heading2"/>
      </w:pPr>
      <w:r>
        <w:t>5.2 核心性能要求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9"/>
        <w:gridCol w:w="3572"/>
        <w:gridCol w:w="4649"/>
      </w:tblGrid>
      <w:tr>
        <w:trPr>
          <w:tblHeader w:val="true"/>
        </w:trPr>
        <w:tc>
          <w:tcPr>
            <w:tcW w:type="dxa" w:w="1219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572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7"/>
              </w:rPr>
              <w:t>指标（保留原文）</w:t>
            </w:r>
          </w:p>
        </w:tc>
        <w:tc>
          <w:tcPr>
            <w:tcW w:type="dxa" w:w="4649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7"/>
              </w:rPr>
              <w:t>建议验收口径（待双方确认）</w:t>
            </w:r>
          </w:p>
        </w:tc>
      </w:tr>
      <w:tr>
        <w:trPr>
          <w:cantSplit/>
        </w:trPr>
        <w:tc>
          <w:tcPr>
            <w:tcW w:type="dxa" w:w="12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PERF-01</w:t>
            </w:r>
          </w:p>
        </w:tc>
        <w:tc>
          <w:tcPr>
            <w:tcW w:type="dxa" w:w="35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单次规划响应时间 ≤ 500 ms。</w:t>
            </w:r>
          </w:p>
        </w:tc>
        <w:tc>
          <w:tcPr>
            <w:tcW w:type="dxa" w:w="464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明确计算起止时刻、统计量（最大值/分位数）、复杂场景和运行硬件。</w:t>
            </w:r>
          </w:p>
        </w:tc>
      </w:tr>
      <w:tr>
        <w:trPr>
          <w:cantSplit/>
        </w:trPr>
        <w:tc>
          <w:tcPr>
            <w:tcW w:type="dxa" w:w="12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PERF-02</w:t>
            </w:r>
          </w:p>
        </w:tc>
        <w:tc>
          <w:tcPr>
            <w:tcW w:type="dxa" w:w="35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连续运行能力 ≥ 8 小时。</w:t>
            </w:r>
          </w:p>
        </w:tc>
        <w:tc>
          <w:tcPr>
            <w:tcW w:type="dxa" w:w="464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明确运行负载、故障中断定义、日志完整性和现场条件。</w:t>
            </w:r>
          </w:p>
        </w:tc>
      </w:tr>
      <w:tr>
        <w:trPr>
          <w:cantSplit/>
        </w:trPr>
        <w:tc>
          <w:tcPr>
            <w:tcW w:type="dxa" w:w="12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PERF-03</w:t>
            </w:r>
          </w:p>
        </w:tc>
        <w:tc>
          <w:tcPr>
            <w:tcW w:type="dxa" w:w="35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静态导航测试成功率 ≥ 95%。</w:t>
            </w:r>
          </w:p>
        </w:tc>
        <w:tc>
          <w:tcPr>
            <w:tcW w:type="dxa" w:w="464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建议以成功任务数 / 有效测试任务数统计，并提前确认样本量与成功定义。</w:t>
            </w:r>
          </w:p>
        </w:tc>
      </w:tr>
      <w:tr>
        <w:trPr>
          <w:cantSplit/>
        </w:trPr>
        <w:tc>
          <w:tcPr>
            <w:tcW w:type="dxa" w:w="12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PERF-04</w:t>
            </w:r>
          </w:p>
        </w:tc>
        <w:tc>
          <w:tcPr>
            <w:tcW w:type="dxa" w:w="35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动态避障测试满足安全运行要求。</w:t>
            </w:r>
          </w:p>
        </w:tc>
        <w:tc>
          <w:tcPr>
            <w:tcW w:type="dxa" w:w="464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原文无明确成功率、最小安全距离或障碍速度数值，须共同制定测试判据。</w:t>
            </w:r>
          </w:p>
        </w:tc>
      </w:tr>
    </w:tbl>
    <w:p>
      <w:pPr>
        <w:spacing w:after="20"/>
      </w:pPr>
    </w:p>
    <w:p>
      <w:pPr>
        <w:pStyle w:val="SmallNote"/>
      </w:pPr>
      <w:r>
        <w:t>不得将建议验收口径直接写成已批准的合同性能指标；500 ms、8 h、95%、1.0 m/s 为原文已有明确要求。</w:t>
      </w:r>
    </w:p>
    <w:p>
      <w:pPr>
        <w:pStyle w:val="Heading1"/>
        <w:pBdr>
          <w:bottom w:val="single" w:sz="12" w:color="126785"/>
        </w:pBdr>
      </w:pPr>
      <w:r>
        <w:t>06  软件接口与集成约定</w:t>
      </w:r>
    </w:p>
    <w:p>
      <w:pPr>
        <w:pStyle w:val="Heading2"/>
      </w:pPr>
      <w:r>
        <w:t>6.1 必需的逻辑接口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786"/>
        <w:gridCol w:w="2409"/>
        <w:gridCol w:w="4337"/>
      </w:tblGrid>
      <w:tr>
        <w:trPr>
          <w:tblHeader w:val="true"/>
        </w:trPr>
        <w:tc>
          <w:tcPr>
            <w:tcW w:type="dxa" w:w="907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786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6"/>
              </w:rPr>
              <w:t>输入/输出</w:t>
            </w:r>
          </w:p>
        </w:tc>
        <w:tc>
          <w:tcPr>
            <w:tcW w:type="dxa" w:w="2409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6"/>
              </w:rPr>
              <w:t>源 / 宿</w:t>
            </w:r>
          </w:p>
        </w:tc>
        <w:tc>
          <w:tcPr>
            <w:tcW w:type="dxa" w:w="4337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6"/>
              </w:rPr>
              <w:t>接口要求</w:t>
            </w:r>
          </w:p>
        </w:tc>
      </w:tr>
      <w:tr>
        <w:trPr>
          <w:cantSplit/>
        </w:trPr>
        <w:tc>
          <w:tcPr>
            <w:tcW w:type="dxa" w:w="90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IF-01</w:t>
            </w:r>
          </w:p>
        </w:tc>
        <w:tc>
          <w:tcPr>
            <w:tcW w:type="dxa" w:w="178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地图输入</w:t>
            </w:r>
          </w:p>
        </w:tc>
        <w:tc>
          <w:tcPr>
            <w:tcW w:type="dxa" w:w="24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甲方地图服务 → 乙方规划</w:t>
            </w:r>
          </w:p>
        </w:tc>
        <w:tc>
          <w:tcPr>
            <w:tcW w:type="dxa" w:w="433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提供可用于规划的地图及相应坐标定义。</w:t>
            </w:r>
          </w:p>
        </w:tc>
      </w:tr>
      <w:tr>
        <w:trPr>
          <w:cantSplit/>
        </w:trPr>
        <w:tc>
          <w:tcPr>
            <w:tcW w:type="dxa" w:w="90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IF-02</w:t>
            </w:r>
          </w:p>
        </w:tc>
        <w:tc>
          <w:tcPr>
            <w:tcW w:type="dxa" w:w="178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定位位姿与状态</w:t>
            </w:r>
          </w:p>
        </w:tc>
        <w:tc>
          <w:tcPr>
            <w:tcW w:type="dxa" w:w="24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甲方 SLAM → 乙方导航</w:t>
            </w:r>
          </w:p>
        </w:tc>
        <w:tc>
          <w:tcPr>
            <w:tcW w:type="dxa" w:w="433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持续提供真实位姿及状态；定位无效时不得以伪造 TF 代替。</w:t>
            </w:r>
          </w:p>
        </w:tc>
      </w:tr>
      <w:tr>
        <w:trPr>
          <w:cantSplit/>
        </w:trPr>
        <w:tc>
          <w:tcPr>
            <w:tcW w:type="dxa" w:w="90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IF-03</w:t>
            </w:r>
          </w:p>
        </w:tc>
        <w:tc>
          <w:tcPr>
            <w:tcW w:type="dxa" w:w="178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环境感知</w:t>
            </w:r>
          </w:p>
        </w:tc>
        <w:tc>
          <w:tcPr>
            <w:tcW w:type="dxa" w:w="24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甲方传感器/预处理 → 乙方感知</w:t>
            </w:r>
          </w:p>
        </w:tc>
        <w:tc>
          <w:tcPr>
            <w:tcW w:type="dxa" w:w="433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提供 LiDAR/视觉数据及时间戳、Frame、QoS。</w:t>
            </w:r>
          </w:p>
        </w:tc>
      </w:tr>
      <w:tr>
        <w:trPr>
          <w:cantSplit/>
        </w:trPr>
        <w:tc>
          <w:tcPr>
            <w:tcW w:type="dxa" w:w="90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IF-04</w:t>
            </w:r>
          </w:p>
        </w:tc>
        <w:tc>
          <w:tcPr>
            <w:tcW w:type="dxa" w:w="178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导航目标</w:t>
            </w:r>
          </w:p>
        </w:tc>
        <w:tc>
          <w:tcPr>
            <w:tcW w:type="dxa" w:w="24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甲方调度/应用 → 乙方规划</w:t>
            </w:r>
          </w:p>
        </w:tc>
        <w:tc>
          <w:tcPr>
            <w:tcW w:type="dxa" w:w="433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约定坐标系、目标精度、取消/重发语义。</w:t>
            </w:r>
          </w:p>
        </w:tc>
      </w:tr>
      <w:tr>
        <w:trPr>
          <w:cantSplit/>
        </w:trPr>
        <w:tc>
          <w:tcPr>
            <w:tcW w:type="dxa" w:w="90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IF-05</w:t>
            </w:r>
          </w:p>
        </w:tc>
        <w:tc>
          <w:tcPr>
            <w:tcW w:type="dxa" w:w="178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路径/局部轨迹</w:t>
            </w:r>
          </w:p>
        </w:tc>
        <w:tc>
          <w:tcPr>
            <w:tcW w:type="dxa" w:w="24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乙方算法内部 / 对上层</w:t>
            </w:r>
          </w:p>
        </w:tc>
        <w:tc>
          <w:tcPr>
            <w:tcW w:type="dxa" w:w="433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明确路径格式、坐标系及有效性。</w:t>
            </w:r>
          </w:p>
        </w:tc>
      </w:tr>
      <w:tr>
        <w:trPr>
          <w:cantSplit/>
        </w:trPr>
        <w:tc>
          <w:tcPr>
            <w:tcW w:type="dxa" w:w="90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IF-06</w:t>
            </w:r>
          </w:p>
        </w:tc>
        <w:tc>
          <w:tcPr>
            <w:tcW w:type="dxa" w:w="178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底盘速度指令</w:t>
            </w:r>
          </w:p>
        </w:tc>
        <w:tc>
          <w:tcPr>
            <w:tcW w:type="dxa" w:w="240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乙方导航 → 甲方底盘接口</w:t>
            </w:r>
          </w:p>
        </w:tc>
        <w:tc>
          <w:tcPr>
            <w:tcW w:type="dxa" w:w="433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必须经授权与安全约束；具体 Topic、命令仲裁由双方确认。</w:t>
            </w:r>
          </w:p>
        </w:tc>
      </w:tr>
    </w:tbl>
    <w:p>
      <w:pPr>
        <w:spacing w:after="20"/>
      </w:pPr>
    </w:p>
    <w:p>
      <w:pPr>
        <w:pStyle w:val="Heading2"/>
      </w:pPr>
      <w:r>
        <w:t>6.2 当前 HiveCore/ROS2 工程对接参考（非固定需求）</w:t>
      </w:r>
    </w:p>
    <w:p>
      <w:r>
        <w:t>以下名称用于说明当前 Hive2 集成方向，随甲方安装版本和真机运行结果复核。它们不是原文规定的长期固定接口，也不能代替双方签字确认的接口协议。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9"/>
        <w:gridCol w:w="4025"/>
        <w:gridCol w:w="4195"/>
      </w:tblGrid>
      <w:tr>
        <w:trPr>
          <w:tblHeader w:val="true"/>
        </w:trPr>
        <w:tc>
          <w:tcPr>
            <w:tcW w:type="dxa" w:w="1219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7"/>
              </w:rPr>
              <w:t>接口类别</w:t>
            </w:r>
          </w:p>
        </w:tc>
        <w:tc>
          <w:tcPr>
            <w:tcW w:type="dxa" w:w="4025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7"/>
              </w:rPr>
              <w:t>当前工程参考</w:t>
            </w:r>
          </w:p>
        </w:tc>
        <w:tc>
          <w:tcPr>
            <w:tcW w:type="dxa" w:w="4195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7"/>
              </w:rPr>
              <w:t>应核验事项</w:t>
            </w:r>
          </w:p>
        </w:tc>
      </w:tr>
      <w:tr>
        <w:trPr>
          <w:cantSplit/>
        </w:trPr>
        <w:tc>
          <w:tcPr>
            <w:tcW w:type="dxa" w:w="12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点云</w:t>
            </w:r>
          </w:p>
        </w:tc>
        <w:tc>
          <w:tcPr>
            <w:tcW w:type="dxa" w:w="402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/livox/lidar/geo_filtered · lidar_link</w:t>
            </w:r>
          </w:p>
        </w:tc>
        <w:tc>
          <w:tcPr>
            <w:tcW w:type="dxa" w:w="419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真实消息、QoS、frame_id 与 header.stamp。</w:t>
            </w:r>
          </w:p>
        </w:tc>
      </w:tr>
      <w:tr>
        <w:trPr>
          <w:cantSplit/>
        </w:trPr>
        <w:tc>
          <w:tcPr>
            <w:tcW w:type="dxa" w:w="12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定位位姿</w:t>
            </w:r>
          </w:p>
        </w:tc>
        <w:tc>
          <w:tcPr>
            <w:tcW w:type="dxa" w:w="402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/robot_pose · nav_msgs/Odometry</w:t>
            </w:r>
          </w:p>
        </w:tc>
        <w:tc>
          <w:tcPr>
            <w:tcW w:type="dxa" w:w="419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实际收帧、frame_id、child_frame_id、频率。</w:t>
            </w:r>
          </w:p>
        </w:tc>
      </w:tr>
      <w:tr>
        <w:trPr>
          <w:cantSplit/>
        </w:trPr>
        <w:tc>
          <w:tcPr>
            <w:tcW w:type="dxa" w:w="12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定位状态</w:t>
            </w:r>
          </w:p>
        </w:tc>
        <w:tc>
          <w:tcPr>
            <w:tcW w:type="dxa" w:w="402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/localization_status</w:t>
            </w:r>
          </w:p>
        </w:tc>
        <w:tc>
          <w:tcPr>
            <w:tcW w:type="dxa" w:w="419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地图已加载、Tracking、配准与发布状态。</w:t>
            </w:r>
          </w:p>
        </w:tc>
      </w:tr>
      <w:tr>
        <w:trPr>
          <w:cantSplit/>
        </w:trPr>
        <w:tc>
          <w:tcPr>
            <w:tcW w:type="dxa" w:w="12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定位 TF</w:t>
            </w:r>
          </w:p>
        </w:tc>
        <w:tc>
          <w:tcPr>
            <w:tcW w:type="dxa" w:w="402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map → base_footprint → base_link → lidar_link</w:t>
            </w:r>
          </w:p>
        </w:tc>
        <w:tc>
          <w:tcPr>
            <w:tcW w:type="dxa" w:w="419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唯一权威发布者；按扫描原始时间戳可查询。</w:t>
            </w:r>
          </w:p>
        </w:tc>
      </w:tr>
      <w:tr>
        <w:trPr>
          <w:cantSplit/>
        </w:trPr>
        <w:tc>
          <w:tcPr>
            <w:tcW w:type="dxa" w:w="12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里程计</w:t>
            </w:r>
          </w:p>
        </w:tc>
        <w:tc>
          <w:tcPr>
            <w:tcW w:type="dxa" w:w="402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/odom（若作为输入）</w:t>
            </w:r>
          </w:p>
        </w:tc>
        <w:tc>
          <w:tcPr>
            <w:tcW w:type="dxa" w:w="419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区分底盘里程计与世界坐标定位；不得自动替代 map 位姿。</w:t>
            </w:r>
          </w:p>
        </w:tc>
      </w:tr>
      <w:tr>
        <w:trPr>
          <w:cantSplit/>
        </w:trPr>
        <w:tc>
          <w:tcPr>
            <w:tcW w:type="dxa" w:w="12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控制</w:t>
            </w:r>
          </w:p>
        </w:tc>
        <w:tc>
          <w:tcPr>
            <w:tcW w:type="dxa" w:w="402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底盘速度输出接口</w:t>
            </w:r>
          </w:p>
        </w:tc>
        <w:tc>
          <w:tcPr>
            <w:tcW w:type="dxa" w:w="419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由甲方确认最终入口、门控、限速和状态互锁。</w:t>
            </w:r>
          </w:p>
        </w:tc>
      </w:tr>
    </w:tbl>
    <w:p>
      <w:pPr>
        <w:spacing w:after="20"/>
      </w:pPr>
    </w:p>
    <w:p>
      <w:pPr>
        <w:pStyle w:val="Heading2"/>
      </w:pPr>
      <w:r>
        <w:t>6.3 运行依赖与异常处理原则</w:t>
      </w:r>
    </w:p>
    <w:p>
      <w:pPr>
        <w:ind w:left="351" w:hanging="198"/>
      </w:pPr>
      <w:r>
        <w:rPr>
          <w:rFonts w:ascii="Arial" w:hAnsi="Noto Sans CJK SC" w:eastAsia="Noto Sans CJK SC"/>
          <w:color w:val="126785"/>
        </w:rPr>
        <w:t xml:space="preserve">•  </w:t>
      </w:r>
      <w:r>
        <w:t>地图定位、传感器和 TF 是导航算法的外部依赖。对外 Topic 存在或 Publisher 注册成功，不等于有连续有效数据。</w:t>
      </w:r>
    </w:p>
    <w:p>
      <w:pPr>
        <w:ind w:left="351" w:hanging="198"/>
      </w:pPr>
      <w:r>
        <w:rPr>
          <w:rFonts w:ascii="Arial" w:hAnsi="Noto Sans CJK SC" w:eastAsia="Noto Sans CJK SC"/>
          <w:color w:val="126785"/>
        </w:rPr>
        <w:t xml:space="preserve">•  </w:t>
      </w:r>
      <w:r>
        <w:t>世界坐标地图和局部规划必须使用正确的坐标变换与传感器时间戳；不得用最新 TF 冒充扫描时刻 TF，也不得自行补造甲方的定位边。</w:t>
      </w:r>
    </w:p>
    <w:p>
      <w:pPr>
        <w:ind w:left="351" w:hanging="198"/>
      </w:pPr>
      <w:r>
        <w:rPr>
          <w:rFonts w:ascii="Arial" w:hAnsi="Noto Sans CJK SC" w:eastAsia="Noto Sans CJK SC"/>
          <w:color w:val="126785"/>
        </w:rPr>
        <w:t xml:space="preserve">•  </w:t>
      </w:r>
      <w:r>
        <w:t>失去有效定位、关键传感器输入或运动接口未就绪时，导航控制策略和安全停车责任需要双方确认；联调不得绕过安全门禁。</w:t>
      </w:r>
    </w:p>
    <w:p>
      <w:pPr>
        <w:pStyle w:val="Heading1"/>
        <w:pBdr>
          <w:bottom w:val="single" w:sz="12" w:color="126785"/>
        </w:pBdr>
      </w:pPr>
      <w:r>
        <w:t>07  测试、验收与交付</w:t>
      </w:r>
    </w:p>
    <w:p>
      <w:pPr>
        <w:pStyle w:val="Heading2"/>
      </w:pPr>
      <w:r>
        <w:t>7.1 功能测试矩阵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9"/>
        <w:gridCol w:w="1701"/>
        <w:gridCol w:w="1928"/>
        <w:gridCol w:w="4932"/>
      </w:tblGrid>
      <w:tr>
        <w:trPr>
          <w:tblHeader w:val="true"/>
        </w:trPr>
        <w:tc>
          <w:tcPr>
            <w:tcW w:type="dxa" w:w="879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6"/>
              </w:rPr>
              <w:t>用例</w:t>
            </w:r>
          </w:p>
        </w:tc>
        <w:tc>
          <w:tcPr>
            <w:tcW w:type="dxa" w:w="1701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1928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6"/>
              </w:rPr>
              <w:t>覆盖需求</w:t>
            </w:r>
          </w:p>
        </w:tc>
        <w:tc>
          <w:tcPr>
            <w:tcW w:type="dxa" w:w="4932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6"/>
              </w:rPr>
              <w:t>必要验证点</w:t>
            </w:r>
          </w:p>
        </w:tc>
      </w:tr>
      <w:tr>
        <w:trPr>
          <w:cantSplit/>
        </w:trPr>
        <w:tc>
          <w:tcPr>
            <w:tcW w:type="dxa" w:w="87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TC-01</w:t>
            </w:r>
          </w:p>
        </w:tc>
        <w:tc>
          <w:tcPr>
            <w:tcW w:type="dxa" w:w="170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静态地图多区域到点</w:t>
            </w:r>
          </w:p>
        </w:tc>
        <w:tc>
          <w:tcPr>
            <w:tcW w:type="dxa" w:w="19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NAV-01, NAV-02, PERF-03</w:t>
            </w:r>
          </w:p>
        </w:tc>
        <w:tc>
          <w:tcPr>
            <w:tcW w:type="dxa" w:w="49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路径生成、到达结果、成功率统计。</w:t>
            </w:r>
          </w:p>
        </w:tc>
      </w:tr>
      <w:tr>
        <w:trPr>
          <w:cantSplit/>
        </w:trPr>
        <w:tc>
          <w:tcPr>
            <w:tcW w:type="dxa" w:w="87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TC-02</w:t>
            </w:r>
          </w:p>
        </w:tc>
        <w:tc>
          <w:tcPr>
            <w:tcW w:type="dxa" w:w="170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通道与固定障碍</w:t>
            </w:r>
          </w:p>
        </w:tc>
        <w:tc>
          <w:tcPr>
            <w:tcW w:type="dxa" w:w="19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NAV-01, NAV-02, MOT-01</w:t>
            </w:r>
          </w:p>
        </w:tc>
        <w:tc>
          <w:tcPr>
            <w:tcW w:type="dxa" w:w="49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约束满足、碰撞规避。</w:t>
            </w:r>
          </w:p>
        </w:tc>
      </w:tr>
      <w:tr>
        <w:trPr>
          <w:cantSplit/>
        </w:trPr>
        <w:tc>
          <w:tcPr>
            <w:tcW w:type="dxa" w:w="87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TC-03</w:t>
            </w:r>
          </w:p>
        </w:tc>
        <w:tc>
          <w:tcPr>
            <w:tcW w:type="dxa" w:w="170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行人横穿</w:t>
            </w:r>
          </w:p>
        </w:tc>
        <w:tc>
          <w:tcPr>
            <w:tcW w:type="dxa" w:w="19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OBS-01, OBS-02</w:t>
            </w:r>
          </w:p>
        </w:tc>
        <w:tc>
          <w:tcPr>
            <w:tcW w:type="dxa" w:w="49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风险检测、避让、恢复路线。</w:t>
            </w:r>
          </w:p>
        </w:tc>
      </w:tr>
      <w:tr>
        <w:trPr>
          <w:cantSplit/>
        </w:trPr>
        <w:tc>
          <w:tcPr>
            <w:tcW w:type="dxa" w:w="87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TC-04</w:t>
            </w:r>
          </w:p>
        </w:tc>
        <w:tc>
          <w:tcPr>
            <w:tcW w:type="dxa" w:w="170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行人对向</w:t>
            </w:r>
          </w:p>
        </w:tc>
        <w:tc>
          <w:tcPr>
            <w:tcW w:type="dxa" w:w="19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OBS-01, OBS-02</w:t>
            </w:r>
          </w:p>
        </w:tc>
        <w:tc>
          <w:tcPr>
            <w:tcW w:type="dxa" w:w="49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轨迹/速度调整与安全状态。</w:t>
            </w:r>
          </w:p>
        </w:tc>
      </w:tr>
      <w:tr>
        <w:trPr>
          <w:cantSplit/>
        </w:trPr>
        <w:tc>
          <w:tcPr>
            <w:tcW w:type="dxa" w:w="87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TC-05</w:t>
            </w:r>
          </w:p>
        </w:tc>
        <w:tc>
          <w:tcPr>
            <w:tcW w:type="dxa" w:w="170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AGV 对向</w:t>
            </w:r>
          </w:p>
        </w:tc>
        <w:tc>
          <w:tcPr>
            <w:tcW w:type="dxa" w:w="19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OBS-01, OBS-02</w:t>
            </w:r>
          </w:p>
        </w:tc>
        <w:tc>
          <w:tcPr>
            <w:tcW w:type="dxa" w:w="49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相互避让与安全性记录。</w:t>
            </w:r>
          </w:p>
        </w:tc>
      </w:tr>
      <w:tr>
        <w:trPr>
          <w:cantSplit/>
        </w:trPr>
        <w:tc>
          <w:tcPr>
            <w:tcW w:type="dxa" w:w="87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TC-06</w:t>
            </w:r>
          </w:p>
        </w:tc>
        <w:tc>
          <w:tcPr>
            <w:tcW w:type="dxa" w:w="170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临时物料占道</w:t>
            </w:r>
          </w:p>
        </w:tc>
        <w:tc>
          <w:tcPr>
            <w:tcW w:type="dxa" w:w="19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REC-01, SAFE-01</w:t>
            </w:r>
          </w:p>
        </w:tc>
        <w:tc>
          <w:tcPr>
            <w:tcW w:type="dxa" w:w="49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绕行或重规划；不可通行时等待/停止。</w:t>
            </w:r>
          </w:p>
        </w:tc>
      </w:tr>
      <w:tr>
        <w:trPr>
          <w:cantSplit/>
        </w:trPr>
        <w:tc>
          <w:tcPr>
            <w:tcW w:type="dxa" w:w="87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TC-07</w:t>
            </w:r>
          </w:p>
        </w:tc>
        <w:tc>
          <w:tcPr>
            <w:tcW w:type="dxa" w:w="170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规划响应性能</w:t>
            </w:r>
          </w:p>
        </w:tc>
        <w:tc>
          <w:tcPr>
            <w:tcW w:type="dxa" w:w="19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PERF-01</w:t>
            </w:r>
          </w:p>
        </w:tc>
        <w:tc>
          <w:tcPr>
            <w:tcW w:type="dxa" w:w="49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记录算法调用开始至路径输出耗时。</w:t>
            </w:r>
          </w:p>
        </w:tc>
      </w:tr>
      <w:tr>
        <w:trPr>
          <w:cantSplit/>
        </w:trPr>
        <w:tc>
          <w:tcPr>
            <w:tcW w:type="dxa" w:w="87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TC-08</w:t>
            </w:r>
          </w:p>
        </w:tc>
        <w:tc>
          <w:tcPr>
            <w:tcW w:type="dxa" w:w="170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速度与约束</w:t>
            </w:r>
          </w:p>
        </w:tc>
        <w:tc>
          <w:tcPr>
            <w:tcW w:type="dxa" w:w="19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MOT-01, MOT-02</w:t>
            </w:r>
          </w:p>
        </w:tc>
        <w:tc>
          <w:tcPr>
            <w:tcW w:type="dxa" w:w="49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验证不超过 1.0 m/s 及确认的加速度边界。</w:t>
            </w:r>
          </w:p>
        </w:tc>
      </w:tr>
      <w:tr>
        <w:trPr>
          <w:cantSplit/>
        </w:trPr>
        <w:tc>
          <w:tcPr>
            <w:tcW w:type="dxa" w:w="87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TC-09</w:t>
            </w:r>
          </w:p>
        </w:tc>
        <w:tc>
          <w:tcPr>
            <w:tcW w:type="dxa" w:w="170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8 小时连续运行</w:t>
            </w:r>
          </w:p>
        </w:tc>
        <w:tc>
          <w:tcPr>
            <w:tcW w:type="dxa" w:w="19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PERF-02</w:t>
            </w:r>
          </w:p>
        </w:tc>
        <w:tc>
          <w:tcPr>
            <w:tcW w:type="dxa" w:w="493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6"/>
              </w:rPr>
              <w:t>记录运行与中断事件。</w:t>
            </w:r>
          </w:p>
        </w:tc>
      </w:tr>
    </w:tbl>
    <w:p>
      <w:pPr>
        <w:spacing w:after="20"/>
      </w:pPr>
    </w:p>
    <w:p>
      <w:pPr>
        <w:pStyle w:val="Heading2"/>
      </w:pPr>
      <w:r>
        <w:t>7.2 验收统计与证据</w:t>
      </w:r>
    </w:p>
    <w:p>
      <w:r>
        <w:t>每个测试用例应记录测试时间、软件版本、地图版本、现场环境、起终点、障碍场景、机器人运行状态、任务是否成功、日志与异常处理。静态导航成功率按约定样本量计算；动态避障先明确安全距离、测试速度和判定方式。</w:t>
      </w:r>
    </w:p>
    <w:p>
      <w:pPr>
        <w:pStyle w:val="SmallNote"/>
      </w:pPr>
      <w:r>
        <w:t>正式运动测试需现场审批、风险评估及甲方负责底盘的安全措施。S3/S4 静态可视化验证不能替代真实导航性能验收。</w:t>
      </w:r>
    </w:p>
    <w:p>
      <w:pPr>
        <w:pStyle w:val="Heading2"/>
      </w:pPr>
      <w:r>
        <w:t>7.3 交付清单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9"/>
        <w:gridCol w:w="2126"/>
        <w:gridCol w:w="6094"/>
      </w:tblGrid>
      <w:tr>
        <w:trPr>
          <w:tblHeader w:val="true"/>
        </w:trPr>
        <w:tc>
          <w:tcPr>
            <w:tcW w:type="dxa" w:w="1219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126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6094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7"/>
              </w:rPr>
              <w:t>最低内容</w:t>
            </w:r>
          </w:p>
        </w:tc>
      </w:tr>
      <w:tr>
        <w:trPr>
          <w:cantSplit/>
        </w:trPr>
        <w:tc>
          <w:tcPr>
            <w:tcW w:type="dxa" w:w="12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DEL-01</w:t>
            </w:r>
          </w:p>
        </w:tc>
        <w:tc>
          <w:tcPr>
            <w:tcW w:type="dxa" w:w="212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算法源码</w:t>
            </w:r>
          </w:p>
        </w:tc>
        <w:tc>
          <w:tcPr>
            <w:tcW w:type="dxa" w:w="609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全局规划、局部导航、动态避障和阻断恢复相关实现与依赖说明。</w:t>
            </w:r>
          </w:p>
        </w:tc>
      </w:tr>
      <w:tr>
        <w:trPr>
          <w:cantSplit/>
        </w:trPr>
        <w:tc>
          <w:tcPr>
            <w:tcW w:type="dxa" w:w="12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DEL-02</w:t>
            </w:r>
          </w:p>
        </w:tc>
        <w:tc>
          <w:tcPr>
            <w:tcW w:type="dxa" w:w="212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参数配置文件</w:t>
            </w:r>
          </w:p>
        </w:tc>
        <w:tc>
          <w:tcPr>
            <w:tcW w:type="dxa" w:w="609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运行参数、底盘约束、地图/感知/定位接口配置。</w:t>
            </w:r>
          </w:p>
        </w:tc>
      </w:tr>
      <w:tr>
        <w:trPr>
          <w:cantSplit/>
        </w:trPr>
        <w:tc>
          <w:tcPr>
            <w:tcW w:type="dxa" w:w="12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DEL-03</w:t>
            </w:r>
          </w:p>
        </w:tc>
        <w:tc>
          <w:tcPr>
            <w:tcW w:type="dxa" w:w="212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部署说明</w:t>
            </w:r>
          </w:p>
        </w:tc>
        <w:tc>
          <w:tcPr>
            <w:tcW w:type="dxa" w:w="609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环境依赖、构建步骤、版本记录、启动停止和回滚原则。</w:t>
            </w:r>
          </w:p>
        </w:tc>
      </w:tr>
      <w:tr>
        <w:trPr>
          <w:cantSplit/>
        </w:trPr>
        <w:tc>
          <w:tcPr>
            <w:tcW w:type="dxa" w:w="12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DEL-04</w:t>
            </w:r>
          </w:p>
        </w:tc>
        <w:tc>
          <w:tcPr>
            <w:tcW w:type="dxa" w:w="212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调试与故障处理说明</w:t>
            </w:r>
          </w:p>
        </w:tc>
        <w:tc>
          <w:tcPr>
            <w:tcW w:type="dxa" w:w="609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keepNext/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常见输入无效、定位失败、障碍阻断等诊断思路。</w:t>
            </w:r>
          </w:p>
        </w:tc>
      </w:tr>
      <w:tr>
        <w:trPr>
          <w:cantSplit/>
        </w:trPr>
        <w:tc>
          <w:tcPr>
            <w:tcW w:type="dxa" w:w="12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DEL-05</w:t>
            </w:r>
          </w:p>
        </w:tc>
        <w:tc>
          <w:tcPr>
            <w:tcW w:type="dxa" w:w="212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测试报告与记录</w:t>
            </w:r>
          </w:p>
        </w:tc>
        <w:tc>
          <w:tcPr>
            <w:tcW w:type="dxa" w:w="609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用例、过程数据、问题清单、修复与复测结论。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2" w:color="126785"/>
        </w:pBdr>
      </w:pPr>
      <w:r>
        <w:t>08  待确认事项与变更管理</w:t>
      </w:r>
    </w:p>
    <w:p>
      <w:r>
        <w:t>下列事项在原始需求中没有足够明确的数值或实现约束，应在联调前通过评审纪要、接口协议或验收附件书面固化。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742"/>
        <w:gridCol w:w="4564"/>
      </w:tblGrid>
      <w:tr>
        <w:trPr>
          <w:tblHeader w:val="true"/>
        </w:trPr>
        <w:tc>
          <w:tcPr>
            <w:tcW w:type="dxa" w:w="1134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742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7"/>
              </w:rPr>
              <w:t>待确认事项</w:t>
            </w:r>
          </w:p>
        </w:tc>
        <w:tc>
          <w:tcPr>
            <w:tcW w:type="dxa" w:w="4564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7"/>
              </w:rPr>
              <w:t>为什么需要确认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OPEN-01</w:t>
            </w:r>
          </w:p>
        </w:tc>
        <w:tc>
          <w:tcPr>
            <w:tcW w:type="dxa" w:w="374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静态成功率样本量、判定规则及排除条件</w:t>
            </w:r>
          </w:p>
        </w:tc>
        <w:tc>
          <w:tcPr>
            <w:tcW w:type="dxa" w:w="45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保障 ≥95% 可重复验证。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OPEN-02</w:t>
            </w:r>
          </w:p>
        </w:tc>
        <w:tc>
          <w:tcPr>
            <w:tcW w:type="dxa" w:w="374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500 ms 统计口径、计算硬件与典型场景</w:t>
            </w:r>
          </w:p>
        </w:tc>
        <w:tc>
          <w:tcPr>
            <w:tcW w:type="dxa" w:w="45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明确规划性能测试边界。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OPEN-03</w:t>
            </w:r>
          </w:p>
        </w:tc>
        <w:tc>
          <w:tcPr>
            <w:tcW w:type="dxa" w:w="374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动态障碍速度、间距、安全距离与通过标准</w:t>
            </w:r>
          </w:p>
        </w:tc>
        <w:tc>
          <w:tcPr>
            <w:tcW w:type="dxa" w:w="45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原文仅要求安全运行，无定量阈值。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OPEN-04</w:t>
            </w:r>
          </w:p>
        </w:tc>
        <w:tc>
          <w:tcPr>
            <w:tcW w:type="dxa" w:w="374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机器人外形、安全包络、加速度和运动模型</w:t>
            </w:r>
          </w:p>
        </w:tc>
        <w:tc>
          <w:tcPr>
            <w:tcW w:type="dxa" w:w="45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决定路径可执行性和碰撞约束。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OPEN-05</w:t>
            </w:r>
          </w:p>
        </w:tc>
        <w:tc>
          <w:tcPr>
            <w:tcW w:type="dxa" w:w="374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地图、位姿、感知、目标、控制接口正式协议</w:t>
            </w:r>
          </w:p>
        </w:tc>
        <w:tc>
          <w:tcPr>
            <w:tcW w:type="dxa" w:w="45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不同 SLAM/SDK 版本可能有名称和行为差异。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OPEN-06</w:t>
            </w:r>
          </w:p>
        </w:tc>
        <w:tc>
          <w:tcPr>
            <w:tcW w:type="dxa" w:w="374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8 小时连续运行负载与中断判定</w:t>
            </w:r>
          </w:p>
        </w:tc>
        <w:tc>
          <w:tcPr>
            <w:tcW w:type="dxa" w:w="45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避免不同测试条件产生争议。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OPEN-07</w:t>
            </w:r>
          </w:p>
        </w:tc>
        <w:tc>
          <w:tcPr>
            <w:tcW w:type="dxa" w:w="374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定位或传感器失效后的控制安全责任</w:t>
            </w:r>
          </w:p>
        </w:tc>
        <w:tc>
          <w:tcPr>
            <w:tcW w:type="dxa" w:w="45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需明确甲乙方停止、门控及恢复边界。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OPEN-08</w:t>
            </w:r>
          </w:p>
        </w:tc>
        <w:tc>
          <w:tcPr>
            <w:tcW w:type="dxa" w:w="374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应用场景包含的道路宽度、坡度、动态障碍密度</w:t>
            </w:r>
          </w:p>
        </w:tc>
        <w:tc>
          <w:tcPr>
            <w:tcW w:type="dxa" w:w="456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原文尚无场景量化边界。</w:t>
            </w:r>
          </w:p>
        </w:tc>
      </w:tr>
    </w:tbl>
    <w:p>
      <w:pPr>
        <w:spacing w:after="20"/>
      </w:pPr>
    </w:p>
    <w:p>
      <w:pPr>
        <w:pStyle w:val="Heading2"/>
      </w:pPr>
      <w:r>
        <w:t>8.1 变更原则</w:t>
      </w:r>
    </w:p>
    <w:p>
      <w:r>
        <w:t>对原始要求中已有的 1.0 m/s、500 ms、8 小时、95% 等指标，任何调整均应以双方确认的正式变更为准。工程发布包、算法实现或 GUI 控件变化属于集成实现变更，原则上不自动改变本规格说明书的功能范围和验收指标。</w:t>
      </w:r>
    </w:p>
    <w:p>
      <w:pPr>
        <w:pStyle w:val="Heading1"/>
        <w:pBdr>
          <w:bottom w:val="single" w:sz="12" w:color="126785"/>
        </w:pBdr>
      </w:pPr>
      <w:r>
        <w:t>附录 A  推荐模块与内部开发阶段</w:t>
      </w:r>
    </w:p>
    <w:p>
      <w:pPr>
        <w:pStyle w:val="Heading2"/>
      </w:pPr>
      <w:r>
        <w:t>A.1 软件模块建议（非强制实现结构）</w:t>
      </w:r>
    </w:p>
    <w:p>
      <w:r>
        <w:t>原文推荐的模块划分为：global_planner、local_planner、obstacle_detector、collision_checker、recovery_behavior、interface、config、test。实际软件包名可随工程演进调整，不应以目录命名是否一致代替功能验收。</w:t>
      </w:r>
    </w:p>
    <w:p>
      <w:pPr>
        <w:pStyle w:val="Heading2"/>
      </w:pPr>
      <w:r>
        <w:t>A.2 内部 S1—S5 分阶段验证参考</w:t>
      </w:r>
    </w:p>
    <w:p>
      <w:r>
        <w:t>S1：原始算法与甲方接口研究；S2：最小 ROS2 感知/建图框架；S3：传感器坐标系单帧感知地图；S4：依赖甲方真实 map TF 的世界坐标累计地图；S5：规划、动态避障与运动控制联调（须独立授权和安全审查）。</w:t>
      </w:r>
    </w:p>
    <w:p>
      <w:pPr>
        <w:pStyle w:val="SmallNote"/>
      </w:pPr>
      <w:r>
        <w:t>S1—S5 是项目内部工程推进方式，不属于原《需求规格说明书》定义的正式验收阶段；不能自动将阶段通过等同于全部导航需求通过。</w:t>
      </w:r>
    </w:p>
    <w:p>
      <w:pPr>
        <w:pStyle w:val="Heading1"/>
        <w:pBdr>
          <w:bottom w:val="single" w:sz="12" w:color="126785"/>
        </w:pBdr>
      </w:pPr>
      <w:r>
        <w:t>附录 B  原文需求追溯矩阵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1899"/>
        <w:gridCol w:w="5754"/>
      </w:tblGrid>
      <w:tr>
        <w:trPr>
          <w:tblHeader w:val="true"/>
        </w:trPr>
        <w:tc>
          <w:tcPr>
            <w:tcW w:type="dxa" w:w="1786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7"/>
              </w:rPr>
              <w:t>原文章节</w:t>
            </w:r>
          </w:p>
        </w:tc>
        <w:tc>
          <w:tcPr>
            <w:tcW w:type="dxa" w:w="1899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7"/>
              </w:rPr>
              <w:t>优化版位置</w:t>
            </w:r>
          </w:p>
        </w:tc>
        <w:tc>
          <w:tcPr>
            <w:tcW w:type="dxa" w:w="5754"/>
            <w:shd w:fill="1D435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Noto Sans CJK SC" w:eastAsia="Noto Sans CJK SC"/>
                <w:b/>
                <w:color w:val="FFFFFF"/>
                <w:sz w:val="17"/>
              </w:rPr>
              <w:t>保留要点</w:t>
            </w:r>
          </w:p>
        </w:tc>
      </w:tr>
      <w:tr>
        <w:trPr>
          <w:cantSplit/>
        </w:trPr>
        <w:tc>
          <w:tcPr>
            <w:tcW w:type="dxa" w:w="178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§1 项目概述</w:t>
            </w:r>
          </w:p>
        </w:tc>
        <w:tc>
          <w:tcPr>
            <w:tcW w:type="dxa" w:w="189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1.1—1.3</w:t>
            </w:r>
          </w:p>
        </w:tc>
        <w:tc>
          <w:tcPr>
            <w:tcW w:type="dxa" w:w="575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医药生产/流通/仓储、复杂室内自主导航。</w:t>
            </w:r>
          </w:p>
        </w:tc>
      </w:tr>
      <w:tr>
        <w:trPr>
          <w:cantSplit/>
        </w:trPr>
        <w:tc>
          <w:tcPr>
            <w:tcW w:type="dxa" w:w="178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§2 职责划分</w:t>
            </w:r>
          </w:p>
        </w:tc>
        <w:tc>
          <w:tcPr>
            <w:tcW w:type="dxa" w:w="189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第 2 章</w:t>
            </w:r>
          </w:p>
        </w:tc>
        <w:tc>
          <w:tcPr>
            <w:tcW w:type="dxa" w:w="575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甲乙方职责不变。</w:t>
            </w:r>
          </w:p>
        </w:tc>
      </w:tr>
      <w:tr>
        <w:trPr>
          <w:cantSplit/>
        </w:trPr>
        <w:tc>
          <w:tcPr>
            <w:tcW w:type="dxa" w:w="178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§3 总体需求</w:t>
            </w:r>
          </w:p>
        </w:tc>
        <w:tc>
          <w:tcPr>
            <w:tcW w:type="dxa" w:w="189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第 3—4 章</w:t>
            </w:r>
          </w:p>
        </w:tc>
        <w:tc>
          <w:tcPr>
            <w:tcW w:type="dxa" w:w="575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地图导航、实时轨迹调整、动态避障和恢复。</w:t>
            </w:r>
          </w:p>
        </w:tc>
      </w:tr>
      <w:tr>
        <w:trPr>
          <w:cantSplit/>
        </w:trPr>
        <w:tc>
          <w:tcPr>
            <w:tcW w:type="dxa" w:w="178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§4 全局路径规划</w:t>
            </w:r>
          </w:p>
        </w:tc>
        <w:tc>
          <w:tcPr>
            <w:tcW w:type="dxa" w:w="189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NAV-01</w:t>
            </w:r>
          </w:p>
        </w:tc>
        <w:tc>
          <w:tcPr>
            <w:tcW w:type="dxa" w:w="575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地图、位姿、目标 → 全局路径。</w:t>
            </w:r>
          </w:p>
        </w:tc>
      </w:tr>
      <w:tr>
        <w:trPr>
          <w:cantSplit/>
        </w:trPr>
        <w:tc>
          <w:tcPr>
            <w:tcW w:type="dxa" w:w="178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§5 局部导航规划</w:t>
            </w:r>
          </w:p>
        </w:tc>
        <w:tc>
          <w:tcPr>
            <w:tcW w:type="dxa" w:w="189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NAV-02</w:t>
            </w:r>
          </w:p>
        </w:tc>
        <w:tc>
          <w:tcPr>
            <w:tcW w:type="dxa" w:w="575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局部轨迹、速度指令、响应与约束。</w:t>
            </w:r>
          </w:p>
        </w:tc>
      </w:tr>
      <w:tr>
        <w:trPr>
          <w:cantSplit/>
        </w:trPr>
        <w:tc>
          <w:tcPr>
            <w:tcW w:type="dxa" w:w="178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§6 动态避障</w:t>
            </w:r>
          </w:p>
        </w:tc>
        <w:tc>
          <w:tcPr>
            <w:tcW w:type="dxa" w:w="189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OBS-01 / OBS-02</w:t>
            </w:r>
          </w:p>
        </w:tc>
        <w:tc>
          <w:tcPr>
            <w:tcW w:type="dxa" w:w="575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人员、AGV、临时物料、避让和恢复。</w:t>
            </w:r>
          </w:p>
        </w:tc>
      </w:tr>
      <w:tr>
        <w:trPr>
          <w:cantSplit/>
        </w:trPr>
        <w:tc>
          <w:tcPr>
            <w:tcW w:type="dxa" w:w="178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§7 阻断恢复</w:t>
            </w:r>
          </w:p>
        </w:tc>
        <w:tc>
          <w:tcPr>
            <w:tcW w:type="dxa" w:w="189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REC-01 / SAFE-01</w:t>
            </w:r>
          </w:p>
        </w:tc>
        <w:tc>
          <w:tcPr>
            <w:tcW w:type="dxa" w:w="575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局部绕行、重规划、等待或安全停止。</w:t>
            </w:r>
          </w:p>
        </w:tc>
      </w:tr>
      <w:tr>
        <w:trPr>
          <w:cantSplit/>
        </w:trPr>
        <w:tc>
          <w:tcPr>
            <w:tcW w:type="dxa" w:w="178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§8 运动约束</w:t>
            </w:r>
          </w:p>
        </w:tc>
        <w:tc>
          <w:tcPr>
            <w:tcW w:type="dxa" w:w="189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MOT-01—MOT-03</w:t>
            </w:r>
          </w:p>
        </w:tc>
        <w:tc>
          <w:tcPr>
            <w:tcW w:type="dxa" w:w="575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尺寸、速度、加速度、半径、安全距离；速度 ≤1.0m/s。</w:t>
            </w:r>
          </w:p>
        </w:tc>
      </w:tr>
      <w:tr>
        <w:trPr>
          <w:cantSplit/>
        </w:trPr>
        <w:tc>
          <w:tcPr>
            <w:tcW w:type="dxa" w:w="178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§9 性能指标</w:t>
            </w:r>
          </w:p>
        </w:tc>
        <w:tc>
          <w:tcPr>
            <w:tcW w:type="dxa" w:w="189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PERF-01—PERF-04</w:t>
            </w:r>
          </w:p>
        </w:tc>
        <w:tc>
          <w:tcPr>
            <w:tcW w:type="dxa" w:w="575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500ms、8h、静态成功率 ≥95%、动态安全。</w:t>
            </w:r>
          </w:p>
        </w:tc>
      </w:tr>
      <w:tr>
        <w:trPr>
          <w:cantSplit/>
        </w:trPr>
        <w:tc>
          <w:tcPr>
            <w:tcW w:type="dxa" w:w="178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§10 测试需求</w:t>
            </w:r>
          </w:p>
        </w:tc>
        <w:tc>
          <w:tcPr>
            <w:tcW w:type="dxa" w:w="189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7.1—7.2</w:t>
            </w:r>
          </w:p>
        </w:tc>
        <w:tc>
          <w:tcPr>
            <w:tcW w:type="dxa" w:w="575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静态、通道及行人/AGV动态测试。</w:t>
            </w:r>
          </w:p>
        </w:tc>
      </w:tr>
      <w:tr>
        <w:trPr>
          <w:cantSplit/>
        </w:trPr>
        <w:tc>
          <w:tcPr>
            <w:tcW w:type="dxa" w:w="178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§11 软件接口</w:t>
            </w:r>
          </w:p>
        </w:tc>
        <w:tc>
          <w:tcPr>
            <w:tcW w:type="dxa" w:w="189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第 6 章</w:t>
            </w:r>
          </w:p>
        </w:tc>
        <w:tc>
          <w:tcPr>
            <w:tcW w:type="dxa" w:w="575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地图、定位、感知、目标输入和路径/轨迹/速度输出。</w:t>
            </w:r>
          </w:p>
        </w:tc>
      </w:tr>
      <w:tr>
        <w:trPr>
          <w:cantSplit/>
        </w:trPr>
        <w:tc>
          <w:tcPr>
            <w:tcW w:type="dxa" w:w="178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§12 配置与交付</w:t>
            </w:r>
          </w:p>
        </w:tc>
        <w:tc>
          <w:tcPr>
            <w:tcW w:type="dxa" w:w="189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7.3</w:t>
            </w:r>
          </w:p>
        </w:tc>
        <w:tc>
          <w:tcPr>
            <w:tcW w:type="dxa" w:w="575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1F6F8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源码、参数、部署、调试、故障处理、测试报告。</w:t>
            </w:r>
          </w:p>
        </w:tc>
      </w:tr>
      <w:tr>
        <w:trPr>
          <w:cantSplit/>
        </w:trPr>
        <w:tc>
          <w:tcPr>
            <w:tcW w:type="dxa" w:w="178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§13 模块划分</w:t>
            </w:r>
          </w:p>
        </w:tc>
        <w:tc>
          <w:tcPr>
            <w:tcW w:type="dxa" w:w="189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附录 A.1</w:t>
            </w:r>
          </w:p>
        </w:tc>
        <w:tc>
          <w:tcPr>
            <w:tcW w:type="dxa" w:w="575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rial" w:hAnsi="Noto Sans CJK SC" w:eastAsia="Noto Sans CJK SC"/>
                <w:color w:val="242C35"/>
                <w:sz w:val="17"/>
              </w:rPr>
              <w:t>保留原文建议的 8 个模块。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color w:val="56626D"/>
        </w:rPr>
        <w:t>—— 文件结束 ——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62" w:bottom="1049" w:left="1276" w:header="482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Noto Sans CJK SC" w:eastAsia="Noto Sans CJK SC"/>
        <w:color w:val="56626D"/>
        <w:sz w:val="16"/>
      </w:rPr>
      <w:t xml:space="preserve">内部评审稿  ·  原始需求不变  ·  第 </w:t>
    </w:r>
    <w:fldSimple w:instr="PAGE"/>
    <w:r>
      <w:rPr>
        <w:rFonts w:ascii="Arial" w:hAnsi="Noto Sans CJK SC" w:eastAsia="Noto Sans CJK SC"/>
        <w:color w:val="56626D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Noto Sans CJK SC" w:eastAsia="Noto Sans CJK SC"/>
        <w:color w:val="56626D"/>
        <w:sz w:val="16"/>
      </w:rPr>
      <w:t>N-01  导航算法需求规格说明书   |   修订优化版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5" w:lineRule="auto"/>
    </w:pPr>
    <w:rPr>
      <w:rFonts w:ascii="Arial" w:hAnsi="Arial" w:eastAsia="Noto Sans CJK SC"/>
      <w:color w:val="242C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D31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D31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D31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6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D314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60" w:after="320"/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56626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100" w:line="283" w:lineRule="auto"/>
    </w:pPr>
    <w:rPr>
      <w:rFonts w:ascii="Arial" w:hAnsi="Arial" w:eastAsia="Noto Sans CJK SC"/>
      <w:color w:val="56626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N-01 动态障碍物避障导航算法需求规格说明书（优化版）</dc:title>
  <dc:subject>原始需求保留；需求条款编号；验收和集成责任梳理</dc:subject>
  <dc:creator>项目需求整理</dc:creator>
  <cp:keywords>N-01; 导航算法; 需求规格; HiveCore; ROS2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