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35.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author</w:t>
      </w:r>
      <w:r>
        <w:t xml:space="preserve"> </w:t>
      </w:r>
      <w:r>
        <w:t xml:space="preserve">1</w:t>
      </w:r>
    </w:p>
    <w:p>
      <w:pPr>
        <w:pStyle w:val="Author"/>
      </w:pPr>
      <w:r>
        <w:t xml:space="preserve">author</w:t>
      </w:r>
      <w:r>
        <w:t xml:space="preserve"> </w:t>
      </w:r>
      <w:r>
        <w:t xml:space="preserve">2</w:t>
      </w:r>
    </w:p>
    <w:p>
      <w:pPr>
        <w:pStyle w:val="Date"/>
      </w:pPr>
      <w:r>
        <w:t xml:space="preserve">01</w:t>
      </w:r>
      <w:r>
        <w:t xml:space="preserve"> </w:t>
      </w:r>
      <w:r>
        <w:t xml:space="preserve">January,</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pointing-and-clicking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commercial</w:t>
      </w:r>
      <w:r>
        <w:t xml:space="preserve"> </w:t>
      </w:r>
      <w:r>
        <w:t xml:space="preserve">software,</w:t>
      </w:r>
      <w:r>
        <w:t xml:space="preserve"> </w:t>
      </w:r>
      <w:r>
        <w:t xml:space="preserve">to</w:t>
      </w:r>
      <w:r>
        <w:t xml:space="preserve"> </w:t>
      </w:r>
      <w:r>
        <w:t xml:space="preserve">a</w:t>
      </w:r>
      <w:r>
        <w:t xml:space="preserve"> </w:t>
      </w:r>
      <w:r>
        <w:t xml:space="preserve">new</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free</w:t>
      </w:r>
      <w:r>
        <w:t xml:space="preserve"> </w:t>
      </w:r>
      <w:r>
        <w:t xml:space="preserve">and</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the</w:t>
      </w:r>
      <w:r>
        <w:t xml:space="preserve"> </w:t>
      </w:r>
      <w:r>
        <w:t xml:space="preserve">sciences</w:t>
      </w:r>
      <w:r>
        <w:t xml:space="preserve"> </w:t>
      </w:r>
      <w:r>
        <w:t xml:space="preserve">generally</w:t>
      </w:r>
      <w:r>
        <w:t xml:space="preserve"> </w:t>
      </w:r>
      <w:r>
        <w:t xml:space="preserve">and</w:t>
      </w:r>
      <w:r>
        <w:t xml:space="preserve"> </w:t>
      </w:r>
      <w:r>
        <w:t xml:space="preserve">in</w:t>
      </w:r>
      <w:r>
        <w:t xml:space="preserve"> </w:t>
      </w:r>
      <w:r>
        <w:t xml:space="preserve">archaeology</w:t>
      </w:r>
      <w:r>
        <w:t xml:space="preserve"> </w:t>
      </w:r>
      <w:r>
        <w:t xml:space="preserve">in</w:t>
      </w:r>
      <w:r>
        <w:t xml:space="preserve"> </w:t>
      </w:r>
      <w:r>
        <w:t xml:space="preserve">particular</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or</w:t>
      </w:r>
      <w:r>
        <w:t xml:space="preserve"> </w:t>
      </w:r>
      <w:r>
        <w:t xml:space="preserve">some</w:t>
      </w:r>
      <w:r>
        <w:t xml:space="preserve"> </w:t>
      </w:r>
      <w:r>
        <w:t xml:space="preserve">other</w:t>
      </w:r>
      <w:r>
        <w:t xml:space="preserve"> </w:t>
      </w:r>
      <w:r>
        <w:t xml:space="preserve">process.</w:t>
      </w:r>
      <w:r>
        <w:t xml:space="preserve"> </w:t>
      </w:r>
      <w:r>
        <w:t xml:space="preserve">We</w:t>
      </w:r>
      <w:r>
        <w:t xml:space="preserve"> </w:t>
      </w:r>
      <w:r>
        <w:t xml:space="preserve">identify</w:t>
      </w:r>
      <w:r>
        <w:t xml:space="preserve"> </w:t>
      </w:r>
      <w:r>
        <w:t xml:space="preserve">a</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code.</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and whether this might be the beginning of a broader change.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ideas-driven or tool-driven</w:t>
      </w:r>
      <w:r>
        <w:t xml:space="preserve"> </w:t>
      </w:r>
      <w:r>
        <w:t xml:space="preserve">(Dyson 2000; Galison 1997)</w:t>
      </w:r>
      <w:r>
        <w:t xml:space="preserve">. In this light we explore how the disciplines of ecology and archaeology have started to embrace tools that improve the reproducibility of their research. We focus on one set of tools for this change which is based on writing scripts in free and open source programming languages, exemplified by R, and the sharing of these scripts.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be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s-driven-or-tool-driven"/>
      <w:r>
        <w:t xml:space="preserve">Revolutions in Science: Ideas-driven or Tool-driven?</w:t>
      </w:r>
      <w:bookmarkEnd w:id="21"/>
    </w:p>
    <w:p>
      <w:pPr>
        <w:pStyle w:val="FirstParagraph"/>
      </w:pPr>
      <w:r>
        <w:t xml:space="preserve">Philosophers of science disagree if revolutions in science are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 revolution.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a conversion or speciation process where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revolution,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1970s-90s. Clark, similar to Binford and Sabloff</w:t>
      </w:r>
      <w:r>
        <w:t xml:space="preserve"> </w:t>
      </w:r>
      <w:r>
        <w:t xml:space="preserve">(1982)</w:t>
      </w:r>
      <w:r>
        <w:t xml:space="preserve">, identified the North American archaeological paradigm as rooted in anthropology, founded on post-positivist biases, and distinctive with its critical-realist ontology, a modified-objectivist epistemology, and an experimental-manipulative method. In contrast, the European archaeological paradigm is described a kind of history, mostly in a strict empiricist tradition, and typified by a realist ontology, an inductivist epistemology, and by an observational method. Clark’s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more transformational rather than revolutionary.</w:t>
      </w:r>
      <w:r>
        <w:t xml:space="preserve"> </w:t>
      </w:r>
      <w:r>
        <w:t xml:space="preserve">Harris (2012)</w:t>
      </w:r>
      <w:r>
        <w:t xml:space="preserve"> </w:t>
      </w:r>
      <w:r>
        <w:t xml:space="preserve">has similarly argued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about the emergence of agriculture as a parallel, simultaneous event at the start of the Holocene (the Neolithic Revolution), to new concept of the emergence as a protracted and entangled process, happening 20 or so times independently, following different pathways. Most of these paradigms differ in meaning from Kuhn’s classical formulation, and this highlights an important complication with using Kuhn’s concept of a paradigm-shift, both as a tool to understand the history of science and as a guide to changing it, which is the multiple definitions of a paradigm in Kuhn’s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much potential for archaeology. The centrality of material culture in Galison’s view raises the question about whether there is scope for archaeologists to make productive contributions to understanding change in the history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archaeology?</w:t>
      </w:r>
    </w:p>
    <w:p>
      <w:pPr>
        <w:pStyle w:val="Heading1"/>
      </w:pPr>
      <w:bookmarkStart w:id="22" w:name="bibliometric-analysis-of-a-tool-driven-change"/>
      <w:r>
        <w:t xml:space="preserve">Bibliometric analysis of a tool-driven change</w:t>
      </w:r>
      <w:bookmarkEnd w:id="22"/>
    </w:p>
    <w:p>
      <w:pPr>
        <w:pStyle w:val="FirstParagraph"/>
      </w:pPr>
      <w:r>
        <w:t xml:space="preserve">The question of predicting or generating change in scientific practice via adoption of new tools is intriguing, and 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(Anon 1899: 237)</w:t>
      </w:r>
      <w:r>
        <w:t xml:space="preserve">. This tradition continues, for example, many spatial statistics in current use in archaeology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rate at which ecologists collect data. Second, increases in desktop and cluster computing power has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w:t>
      </w:r>
      <w:r>
        <w:t xml:space="preserve"> </w:t>
      </w:r>
      <w:r>
        <w:t xml:space="preserve">Burnham and Anderson (2003)</w:t>
      </w:r>
      <w:r>
        <w:t xml:space="preserve">’s 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with only a small overlap. What they share in common is working with the field-collected data on a computer to prepare it for publication. R is a widely used free and open source data analysis tool in man research communities</w:t>
      </w:r>
      <w:r>
        <w:t xml:space="preserve"> </w:t>
      </w:r>
      <w:r>
        <w:t xml:space="preserve">(Baker 2017; Thieme 2018; Tippmann 2015)</w:t>
      </w:r>
      <w:r>
        <w:t xml:space="preserve"> </w:t>
      </w:r>
      <w:r>
        <w:t xml:space="preserve">and therefore a good proxy for the adoption of open source scientific programming languages in a discipline.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33,326 English-languge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Users/bmarwick/Desktop/caa2018-Tubingen/analysis/figures/all_sciences_citing_R_over_time.png" id="0" name="Picture"/>
                    <pic:cNvPicPr>
                      <a:picLocks noChangeArrowheads="1" noChangeAspect="1"/>
                    </pic:cNvPicPr>
                  </pic:nvPicPr>
                  <pic:blipFill>
                    <a:blip r:embed="rId2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an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41,236 words in 42,451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236 words in 42451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(41236 words in 42451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that is characteristic of non-citing R articles,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make publicly available the code and data that they used to generate the results presented in their article. We identified 35 articles that include R script and data files, either in the supplementary materials or in a trustworthy data repository such as Zenodo, Open Science Framework, Figshare, etc.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confirm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new approach to scientific communication that has also been observed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comes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enable revolutionary change. Openly shared code speeds the widespread adoption of reproducibility as a core tenet of the scientific process, since it frees researchers from the black box that most mouse-driven computers are, and enables researchers to not only rerun the shared analysis, but to gain access to all parameter settings, empowering them to change these and so properly evaluate, extend and reuse the published results. As open source languages such as R (and Python) are free to use, and most trustworthy repositories are also free (such as Zenodo, Open Science Framework, Figshare, etc.), then even researchers with limited resources anywhere in the world can to contribute equally to the research community by using and sharing code. Using and sharing open source code is thus an important action for reducing inequality in the archaeological research community. This is because it enables participation by researchers who are unable to buy software licenses or access face-to-face training.</w:t>
      </w:r>
    </w:p>
    <w:p>
      <w:pPr>
        <w:pStyle w:val="CaptionedFigure"/>
      </w:pPr>
      <w:r>
        <w:drawing>
          <wp:inline>
            <wp:extent cx="5943600" cy="3343275"/>
            <wp:effectExtent b="0" l="0" r="0" t="0"/>
            <wp:docPr descr="Figure 4 Articles in archaeology journals using R for reproducible research (n = 3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(n = 35)</w:t>
      </w:r>
    </w:p>
    <w:p>
      <w:pPr>
        <w:pStyle w:val="Heading2"/>
      </w:pPr>
      <w:bookmarkStart w:id="36" w:name="citation-effects-of-sharing-code"/>
      <w:r>
        <w:t xml:space="preserve">Citation effects of sharing code</w:t>
      </w:r>
      <w:bookmarkEnd w:id="36"/>
    </w:p>
    <w:p>
      <w:pPr>
        <w:pStyle w:val="FirstParagraph"/>
      </w:pPr>
      <w:r>
        <w:t xml:space="preserve">A pragmatic issue relating to widespread changes in scientific practice is what the incentives are for members of the research community to change. This is a concern for researchers that might not be motivated by a desire to adhere to the abstract basic principles of what it means to practice science with integrity. If code sharing has concrete career advantages then we might expect it to be more likely to be part of a tool-drive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have code available. In Figure</w:t>
      </w:r>
      <w:r>
        <w:t xml:space="preserve"> </w:t>
      </w:r>
      <w:r>
        <w:t xml:space="preserve">??</w:t>
      </w:r>
      <w:r>
        <w:t xml:space="preserve"> </w:t>
      </w:r>
      <w:r>
        <w:t xml:space="preserve">we conducted a similar analysis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CaptionedFigure"/>
      </w:pPr>
      <w:r>
        <w:drawing>
          <wp:inline>
            <wp:extent cx="5943600" cy="4456441"/>
            <wp:effectExtent b="0" l="0" r="0" t="0"/>
            <wp:docPr descr="Figure 5 Median citation rates per year for archaeology articles 2010-2017 that cite R (n = 116) and articles that do not cite R (n = 42,335)" title="" id="1" name="Picture"/>
            <a:graphic>
              <a:graphicData uri="http://schemas.openxmlformats.org/drawingml/2006/picture">
                <pic:pic>
                  <pic:nvPicPr>
                    <pic:cNvPr descr="/Users/bmarwick/Desktop/caa2018-Tubingen/analysis/figures/archy_journal_articles_citations_plot_cap.png" id="0" name="Picture"/>
                    <pic:cNvPicPr>
                      <a:picLocks noChangeArrowheads="1" noChangeAspect="1"/>
                    </pic:cNvPicPr>
                  </pic:nvPicPr>
                  <pic:blipFill>
                    <a:blip r:embed="rId37"/>
                    <a:stretch>
                      <a:fillRect/>
                    </a:stretch>
                  </pic:blipFill>
                  <pic:spPr bwMode="auto">
                    <a:xfrm>
                      <a:off x="0" y="0"/>
                      <a:ext cx="5943600" cy="4456441"/>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116) and articles that do not cite R (n = 42,335)</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using natural science methods, and has concrete advantages for authors that publish papers that cite R as they tend to be referenced more often, giving the authors more visibility and influence (see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 efficient way, and easily share this worksflow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evaluate them according to the scientific method.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want to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we feel that with the introduction of computers there has been a gradual and unintended drift away from reproducibility, and thus from scientific practice. In the digital age,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the research has been undertaken using point-and-click software, which obscures and complicates the reproducibility of analyses. By using and sharing code we can undo this drift, and return to a robust scientific practice for archaeology. As we show, the advance of scripting languages takes place mostly in the part of archaeology that is in close contact with natural sciences. These sciences also show a trend of increased emphasis on reproducibility, with journals changing their data and code availability policies, requiring code and data to be published alongside articles</w:t>
      </w:r>
      <w:r>
        <w:t xml:space="preserve"> </w:t>
      </w:r>
      <w:r>
        <w:t xml:space="preserve">(Stodden, Guo and Ma 2013)</w:t>
      </w:r>
      <w:r>
        <w:t xml:space="preserve">. Also in archaeology, more and more funding agencies show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so is archaeological practice changing in the digital age.</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our view is the use use of code is unquestionably archaeology, since it is just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historically changing and sometimes ambiguous ways. Gieryn claims that the cultural authority of science flows from boundary work in professional and political settings where scientists construct a public image for science as a source of credible knowledge, validate their work, and marginalize claims by competitors.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coding. We draw on</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emphasis here is on the function of technology, in the forces that it exercises, with a certain measure of autonomy, on other beings as well as in and through the new realities, it brings into being.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The concept of technicity is relevant here because in contrast to the concept of technological determinism, which puts technology as a force against the human, van der Tuin and Hoel (as well as Cassirer and Simondon) enfold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and further develop the notions of</w:t>
      </w:r>
      <w:r>
        <w:t xml:space="preserve"> </w:t>
      </w:r>
      <w:r>
        <w:t xml:space="preserve">‘</w:t>
      </w:r>
      <w:r>
        <w:t xml:space="preserve">human</w:t>
      </w:r>
      <w:r>
        <w:t xml:space="preserve">’</w:t>
      </w:r>
      <w:r>
        <w:t xml:space="preserve"> </w:t>
      </w:r>
      <w:r>
        <w:t xml:space="preserve">and</w:t>
      </w:r>
      <w:r>
        <w:t xml:space="preserve"> </w:t>
      </w:r>
      <w:r>
        <w:t xml:space="preserve">‘</w:t>
      </w:r>
      <w:r>
        <w:t xml:space="preserve">nature</w:t>
      </w:r>
      <w:r>
        <w:t xml:space="preserve">’</w:t>
      </w:r>
      <w:r>
        <w:t xml:space="preserve"> </w:t>
      </w:r>
      <w:r>
        <w:t xml:space="preserve">(Hoel and Tuin 2013: 190)</w:t>
      </w:r>
      <w:r>
        <w:t xml:space="preserve">. Any change in tools therefore will influence how human researchers interact with their objects of interest and other people in their research community. For example, tools that make the research process more transparent and open should make the research community more open and inclusive to diverse participants and ideas. Using code to</w:t>
      </w:r>
      <w:r>
        <w:t xml:space="preserve"> </w:t>
      </w:r>
      <w:r>
        <w:t xml:space="preserve">‘</w:t>
      </w:r>
      <w:r>
        <w:t xml:space="preserve">stand for</w:t>
      </w:r>
      <w:r>
        <w:t xml:space="preserve">’</w:t>
      </w:r>
      <w:r>
        <w:t xml:space="preserve"> </w:t>
      </w:r>
      <w:r>
        <w:t xml:space="preserve">or represent the research process will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Similarly, the code has to be successfully executed to generate a useful result, just as claims about the past have to be successfully engaged with archaeological evidence to count as plausible. Interestingly it is exactly at the point between continously evolving subjects and objects, where van der Tuin and Hoel place technology and the creation of knowledge</w:t>
      </w:r>
      <w:r>
        <w:t xml:space="preserve"> </w:t>
      </w:r>
      <w:r>
        <w:t xml:space="preserve">(Hoel and Tuin 2013: 199)</w:t>
      </w:r>
      <w:r>
        <w:t xml:space="preserve">. The</w:t>
      </w:r>
      <w:r>
        <w:t xml:space="preserve"> </w:t>
      </w:r>
      <w:r>
        <w:t xml:space="preserve">“</w:t>
      </w:r>
      <w:r>
        <w:t xml:space="preserve">productive back-and-forth</w:t>
      </w:r>
      <w:r>
        <w:t xml:space="preserve">”</w:t>
      </w:r>
      <w:r>
        <w:t xml:space="preserve"> </w:t>
      </w:r>
      <w:r>
        <w:t xml:space="preserve">between all parties may challenge established notions of culture, but also offers a concept of formation through differing, called</w:t>
      </w:r>
      <w:r>
        <w:t xml:space="preserve"> </w:t>
      </w:r>
      <w:r>
        <w:t xml:space="preserve">“</w:t>
      </w:r>
      <w:r>
        <w:t xml:space="preserve">performative correspondence</w:t>
      </w:r>
      <w:r>
        <w:t xml:space="preserve">”</w:t>
      </w:r>
      <w:r>
        <w:t xml:space="preserve"> </w:t>
      </w:r>
      <w:r>
        <w:t xml:space="preserve">(Hoel and Tuin 2013: 201)</w:t>
      </w:r>
      <w:r>
        <w:t xml:space="preserve">. The potential of a certain technology cannot be known before its coming-into-being as it will reflect back on its creation (</w:t>
      </w:r>
      <w:r>
        <w:t xml:space="preserve">“</w:t>
      </w:r>
      <w:r>
        <w:t xml:space="preserve">concretization</w:t>
      </w:r>
      <w:r>
        <w:t xml:space="preserve">”</w:t>
      </w:r>
      <w:r>
        <w:t xml:space="preserve"> </w:t>
      </w:r>
      <w:r>
        <w:t xml:space="preserve">in Simondon’s terms) as well as interact with other technologies (developed or yet-to-be developed)</w:t>
      </w:r>
      <w:r>
        <w:t xml:space="preserve"> </w:t>
      </w:r>
      <w:r>
        <w:t xml:space="preserve">(Hoel and Tuin 2013: 194)</w:t>
      </w:r>
      <w:r>
        <w:t xml:space="preserve">. Observing how scientific scripting languages have become a concrete tool in ecology leads us to expect predict similar trends in archaeology.</w:t>
      </w:r>
    </w:p>
    <w:p>
      <w:pPr>
        <w:pStyle w:val="BodyText"/>
      </w:pPr>
      <w:r>
        <w:t xml:space="preserve">We do not claim that a Kuhnian paradigm-change is happening in ecology or archaeology: Data- and method-sharing behaviours have been around in archaeology before now and do not present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physical science. Modelling and case studies described by</w:t>
      </w:r>
      <w:r>
        <w:t xml:space="preserve"> </w:t>
      </w:r>
      <w:r>
        <w:t xml:space="preserve">Akerlof and Michaillat (2018)</w:t>
      </w:r>
      <w:r>
        <w:t xml:space="preserve"> </w:t>
      </w:r>
      <w:r>
        <w:t xml:space="preserve">indicate that among discplines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what we can see, though, is that there is a need for methods to share research in a way that is reproducible for others, and that archaeologists are looking for tools to make this possible. Using scripting languages and data repositories to share the scripts is a solution that enjoys increasing popularity in the archaeological research community.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We can also see archaeologists in similar trading zones when using GIS, network methods, agent-based models, isotope analysis, remote sensing, and DNA analysis to answer archaeological questions. Archaeologists’ embrace of, or turn towards, these methods may also be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pay attention to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This efforts is required at the beginning of each archaeological research,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sharing code in public takes a little time to ensure that it is fit for others to read. Our casual observations of the ways in which archaeologists are using and sharing code show a high degree of variability in code style and organisation, indicating that currently most archaeologists are independantly solving problems of how to write and share code through trial and error. This situation of guided variation (learning by trial and error) suggests that using code is not yet widespread enough among archaeologists to propagate due to frequency-dependant biases. It also suggests that the professional benefits (i.e. citation effects) are not yet widely known for code use behaviours to propagate due to content biases, and finally that there are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suggests to us that there is unrealised potential to improve the efficiency of using and code in archaeology by converging on some widely-agreed upon conventions that save time and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that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This is important for two reasons. First, because it tells the reader that the author is happy for their code to be reused by other people.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 It is also important for making collaboration smooth because many people can work on one set of files without losing track of what the most recent version is. Plus it is nice to have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many projects quite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take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will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identifed an advantage of citing R for researchers as it leads to being referenced more often. We also identified a small, but increasing, set of archaeology papers that use R to make their work fully reproducible.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and also in this way supporting the practice of archaeology that is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that there is currently a shortage of incentives to motivate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practices and disciplinary norms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an community-wide scale, such as a shift to the wide-spread use of code among archaeologists, is most likely to happen via the slow enculturation of people as they internalize norms during their formative years, and not via contemporaneous exposure to external cultural influences</w:t>
      </w:r>
      <w:r>
        <w:t xml:space="preserve"> </w:t>
      </w:r>
      <w:r>
        <w:t xml:space="preserve">(Vaisey and Lizardo 2016)</w:t>
      </w:r>
      <w:r>
        <w:t xml:space="preserve">. This means it is unlikely that a professional archaeologist reading this paper, or ones like it, will be motivated to use code if they were not trained to work with code at the start of their career. The implication here is that the most effective way to stimulate this change is during the formative years of professional training. This means updating our professional training curricula by shifting from a model of creating T-shaped researchers (where the vertical bar on the T represents the depth of specialist skills and expertise in archaeology, whereas the horizontal bar is the bredth of skills and knowledge of related and intersecting fields) to gamma-shaped researchers</w:t>
      </w:r>
      <w:r>
        <w:t xml:space="preserve"> </w:t>
      </w:r>
      <w:r>
        <w:t xml:space="preserve">(Fiore-Gartland 2017)</w:t>
      </w:r>
      <w:r>
        <w:t xml:space="preserve">. A gamma-shaped researcher has expert-level depth in archaeology, and is versed and proficient in other domains the provide skills such as analysing data with a programming language. A gamma-shaped researcher with their MA or PhD in archaeology may also be conversant in the language and culture of computer science enough to have conversations and collaborate in the trading zone, but does not need to be an expert in computer science to advance that discipline.</w:t>
      </w:r>
    </w:p>
    <w:p>
      <w:pPr>
        <w:pStyle w:val="Heading2"/>
      </w:pPr>
      <w:bookmarkStart w:id="42" w:name="acknowledgements"/>
      <w:r>
        <w:t xml:space="preserve">Acknowledgements</w:t>
      </w:r>
      <w:bookmarkEnd w:id="42"/>
    </w:p>
    <w:p>
      <w:pPr>
        <w:pStyle w:val="FirstParagraph"/>
      </w:pPr>
      <w:r>
        <w:t xml:space="preserve">Our project comes from the group who took part in the 2017 Summer School on Reproducible Research in Landscape Archaeology at the Freie Universität Berlin (17-21 July), funded and jointly organized by Excellence Cluster 264 Topoi, the Collaborative Research Center 1266, and ISAAKiel.</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63"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Montelius_1899"/>
    <w:p>
      <w:pPr>
        <w:pStyle w:val="BodyText"/>
      </w:pPr>
      <w:r>
        <w:t xml:space="preserve">Anon 1899 Typologien eller utvecklingsläran tillämpad på det menskliga arbetet, (10): 237–268.</w:t>
      </w:r>
    </w:p>
    <w:bookmarkEnd w:id="49"/>
    <w:bookmarkStart w:id="51"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0">
        <w:r>
          <w:rPr>
            <w:rStyle w:val="Hyperlink"/>
          </w:rPr>
          <w:t xml:space="preserve">https://doi.org/10.1038/nj7638-563a</w:t>
        </w:r>
      </w:hyperlink>
      <w:r>
        <w:t xml:space="preserve">.</w:t>
      </w:r>
    </w:p>
    <w:bookmarkEnd w:id="51"/>
    <w:bookmarkStart w:id="53"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2">
        <w:r>
          <w:rPr>
            <w:rStyle w:val="Hyperlink"/>
          </w:rPr>
          <w:t xml:space="preserve">https://doi.org/10.1038/467753a</w:t>
        </w:r>
      </w:hyperlink>
      <w:r>
        <w:t xml:space="preserve">.</w:t>
      </w:r>
    </w:p>
    <w:bookmarkEnd w:id="53"/>
    <w:bookmarkStart w:id="54"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4"/>
    <w:bookmarkStart w:id="55"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5"/>
    <w:bookmarkStart w:id="56" w:name="ref-binford1982paradigms"/>
    <w:p>
      <w:pPr>
        <w:pStyle w:val="BodyText"/>
      </w:pPr>
      <w:r>
        <w:t xml:space="preserve">Binford, L R and Sabloff, J A 1982 Paradigms, systematics, and archaeology,</w:t>
      </w:r>
      <w:r>
        <w:t xml:space="preserve"> </w:t>
      </w:r>
      <w:r>
        <w:rPr>
          <w:i/>
        </w:rPr>
        <w:t xml:space="preserve">Journal of Anthropological Research</w:t>
      </w:r>
      <w:r>
        <w:t xml:space="preserve">, 38(2): 137–153.</w:t>
      </w:r>
    </w:p>
    <w:bookmarkEnd w:id="56"/>
    <w:bookmarkStart w:id="57"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7"/>
    <w:bookmarkStart w:id="59"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8">
        <w:r>
          <w:rPr>
            <w:rStyle w:val="Hyperlink"/>
          </w:rPr>
          <w:t xml:space="preserve">https://doi.org/10.1080/09332480.2014.965635</w:t>
        </w:r>
      </w:hyperlink>
      <w:r>
        <w:t xml:space="preserve">.</w:t>
      </w:r>
    </w:p>
    <w:bookmarkEnd w:id="59"/>
    <w:bookmarkStart w:id="60"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0"/>
    <w:bookmarkStart w:id="62"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1">
        <w:r>
          <w:rPr>
            <w:rStyle w:val="Hyperlink"/>
          </w:rPr>
          <w:t xml:space="preserve">https://doi.org/10.1128/mBio.00158-16</w:t>
        </w:r>
      </w:hyperlink>
      <w:r>
        <w:t xml:space="preserve">.</w:t>
      </w:r>
    </w:p>
    <w:bookmarkEnd w:id="62"/>
    <w:bookmarkStart w:id="63"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3"/>
    <w:bookmarkStart w:id="64"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4"/>
    <w:bookmarkStart w:id="66"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5">
        <w:r>
          <w:rPr>
            <w:rStyle w:val="Hyperlink"/>
          </w:rPr>
          <w:t xml:space="preserve">https://doi.org/10.1007/BF01326535</w:t>
        </w:r>
      </w:hyperlink>
      <w:r>
        <w:t xml:space="preserve">.</w:t>
      </w:r>
    </w:p>
    <w:bookmarkEnd w:id="66"/>
    <w:bookmarkStart w:id="67" w:name="ref-clarke1973archaeology"/>
    <w:p>
      <w:pPr>
        <w:pStyle w:val="BodyText"/>
      </w:pPr>
      <w:r>
        <w:t xml:space="preserve">Clarke, D 1973 Archaeology: The loss of innocence,</w:t>
      </w:r>
      <w:r>
        <w:t xml:space="preserve"> </w:t>
      </w:r>
      <w:r>
        <w:rPr>
          <w:i/>
        </w:rPr>
        <w:t xml:space="preserve">Antiquity</w:t>
      </w:r>
      <w:r>
        <w:t xml:space="preserve">, 47(185): 6–18.</w:t>
      </w:r>
    </w:p>
    <w:bookmarkEnd w:id="67"/>
    <w:bookmarkStart w:id="69"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8">
        <w:r>
          <w:rPr>
            <w:rStyle w:val="Hyperlink"/>
          </w:rPr>
          <w:t xml:space="preserve">https://doi.org/10.1017/S104909651300173X</w:t>
        </w:r>
      </w:hyperlink>
      <w:r>
        <w:t xml:space="preserve">.</w:t>
      </w:r>
    </w:p>
    <w:bookmarkEnd w:id="69"/>
    <w:bookmarkStart w:id="70"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0"/>
    <w:bookmarkStart w:id="71"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1"/>
    <w:bookmarkStart w:id="73"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2">
        <w:r>
          <w:rPr>
            <w:rStyle w:val="Hyperlink"/>
          </w:rPr>
          <w:t xml:space="preserve">https://doi.org/10.1038/nn.4579</w:t>
        </w:r>
      </w:hyperlink>
      <w:r>
        <w:t xml:space="preserve">.</w:t>
      </w:r>
    </w:p>
    <w:bookmarkEnd w:id="73"/>
    <w:bookmarkStart w:id="75"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4">
        <w:r>
          <w:rPr>
            <w:rStyle w:val="Hyperlink"/>
          </w:rPr>
          <w:t xml:space="preserve">http://journal.caa-international.org/about/submissions/</w:t>
        </w:r>
      </w:hyperlink>
      <w:r>
        <w:t xml:space="preserve"> </w:t>
      </w:r>
      <w:r>
        <w:t xml:space="preserve">[Last accessed 18 December 2018].</w:t>
      </w:r>
    </w:p>
    <w:bookmarkEnd w:id="75"/>
    <w:bookmarkStart w:id="77"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6">
        <w:r>
          <w:rPr>
            <w:rStyle w:val="Hyperlink"/>
          </w:rPr>
          <w:t xml:space="preserve">https://doi.org/10.1371/journal.pcbi.1000482</w:t>
        </w:r>
      </w:hyperlink>
      <w:r>
        <w:t xml:space="preserve">.</w:t>
      </w:r>
    </w:p>
    <w:bookmarkEnd w:id="77"/>
    <w:bookmarkStart w:id="78" w:name="ref-Fiore_Gartland_2017"/>
    <w:p>
      <w:pPr>
        <w:pStyle w:val="BodyText"/>
      </w:pPr>
      <w:r>
        <w:t xml:space="preserve">Fiore-Gartland, B 2017</w:t>
      </w:r>
      <w:r>
        <w:t xml:space="preserve"> </w:t>
      </w:r>
      <w:r>
        <w:rPr>
          <w:i/>
        </w:rPr>
        <w:t xml:space="preserve">Hacked ethnographic fieldnotes</w:t>
      </w:r>
      <w:r>
        <w:t xml:space="preserve">.</w:t>
      </w:r>
    </w:p>
    <w:bookmarkEnd w:id="78"/>
    <w:bookmarkStart w:id="80"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79">
        <w:r>
          <w:rPr>
            <w:rStyle w:val="Hyperlink"/>
          </w:rPr>
          <w:t xml:space="preserve">https://doi.org/10.1111/j.1939-3466.2010.00010.x</w:t>
        </w:r>
      </w:hyperlink>
      <w:r>
        <w:t xml:space="preserve">.</w:t>
      </w:r>
    </w:p>
    <w:bookmarkEnd w:id="80"/>
    <w:bookmarkStart w:id="81"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1"/>
    <w:bookmarkStart w:id="82"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2"/>
    <w:bookmarkStart w:id="83"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3"/>
    <w:bookmarkStart w:id="85"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4">
        <w:r>
          <w:rPr>
            <w:rStyle w:val="Hyperlink"/>
          </w:rPr>
          <w:t xml:space="preserve">https://doi.org/10.1080/1357627021000025487</w:t>
        </w:r>
      </w:hyperlink>
      <w:r>
        <w:t xml:space="preserve">.</w:t>
      </w:r>
    </w:p>
    <w:bookmarkEnd w:id="85"/>
    <w:bookmarkStart w:id="86"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6"/>
    <w:bookmarkStart w:id="88"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7">
        <w:r>
          <w:rPr>
            <w:rStyle w:val="Hyperlink"/>
          </w:rPr>
          <w:t xml:space="preserve">https://doi.org/10.1007/s13347-012-0092-5</w:t>
        </w:r>
      </w:hyperlink>
      <w:r>
        <w:t xml:space="preserve">.</w:t>
      </w:r>
    </w:p>
    <w:bookmarkEnd w:id="88"/>
    <w:bookmarkStart w:id="89"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89"/>
    <w:bookmarkStart w:id="91"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0">
        <w:r>
          <w:rPr>
            <w:rStyle w:val="Hyperlink"/>
          </w:rPr>
          <w:t xml:space="preserve">https://doi.org/10.1515/9783110440171-003</w:t>
        </w:r>
      </w:hyperlink>
      <w:r>
        <w:t xml:space="preserve">.</w:t>
      </w:r>
    </w:p>
    <w:bookmarkEnd w:id="91"/>
    <w:bookmarkStart w:id="93"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2">
        <w:r>
          <w:rPr>
            <w:rStyle w:val="Hyperlink"/>
          </w:rPr>
          <w:t xml:space="preserve">https://doi.org/10.5334/jcaa.6</w:t>
        </w:r>
      </w:hyperlink>
      <w:r>
        <w:t xml:space="preserve">.</w:t>
      </w:r>
    </w:p>
    <w:bookmarkEnd w:id="93"/>
    <w:bookmarkStart w:id="95"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4">
        <w:r>
          <w:rPr>
            <w:rStyle w:val="Hyperlink"/>
          </w:rPr>
          <w:t xml:space="preserve">https://doi.org/10.1038/nature10836</w:t>
        </w:r>
      </w:hyperlink>
      <w:r>
        <w:t xml:space="preserve">.</w:t>
      </w:r>
    </w:p>
    <w:bookmarkEnd w:id="95"/>
    <w:bookmarkStart w:id="97"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6">
        <w:r>
          <w:rPr>
            <w:rStyle w:val="Hyperlink"/>
          </w:rPr>
          <w:t xml:space="preserve">https://doi.org/10.1111/ecoj.12461</w:t>
        </w:r>
      </w:hyperlink>
      <w:r>
        <w:t xml:space="preserve">.</w:t>
      </w:r>
    </w:p>
    <w:bookmarkEnd w:id="97"/>
    <w:bookmarkStart w:id="98"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98"/>
    <w:bookmarkStart w:id="99"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99"/>
    <w:bookmarkStart w:id="101"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0">
        <w:r>
          <w:rPr>
            <w:rStyle w:val="Hyperlink"/>
          </w:rPr>
          <w:t xml:space="preserve">https://doi.org/10.1371/journal.pbio.1002456</w:t>
        </w:r>
      </w:hyperlink>
      <w:r>
        <w:t xml:space="preserve">.</w:t>
      </w:r>
    </w:p>
    <w:bookmarkEnd w:id="101"/>
    <w:bookmarkStart w:id="10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2"/>
    <w:bookmarkStart w:id="104"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3">
        <w:r>
          <w:rPr>
            <w:rStyle w:val="Hyperlink"/>
          </w:rPr>
          <w:t xml:space="preserve">https://doi.org/10.1002/9781119188230.saseas0525</w:t>
        </w:r>
      </w:hyperlink>
      <w:r>
        <w:t xml:space="preserve">.</w:t>
      </w:r>
    </w:p>
    <w:bookmarkEnd w:id="104"/>
    <w:bookmarkStart w:id="105" w:name="ref-Kuhn_1962"/>
    <w:p>
      <w:pPr>
        <w:pStyle w:val="BodyText"/>
      </w:pPr>
      <w:r>
        <w:t xml:space="preserve">Kuhn, T 1962</w:t>
      </w:r>
      <w:r>
        <w:t xml:space="preserve"> </w:t>
      </w:r>
      <w:r>
        <w:rPr>
          <w:i/>
        </w:rPr>
        <w:t xml:space="preserve">The structure of scientific revolutions</w:t>
      </w:r>
      <w:r>
        <w:t xml:space="preserve">. University of Chicago Press.</w:t>
      </w:r>
    </w:p>
    <w:bookmarkEnd w:id="105"/>
    <w:bookmarkStart w:id="107"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06">
        <w:r>
          <w:rPr>
            <w:rStyle w:val="Hyperlink"/>
          </w:rPr>
          <w:t xml:space="preserve">https://doi.org/10.1109/MCSE.2012.38</w:t>
        </w:r>
      </w:hyperlink>
      <w:r>
        <w:t xml:space="preserve">.</w:t>
      </w:r>
    </w:p>
    <w:bookmarkEnd w:id="107"/>
    <w:bookmarkStart w:id="108"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08"/>
    <w:bookmarkStart w:id="110"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09">
        <w:r>
          <w:rPr>
            <w:rStyle w:val="Hyperlink"/>
          </w:rPr>
          <w:t xml:space="preserve">https://doi.org/10.1007/s10816-015-9272-9</w:t>
        </w:r>
      </w:hyperlink>
      <w:r>
        <w:t xml:space="preserve">.</w:t>
      </w:r>
    </w:p>
    <w:bookmarkEnd w:id="110"/>
    <w:bookmarkStart w:id="111"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1"/>
    <w:bookmarkStart w:id="112"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2"/>
    <w:bookmarkStart w:id="114"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3">
        <w:r>
          <w:rPr>
            <w:rStyle w:val="Hyperlink"/>
          </w:rPr>
          <w:t xml:space="preserve">https://doi.org/10.1179/2042458215Y.0000000007</w:t>
        </w:r>
      </w:hyperlink>
      <w:r>
        <w:t xml:space="preserve">.</w:t>
      </w:r>
    </w:p>
    <w:bookmarkEnd w:id="114"/>
    <w:bookmarkStart w:id="116"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15">
        <w:r>
          <w:rPr>
            <w:rStyle w:val="Hyperlink"/>
          </w:rPr>
          <w:t xml:space="preserve">https://doi.org/10.2307/279104</w:t>
        </w:r>
      </w:hyperlink>
      <w:r>
        <w:t xml:space="preserve">.</w:t>
      </w:r>
    </w:p>
    <w:bookmarkEnd w:id="116"/>
    <w:bookmarkStart w:id="118"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17">
        <w:r>
          <w:rPr>
            <w:rStyle w:val="Hyperlink"/>
          </w:rPr>
          <w:t xml:space="preserve">https://doi.org/10.1126/science.1245317</w:t>
        </w:r>
      </w:hyperlink>
      <w:r>
        <w:t xml:space="preserve">.</w:t>
      </w:r>
    </w:p>
    <w:bookmarkEnd w:id="118"/>
    <w:bookmarkStart w:id="119"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19"/>
    <w:bookmarkStart w:id="120"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0"/>
    <w:bookmarkStart w:id="121"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1"/>
    <w:bookmarkStart w:id="123"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2">
        <w:r>
          <w:rPr>
            <w:rStyle w:val="Hyperlink"/>
          </w:rPr>
          <w:t xml:space="preserve">https://doi.org/10.1126/science.aab2374</w:t>
        </w:r>
      </w:hyperlink>
      <w:r>
        <w:t xml:space="preserve">.</w:t>
      </w:r>
    </w:p>
    <w:bookmarkEnd w:id="123"/>
    <w:bookmarkStart w:id="124"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24"/>
    <w:bookmarkStart w:id="125"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25"/>
    <w:bookmarkStart w:id="126" w:name="ref-pearson1998beginning"/>
    <w:p>
      <w:pPr>
        <w:pStyle w:val="BodyText"/>
      </w:pPr>
      <w:r>
        <w:t xml:space="preserve">Pearson, M P 1998 The beginning of wisdom,</w:t>
      </w:r>
      <w:r>
        <w:t xml:space="preserve"> </w:t>
      </w:r>
      <w:r>
        <w:rPr>
          <w:i/>
        </w:rPr>
        <w:t xml:space="preserve">Antiquity</w:t>
      </w:r>
      <w:r>
        <w:t xml:space="preserve">, 72(277): 680–686.</w:t>
      </w:r>
    </w:p>
    <w:bookmarkEnd w:id="126"/>
    <w:bookmarkStart w:id="128"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27">
        <w:r>
          <w:rPr>
            <w:rStyle w:val="Hyperlink"/>
          </w:rPr>
          <w:t xml:space="preserve">https://doi.org/10.1093/biostatistics/kxp014</w:t>
        </w:r>
      </w:hyperlink>
      <w:r>
        <w:t xml:space="preserve">.</w:t>
      </w:r>
    </w:p>
    <w:bookmarkEnd w:id="128"/>
    <w:bookmarkStart w:id="129"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29"/>
    <w:bookmarkStart w:id="130"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0"/>
    <w:bookmarkStart w:id="132"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31">
        <w:r>
          <w:rPr>
            <w:rStyle w:val="Hyperlink"/>
          </w:rPr>
          <w:t xml:space="preserve">https://doi.org/10.1016/j.tics.2010.12.002</w:t>
        </w:r>
      </w:hyperlink>
      <w:r>
        <w:t xml:space="preserve">.</w:t>
      </w:r>
    </w:p>
    <w:bookmarkEnd w:id="132"/>
    <w:bookmarkStart w:id="134"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33">
        <w:r>
          <w:rPr>
            <w:rStyle w:val="Hyperlink"/>
          </w:rPr>
          <w:t xml:space="preserve">https://doi.org/10.1371/journal.pcbi.1003285</w:t>
        </w:r>
      </w:hyperlink>
      <w:r>
        <w:t xml:space="preserve">.</w:t>
      </w:r>
    </w:p>
    <w:bookmarkEnd w:id="134"/>
    <w:bookmarkStart w:id="135"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35"/>
    <w:bookmarkStart w:id="136"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36"/>
    <w:bookmarkStart w:id="138"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37">
        <w:r>
          <w:rPr>
            <w:rStyle w:val="Hyperlink"/>
          </w:rPr>
          <w:t xml:space="preserve">https://doi.org/10.1017/S0959774302000094</w:t>
        </w:r>
      </w:hyperlink>
      <w:r>
        <w:t xml:space="preserve">.</w:t>
      </w:r>
    </w:p>
    <w:bookmarkEnd w:id="138"/>
    <w:bookmarkStart w:id="140"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39">
        <w:r>
          <w:rPr>
            <w:rStyle w:val="Hyperlink"/>
          </w:rPr>
          <w:t xml:space="preserve">https://doi.org/10.1038/d41586-018-05256-0</w:t>
        </w:r>
      </w:hyperlink>
      <w:r>
        <w:t xml:space="preserve">.</w:t>
      </w:r>
    </w:p>
    <w:bookmarkEnd w:id="140"/>
    <w:bookmarkStart w:id="142"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41">
        <w:r>
          <w:rPr>
            <w:rStyle w:val="Hyperlink"/>
          </w:rPr>
          <w:t xml:space="preserve">https://doi.org/10.1371/journal.pone.0067111</w:t>
        </w:r>
      </w:hyperlink>
      <w:r>
        <w:t xml:space="preserve">.</w:t>
      </w:r>
    </w:p>
    <w:bookmarkEnd w:id="142"/>
    <w:bookmarkStart w:id="144"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43">
        <w:r>
          <w:rPr>
            <w:rStyle w:val="Hyperlink"/>
          </w:rPr>
          <w:t xml:space="preserve">https://doi.org/10.1515/opar-2017-0019</w:t>
        </w:r>
      </w:hyperlink>
      <w:r>
        <w:t xml:space="preserve">.</w:t>
      </w:r>
    </w:p>
    <w:bookmarkEnd w:id="144"/>
    <w:bookmarkStart w:id="146" w:name="ref-Thieme_2018"/>
    <w:p>
      <w:pPr>
        <w:pStyle w:val="BodyText"/>
      </w:pPr>
      <w:r>
        <w:t xml:space="preserve">Thieme, N 2018 R generation,</w:t>
      </w:r>
      <w:r>
        <w:t xml:space="preserve"> </w:t>
      </w:r>
      <w:r>
        <w:rPr>
          <w:i/>
        </w:rPr>
        <w:t xml:space="preserve">Significance</w:t>
      </w:r>
      <w:r>
        <w:t xml:space="preserve">, 15(4): 14–19. DOI:</w:t>
      </w:r>
      <w:r>
        <w:t xml:space="preserve"> </w:t>
      </w:r>
      <w:hyperlink r:id="rId145">
        <w:r>
          <w:rPr>
            <w:rStyle w:val="Hyperlink"/>
          </w:rPr>
          <w:t xml:space="preserve">https://doi.org/10.1111/j.1740-9713.2018.01169.x</w:t>
        </w:r>
      </w:hyperlink>
      <w:r>
        <w:t xml:space="preserve">.</w:t>
      </w:r>
    </w:p>
    <w:bookmarkEnd w:id="146"/>
    <w:bookmarkStart w:id="148"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47">
        <w:r>
          <w:rPr>
            <w:rStyle w:val="Hyperlink"/>
          </w:rPr>
          <w:t xml:space="preserve">https://doi.org/10.1038/517109a</w:t>
        </w:r>
      </w:hyperlink>
      <w:r>
        <w:t xml:space="preserve">.</w:t>
      </w:r>
    </w:p>
    <w:bookmarkEnd w:id="148"/>
    <w:bookmarkStart w:id="150"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49">
        <w:r>
          <w:rPr>
            <w:rStyle w:val="Hyperlink"/>
          </w:rPr>
          <w:t xml:space="preserve">https://doi.org/10.1002/ecs2.1394</w:t>
        </w:r>
      </w:hyperlink>
      <w:r>
        <w:t xml:space="preserve">.</w:t>
      </w:r>
    </w:p>
    <w:bookmarkEnd w:id="150"/>
    <w:bookmarkStart w:id="151"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51"/>
    <w:bookmarkStart w:id="152"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52"/>
    <w:bookmarkStart w:id="154"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53">
        <w:r>
          <w:rPr>
            <w:rStyle w:val="Hyperlink"/>
          </w:rPr>
          <w:t xml:space="preserve">https://doi.org/10.1177/2378023116669726</w:t>
        </w:r>
      </w:hyperlink>
      <w:r>
        <w:t xml:space="preserve">.</w:t>
      </w:r>
    </w:p>
    <w:bookmarkEnd w:id="154"/>
    <w:bookmarkStart w:id="155"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55"/>
    <w:bookmarkStart w:id="156"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56"/>
    <w:bookmarkStart w:id="157"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57"/>
    <w:bookmarkStart w:id="159"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58">
        <w:r>
          <w:rPr>
            <w:rStyle w:val="Hyperlink"/>
          </w:rPr>
          <w:t xml:space="preserve">https://doi.org/10.1002/bies.950180902</w:t>
        </w:r>
      </w:hyperlink>
      <w:r>
        <w:t xml:space="preserve">.</w:t>
      </w:r>
    </w:p>
    <w:bookmarkEnd w:id="159"/>
    <w:bookmarkStart w:id="161"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60">
        <w:r>
          <w:rPr>
            <w:rStyle w:val="Hyperlink"/>
          </w:rPr>
          <w:t xml:space="preserve">https://doi.org/10.1371/journal.pcbi.1005510</w:t>
        </w:r>
      </w:hyperlink>
      <w:r>
        <w:t xml:space="preserve">.</w:t>
      </w:r>
    </w:p>
    <w:bookmarkEnd w:id="161"/>
    <w:bookmarkStart w:id="162" w:name="ref-xie2018r"/>
    <w:p>
      <w:pPr>
        <w:pStyle w:val="BodyText"/>
      </w:pPr>
      <w:r>
        <w:t xml:space="preserve">Xie, Y, Allaire, J and Grolemund, G 2018</w:t>
      </w:r>
      <w:r>
        <w:t xml:space="preserve"> </w:t>
      </w:r>
      <w:r>
        <w:rPr>
          <w:i/>
        </w:rPr>
        <w:t xml:space="preserve">R markdown: The definitive guide</w:t>
      </w:r>
      <w:r>
        <w:t xml:space="preserve">. CRC Press.</w:t>
      </w:r>
    </w:p>
    <w:bookmarkEnd w:id="162"/>
    <w:bookmarkEnd w:id="163"/>
    <w:p>
      <w:pPr>
        <w:pStyle w:val="Heading5"/>
      </w:pPr>
      <w:bookmarkStart w:id="164" w:name="pagebreak-1"/>
      <w:r>
        <w:t xml:space="preserve">pagebreak</w:t>
      </w:r>
      <w:bookmarkEnd w:id="164"/>
    </w:p>
    <w:p>
      <w:pPr>
        <w:pStyle w:val="Heading3"/>
      </w:pPr>
      <w:bookmarkStart w:id="165" w:name="colophon"/>
      <w:r>
        <w:t xml:space="preserve">Colophon</w:t>
      </w:r>
      <w:bookmarkEnd w:id="165"/>
    </w:p>
    <w:p>
      <w:pPr>
        <w:pStyle w:val="FirstParagraph"/>
      </w:pPr>
      <w:r>
        <w:t xml:space="preserve">This report was generated on 2019-01-01 03:10:08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macOS  10.14.2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2019-01-01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0.2.0       2017-04-11 [1]</w:t>
      </w:r>
      <w:r>
        <w:br w:type="textWrapping"/>
      </w:r>
      <w:r>
        <w:rPr>
          <w:rStyle w:val="VerbatimChar"/>
        </w:rPr>
        <w:t xml:space="preserve">#&gt;  backports      1.1.3       2018-12-14 [1]</w:t>
      </w:r>
      <w:r>
        <w:br w:type="textWrapping"/>
      </w:r>
      <w:r>
        <w:rPr>
          <w:rStyle w:val="VerbatimChar"/>
        </w:rPr>
        <w:t xml:space="preserve">#&gt;  base64enc      0.1-3       2015-07-28 [1]</w:t>
      </w:r>
      <w:r>
        <w:br w:type="textWrapping"/>
      </w:r>
      <w:r>
        <w:rPr>
          <w:rStyle w:val="VerbatimChar"/>
        </w:rPr>
        <w:t xml:space="preserve">#&gt;  bookdown       0.9         2018-12-21 [1]</w:t>
      </w:r>
      <w:r>
        <w:br w:type="textWrapping"/>
      </w:r>
      <w:r>
        <w:rPr>
          <w:rStyle w:val="VerbatimChar"/>
        </w:rPr>
        <w:t xml:space="preserve">#&gt;  broom          0.5.1       2018-12-05 [1]</w:t>
      </w:r>
      <w:r>
        <w:br w:type="textWrapping"/>
      </w:r>
      <w:r>
        <w:rPr>
          <w:rStyle w:val="VerbatimChar"/>
        </w:rPr>
        <w:t xml:space="preserve">#&gt;  callr          3.1.1       2018-12-21 [1]</w:t>
      </w:r>
      <w:r>
        <w:br w:type="textWrapping"/>
      </w:r>
      <w:r>
        <w:rPr>
          <w:rStyle w:val="VerbatimChar"/>
        </w:rPr>
        <w:t xml:space="preserve">#&gt;  cellranger     1.1.0.9000  2018-11-01 [1]</w:t>
      </w:r>
      <w:r>
        <w:br w:type="textWrapping"/>
      </w:r>
      <w:r>
        <w:rPr>
          <w:rStyle w:val="VerbatimChar"/>
        </w:rPr>
        <w:t xml:space="preserve">#&gt;  checkmate      1.8.5       2017-10-24 [1]</w:t>
      </w:r>
      <w:r>
        <w:br w:type="textWrapping"/>
      </w:r>
      <w:r>
        <w:rPr>
          <w:rStyle w:val="VerbatimChar"/>
        </w:rPr>
        <w:t xml:space="preserve">#&gt;  cli            1.0.1       2018-09-25 [1]</w:t>
      </w:r>
      <w:r>
        <w:br w:type="textWrapping"/>
      </w:r>
      <w:r>
        <w:rPr>
          <w:rStyle w:val="VerbatimChar"/>
        </w:rPr>
        <w:t xml:space="preserve">#&gt;  cluster        2.0.7-1     2018-04-13 [1]</w:t>
      </w:r>
      <w:r>
        <w:br w:type="textWrapping"/>
      </w:r>
      <w:r>
        <w:rPr>
          <w:rStyle w:val="VerbatimChar"/>
        </w:rPr>
        <w:t xml:space="preserve">#&gt;  colorspace     1.3-2       2016-12-14 [1]</w:t>
      </w:r>
      <w:r>
        <w:br w:type="textWrapping"/>
      </w:r>
      <w:r>
        <w:rPr>
          <w:rStyle w:val="VerbatimChar"/>
        </w:rPr>
        <w:t xml:space="preserve">#&gt;  crayon         1.3.4       2018-12-18 [1]</w:t>
      </w:r>
      <w:r>
        <w:br w:type="textWrapping"/>
      </w:r>
      <w:r>
        <w:rPr>
          <w:rStyle w:val="VerbatimChar"/>
        </w:rPr>
        <w:t xml:space="preserve">#&gt;  data.table     1.11.8      2018-09-30 [1]</w:t>
      </w:r>
      <w:r>
        <w:br w:type="textWrapping"/>
      </w:r>
      <w:r>
        <w:rPr>
          <w:rStyle w:val="VerbatimChar"/>
        </w:rPr>
        <w:t xml:space="preserve">#&gt;  desc           1.2.0       2018-05-01 [1]</w:t>
      </w:r>
      <w:r>
        <w:br w:type="textWrapping"/>
      </w:r>
      <w:r>
        <w:rPr>
          <w:rStyle w:val="VerbatimChar"/>
        </w:rPr>
        <w:t xml:space="preserve">#&gt;  devtools       2.0.1       2018-10-26 [1]</w:t>
      </w:r>
      <w:r>
        <w:br w:type="textWrapping"/>
      </w:r>
      <w:r>
        <w:rPr>
          <w:rStyle w:val="VerbatimChar"/>
        </w:rPr>
        <w:t xml:space="preserve">#&gt;  digest         0.6.18      2018-10-10 [1]</w:t>
      </w:r>
      <w:r>
        <w:br w:type="textWrapping"/>
      </w:r>
      <w:r>
        <w:rPr>
          <w:rStyle w:val="VerbatimChar"/>
        </w:rPr>
        <w:t xml:space="preserve">#&gt;  dplyr        * 0.7.99.9000 2018-12-25 [1]</w:t>
      </w:r>
      <w:r>
        <w:br w:type="textWrapping"/>
      </w:r>
      <w:r>
        <w:rPr>
          <w:rStyle w:val="VerbatimChar"/>
        </w:rPr>
        <w:t xml:space="preserve">#&gt;  evaluate       0.12        2018-10-09 [1]</w:t>
      </w:r>
      <w:r>
        <w:br w:type="textWrapping"/>
      </w:r>
      <w:r>
        <w:rPr>
          <w:rStyle w:val="VerbatimChar"/>
        </w:rPr>
        <w:t xml:space="preserve">#&gt;  forcats      * 0.3.0       2018-02-19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1.2.6       2018-08-23 [1]</w:t>
      </w:r>
      <w:r>
        <w:br w:type="textWrapping"/>
      </w:r>
      <w:r>
        <w:rPr>
          <w:rStyle w:val="VerbatimChar"/>
        </w:rPr>
        <w:t xml:space="preserve">#&gt;  generics       0.0.2       2018-11-29 [1]</w:t>
      </w:r>
      <w:r>
        <w:br w:type="textWrapping"/>
      </w:r>
      <w:r>
        <w:rPr>
          <w:rStyle w:val="VerbatimChar"/>
        </w:rPr>
        <w:t xml:space="preserve">#&gt;  ggplot2      * 3.1.0.9000  2018-12-25 [1]</w:t>
      </w:r>
      <w:r>
        <w:br w:type="textWrapping"/>
      </w:r>
      <w:r>
        <w:rPr>
          <w:rStyle w:val="VerbatimChar"/>
        </w:rPr>
        <w:t xml:space="preserve">#&gt;  ggpmisc      * 0.3.0       2018-07-16 [1]</w:t>
      </w:r>
      <w:r>
        <w:br w:type="textWrapping"/>
      </w:r>
      <w:r>
        <w:rPr>
          <w:rStyle w:val="VerbatimChar"/>
        </w:rPr>
        <w:t xml:space="preserve">#&gt;  ggrepel      * 0.8.0       2018-05-09 [1]</w:t>
      </w:r>
      <w:r>
        <w:br w:type="textWrapping"/>
      </w:r>
      <w:r>
        <w:rPr>
          <w:rStyle w:val="VerbatimChar"/>
        </w:rPr>
        <w:t xml:space="preserve">#&gt;  glue         * 1.3.0       2018-10-31 [1]</w:t>
      </w:r>
      <w:r>
        <w:br w:type="textWrapping"/>
      </w:r>
      <w:r>
        <w:rPr>
          <w:rStyle w:val="VerbatimChar"/>
        </w:rPr>
        <w:t xml:space="preserve">#&gt;  gridExtra      2.3         2017-09-09 [1]</w:t>
      </w:r>
      <w:r>
        <w:br w:type="textWrapping"/>
      </w:r>
      <w:r>
        <w:rPr>
          <w:rStyle w:val="VerbatimChar"/>
        </w:rPr>
        <w:t xml:space="preserve">#&gt;  gtable         0.2.0       2016-02-26 [1]</w:t>
      </w:r>
      <w:r>
        <w:br w:type="textWrapping"/>
      </w:r>
      <w:r>
        <w:rPr>
          <w:rStyle w:val="VerbatimChar"/>
        </w:rPr>
        <w:t xml:space="preserve">#&gt;  haven          2.0.0       2018-11-22 [1]</w:t>
      </w:r>
      <w:r>
        <w:br w:type="textWrapping"/>
      </w:r>
      <w:r>
        <w:rPr>
          <w:rStyle w:val="VerbatimChar"/>
        </w:rPr>
        <w:t xml:space="preserve">#&gt;  here           0.1         2017-05-28 [1]</w:t>
      </w:r>
      <w:r>
        <w:br w:type="textWrapping"/>
      </w:r>
      <w:r>
        <w:rPr>
          <w:rStyle w:val="VerbatimChar"/>
        </w:rPr>
        <w:t xml:space="preserve">#&gt;  highr          0.7         2018-06-09 [1]</w:t>
      </w:r>
      <w:r>
        <w:br w:type="textWrapping"/>
      </w:r>
      <w:r>
        <w:rPr>
          <w:rStyle w:val="VerbatimChar"/>
        </w:rPr>
        <w:t xml:space="preserve">#&gt;  Hmisc        * 4.1-1       2018-01-03 [1]</w:t>
      </w:r>
      <w:r>
        <w:br w:type="textWrapping"/>
      </w:r>
      <w:r>
        <w:rPr>
          <w:rStyle w:val="VerbatimChar"/>
        </w:rPr>
        <w:t xml:space="preserve">#&gt;  hms            0.4.2       2018-03-10 [1]</w:t>
      </w:r>
      <w:r>
        <w:br w:type="textWrapping"/>
      </w:r>
      <w:r>
        <w:rPr>
          <w:rStyle w:val="VerbatimChar"/>
        </w:rPr>
        <w:t xml:space="preserve">#&gt;  htmlTable      1.12        2018-05-26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1.21        2018-12-10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0.2.1       2017-10-29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1.2-15      2018-11-01 [1]</w:t>
      </w:r>
      <w:r>
        <w:br w:type="textWrapping"/>
      </w:r>
      <w:r>
        <w:rPr>
          <w:rStyle w:val="VerbatimChar"/>
        </w:rPr>
        <w:t xml:space="preserve">#&gt;  memoise        1.1.0       2017-04-21 [1]</w:t>
      </w:r>
      <w:r>
        <w:br w:type="textWrapping"/>
      </w:r>
      <w:r>
        <w:rPr>
          <w:rStyle w:val="VerbatimChar"/>
        </w:rPr>
        <w:t xml:space="preserve">#&gt;  modelr         0.1.2       2018-05-11 [1]</w:t>
      </w:r>
      <w:r>
        <w:br w:type="textWrapping"/>
      </w:r>
      <w:r>
        <w:rPr>
          <w:rStyle w:val="VerbatimChar"/>
        </w:rPr>
        <w:t xml:space="preserve">#&gt;  munsell        0.5.0       2018-06-12 [1]</w:t>
      </w:r>
      <w:r>
        <w:br w:type="textWrapping"/>
      </w:r>
      <w:r>
        <w:rPr>
          <w:rStyle w:val="VerbatimChar"/>
        </w:rPr>
        <w:t xml:space="preserve">#&gt;  nlme           3.1-137     2018-04-07 [1]</w:t>
      </w:r>
      <w:r>
        <w:br w:type="textWrapping"/>
      </w:r>
      <w:r>
        <w:rPr>
          <w:rStyle w:val="VerbatimChar"/>
        </w:rPr>
        <w:t xml:space="preserve">#&gt;  nnet           7.3-12      2016-02-02 [1]</w:t>
      </w:r>
      <w:r>
        <w:br w:type="textWrapping"/>
      </w:r>
      <w:r>
        <w:rPr>
          <w:rStyle w:val="VerbatimChar"/>
        </w:rPr>
        <w:t xml:space="preserve">#&gt;  pillar         1.3.1.9000  2018-12-23 [1]</w:t>
      </w:r>
      <w:r>
        <w:br w:type="textWrapping"/>
      </w:r>
      <w:r>
        <w:rPr>
          <w:rStyle w:val="VerbatimChar"/>
        </w:rPr>
        <w:t xml:space="preserve">#&gt;  pkgbuild       1.0.2       2018-10-16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png            0.1-7       2013-12-03 [1]</w:t>
      </w:r>
      <w:r>
        <w:br w:type="textWrapping"/>
      </w:r>
      <w:r>
        <w:rPr>
          <w:rStyle w:val="VerbatimChar"/>
        </w:rPr>
        <w:t xml:space="preserve">#&gt;  polynom        1.3-9       2016-12-08 [1]</w:t>
      </w:r>
      <w:r>
        <w:br w:type="textWrapping"/>
      </w:r>
      <w:r>
        <w:rPr>
          <w:rStyle w:val="VerbatimChar"/>
        </w:rPr>
        <w:t xml:space="preserve">#&gt;  prettyunits    1.0.2       2015-07-13 [1]</w:t>
      </w:r>
      <w:r>
        <w:br w:type="textWrapping"/>
      </w:r>
      <w:r>
        <w:rPr>
          <w:rStyle w:val="VerbatimChar"/>
        </w:rPr>
        <w:t xml:space="preserve">#&gt;  processx       3.2.1       2018-12-05 [1]</w:t>
      </w:r>
      <w:r>
        <w:br w:type="textWrapping"/>
      </w:r>
      <w:r>
        <w:rPr>
          <w:rStyle w:val="VerbatimChar"/>
        </w:rPr>
        <w:t xml:space="preserve">#&gt;  ps             1.3.0       2018-12-21 [1]</w:t>
      </w:r>
      <w:r>
        <w:br w:type="textWrapping"/>
      </w:r>
      <w:r>
        <w:rPr>
          <w:rStyle w:val="VerbatimChar"/>
        </w:rPr>
        <w:t xml:space="preserve">#&gt;  purrr        * 0.2.5       2018-05-29 [1]</w:t>
      </w:r>
      <w:r>
        <w:br w:type="textWrapping"/>
      </w:r>
      <w:r>
        <w:rPr>
          <w:rStyle w:val="VerbatimChar"/>
        </w:rPr>
        <w:t xml:space="preserve">#&gt;  R6             2.3.0       2018-10-04 [1]</w:t>
      </w:r>
      <w:r>
        <w:br w:type="textWrapping"/>
      </w:r>
      <w:r>
        <w:rPr>
          <w:rStyle w:val="VerbatimChar"/>
        </w:rPr>
        <w:t xml:space="preserve">#&gt;  RColorBrewer   1.1-2       2014-12-07 [1]</w:t>
      </w:r>
      <w:r>
        <w:br w:type="textWrapping"/>
      </w:r>
      <w:r>
        <w:rPr>
          <w:rStyle w:val="VerbatimChar"/>
        </w:rPr>
        <w:t xml:space="preserve">#&gt;  Rcpp           1.0.0       2018-11-07 [1]</w:t>
      </w:r>
      <w:r>
        <w:br w:type="textWrapping"/>
      </w:r>
      <w:r>
        <w:rPr>
          <w:rStyle w:val="VerbatimChar"/>
        </w:rPr>
        <w:t xml:space="preserve">#&gt;  readr        * 1.3.1       2018-12-21 [1]</w:t>
      </w:r>
      <w:r>
        <w:br w:type="textWrapping"/>
      </w:r>
      <w:r>
        <w:rPr>
          <w:rStyle w:val="VerbatimChar"/>
        </w:rPr>
        <w:t xml:space="preserve">#&gt;  readxl         1.2.0       2018-12-19 [1]</w:t>
      </w:r>
      <w:r>
        <w:br w:type="textWrapping"/>
      </w:r>
      <w:r>
        <w:rPr>
          <w:rStyle w:val="VerbatimChar"/>
        </w:rPr>
        <w:t xml:space="preserve">#&gt;  remotes        2.0.2       2018-10-30 [1]</w:t>
      </w:r>
      <w:r>
        <w:br w:type="textWrapping"/>
      </w:r>
      <w:r>
        <w:rPr>
          <w:rStyle w:val="VerbatimChar"/>
        </w:rPr>
        <w:t xml:space="preserve">#&gt;  rlang          0.3.0.1     2018-10-25 [1]</w:t>
      </w:r>
      <w:r>
        <w:br w:type="textWrapping"/>
      </w:r>
      <w:r>
        <w:rPr>
          <w:rStyle w:val="VerbatimChar"/>
        </w:rPr>
        <w:t xml:space="preserve">#&gt;  rmarkdown      1.11        2018-12-08 [1]</w:t>
      </w:r>
      <w:r>
        <w:br w:type="textWrapping"/>
      </w:r>
      <w:r>
        <w:rPr>
          <w:rStyle w:val="VerbatimChar"/>
        </w:rPr>
        <w:t xml:space="preserve">#&gt;  rpart          4.1-13      2018-02-23 [1]</w:t>
      </w:r>
      <w:r>
        <w:br w:type="textWrapping"/>
      </w:r>
      <w:r>
        <w:rPr>
          <w:rStyle w:val="VerbatimChar"/>
        </w:rPr>
        <w:t xml:space="preserve">#&gt;  rprojroot      1.3-2       2018-01-03 [1]</w:t>
      </w:r>
      <w:r>
        <w:br w:type="textWrapping"/>
      </w:r>
      <w:r>
        <w:rPr>
          <w:rStyle w:val="VerbatimChar"/>
        </w:rPr>
        <w:t xml:space="preserve">#&gt;  rstudioapi     0.8         2018-10-02 [1]</w:t>
      </w:r>
      <w:r>
        <w:br w:type="textWrapping"/>
      </w:r>
      <w:r>
        <w:rPr>
          <w:rStyle w:val="VerbatimChar"/>
        </w:rPr>
        <w:t xml:space="preserve">#&gt;  rvest          0.3.2       2016-06-17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0.5.1       2014-08-09 [1]</w:t>
      </w:r>
      <w:r>
        <w:br w:type="textWrapping"/>
      </w:r>
      <w:r>
        <w:rPr>
          <w:rStyle w:val="VerbatimChar"/>
        </w:rPr>
        <w:t xml:space="preserve">#&gt;  stringi        1.2.4       2018-07-20 [1]</w:t>
      </w:r>
      <w:r>
        <w:br w:type="textWrapping"/>
      </w:r>
      <w:r>
        <w:rPr>
          <w:rStyle w:val="VerbatimChar"/>
        </w:rPr>
        <w:t xml:space="preserve">#&gt;  stringr      * 1.3.1       2018-05-10 [1]</w:t>
      </w:r>
      <w:r>
        <w:br w:type="textWrapping"/>
      </w:r>
      <w:r>
        <w:rPr>
          <w:rStyle w:val="VerbatimChar"/>
        </w:rPr>
        <w:t xml:space="preserve">#&gt;  survival     * 2.43-3      2018-11-26 [1]</w:t>
      </w:r>
      <w:r>
        <w:br w:type="textWrapping"/>
      </w:r>
      <w:r>
        <w:rPr>
          <w:rStyle w:val="VerbatimChar"/>
        </w:rPr>
        <w:t xml:space="preserve">#&gt;  testthat       2.0.1       2018-10-13 [1]</w:t>
      </w:r>
      <w:r>
        <w:br w:type="textWrapping"/>
      </w:r>
      <w:r>
        <w:rPr>
          <w:rStyle w:val="VerbatimChar"/>
        </w:rPr>
        <w:t xml:space="preserve">#&gt;  tibble       * 1.4.99.9006 2018-12-25 [1]</w:t>
      </w:r>
      <w:r>
        <w:br w:type="textWrapping"/>
      </w:r>
      <w:r>
        <w:rPr>
          <w:rStyle w:val="VerbatimChar"/>
        </w:rPr>
        <w:t xml:space="preserve">#&gt;  tidyr        * 0.8.2       2018-10-28 [1]</w:t>
      </w:r>
      <w:r>
        <w:br w:type="textWrapping"/>
      </w:r>
      <w:r>
        <w:rPr>
          <w:rStyle w:val="VerbatimChar"/>
        </w:rPr>
        <w:t xml:space="preserve">#&gt;  tidyselect     0.2.5       2018-10-11 [1]</w:t>
      </w:r>
      <w:r>
        <w:br w:type="textWrapping"/>
      </w:r>
      <w:r>
        <w:rPr>
          <w:rStyle w:val="VerbatimChar"/>
        </w:rPr>
        <w:t xml:space="preserve">#&gt;  tidytext     * 0.2.0       2018-10-17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1.4.0       2018-08-14 [1]</w:t>
      </w:r>
      <w:r>
        <w:br w:type="textWrapping"/>
      </w:r>
      <w:r>
        <w:rPr>
          <w:rStyle w:val="VerbatimChar"/>
        </w:rPr>
        <w:t xml:space="preserve">#&gt;  withr          2.1.2       2018-03-15 [1]</w:t>
      </w:r>
      <w:r>
        <w:br w:type="textWrapping"/>
      </w:r>
      <w:r>
        <w:rPr>
          <w:rStyle w:val="VerbatimChar"/>
        </w:rPr>
        <w:t xml:space="preserve">#&gt;  xfun           0.4         2018-10-23 [1]</w:t>
      </w:r>
      <w:r>
        <w:br w:type="textWrapping"/>
      </w:r>
      <w:r>
        <w:rPr>
          <w:rStyle w:val="VerbatimChar"/>
        </w:rPr>
        <w:t xml:space="preserve">#&gt;  xml2           1.2.0.9000  2018-12-02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(rsheets/cellranger@7ecde54)</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Github (gaborcsardi/crayon@74bee76)</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Github (tidyverse/dplyr@bee3351)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(tidyverse/ggplot2@7f13dfa)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(tidyverse/glue@35c61e9)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3.5.1)                     </w:t>
      </w:r>
      <w:r>
        <w:br w:type="textWrapping"/>
      </w:r>
      <w:r>
        <w:rPr>
          <w:rStyle w:val="VerbatimChar"/>
        </w:rPr>
        <w:t xml:space="preserve">#&gt;  Github (r-lib/pillar@9cc3030)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(tidyverse/tibble@f3b40c2)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(hadley/xml2@de9781d)       </w:t>
      </w:r>
      <w:r>
        <w:br w:type="textWrapping"/>
      </w:r>
      <w:r>
        <w:rPr>
          <w:rStyle w:val="VerbatimChar"/>
        </w:rPr>
        <w:t xml:space="preserve">#&gt;  CRAN (R 3.5.0)                     </w:t>
      </w:r>
      <w:r>
        <w:br w:type="textWrapping"/>
      </w:r>
      <w:r>
        <w:rPr>
          <w:rStyle w:val="VerbatimChar"/>
        </w:rPr>
        <w:t xml:space="preserve">#&gt; </w:t>
      </w:r>
      <w:r>
        <w:br w:type="textWrapping"/>
      </w:r>
      <w:r>
        <w:rPr>
          <w:rStyle w:val="VerbatimChar"/>
        </w:rPr>
        <w:t xml:space="preserve">#&gt; [1] /Library/Frameworks/R.framework/Versions/3.5/Resources/library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type="textWrapping"/>
      </w:r>
      <w:r>
        <w:rPr>
          <w:rStyle w:val="VerbatimChar"/>
        </w:rPr>
        <w:t xml:space="preserve">#&gt; Remote:   master @ origin (https://github.com/benmarwick/caa2018-Tubingen)</w:t>
      </w:r>
      <w:r>
        <w:br w:type="textWrapping"/>
      </w:r>
      <w:r>
        <w:rPr>
          <w:rStyle w:val="VerbatimChar"/>
        </w:rPr>
        <w:t xml:space="preserve">#&gt; Head:     [c583c6d] 2018-12-31: conclusion done, more refs added</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58" Target="https://doi.org/10.1002/bies.950180902" TargetMode="External" /><Relationship Type="http://schemas.openxmlformats.org/officeDocument/2006/relationships/hyperlink" Id="rId149"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09"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31" Target="https://doi.org/10.1016/j.tics.2010.12.002" TargetMode="External" /><Relationship Type="http://schemas.openxmlformats.org/officeDocument/2006/relationships/hyperlink" Id="rId137"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52" Target="https://doi.org/10.1038/467753a" TargetMode="External" /><Relationship Type="http://schemas.openxmlformats.org/officeDocument/2006/relationships/hyperlink" Id="rId147" Target="https://doi.org/10.1038/517109a" TargetMode="External" /><Relationship Type="http://schemas.openxmlformats.org/officeDocument/2006/relationships/hyperlink" Id="rId139"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8"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27" Target="https://doi.org/10.1093/biostatistics/kxp014" TargetMode="External" /><Relationship Type="http://schemas.openxmlformats.org/officeDocument/2006/relationships/hyperlink" Id="rId106"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45"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17" Target="https://doi.org/10.1126/science.1245317" TargetMode="External" /><Relationship Type="http://schemas.openxmlformats.org/officeDocument/2006/relationships/hyperlink" Id="rId122"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53" Target="https://doi.org/10.1177/2378023116669726" TargetMode="External" /><Relationship Type="http://schemas.openxmlformats.org/officeDocument/2006/relationships/hyperlink" Id="rId113"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3" Target="https://doi.org/10.1371/journal.pcbi.1003285" TargetMode="External" /><Relationship Type="http://schemas.openxmlformats.org/officeDocument/2006/relationships/hyperlink" Id="rId160" Target="https://doi.org/10.1371/journal.pcbi.1005510" TargetMode="External" /><Relationship Type="http://schemas.openxmlformats.org/officeDocument/2006/relationships/hyperlink" Id="rId141"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43" Target="https://doi.org/10.1515/opar-2017-0019" TargetMode="External" /><Relationship Type="http://schemas.openxmlformats.org/officeDocument/2006/relationships/hyperlink" Id="rId115"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58" Target="https://doi.org/10.1002/bies.950180902" TargetMode="External" /><Relationship Type="http://schemas.openxmlformats.org/officeDocument/2006/relationships/hyperlink" Id="rId149"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09"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31" Target="https://doi.org/10.1016/j.tics.2010.12.002" TargetMode="External" /><Relationship Type="http://schemas.openxmlformats.org/officeDocument/2006/relationships/hyperlink" Id="rId137"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52" Target="https://doi.org/10.1038/467753a" TargetMode="External" /><Relationship Type="http://schemas.openxmlformats.org/officeDocument/2006/relationships/hyperlink" Id="rId147" Target="https://doi.org/10.1038/517109a" TargetMode="External" /><Relationship Type="http://schemas.openxmlformats.org/officeDocument/2006/relationships/hyperlink" Id="rId139"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8"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27" Target="https://doi.org/10.1093/biostatistics/kxp014" TargetMode="External" /><Relationship Type="http://schemas.openxmlformats.org/officeDocument/2006/relationships/hyperlink" Id="rId106"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45"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17" Target="https://doi.org/10.1126/science.1245317" TargetMode="External" /><Relationship Type="http://schemas.openxmlformats.org/officeDocument/2006/relationships/hyperlink" Id="rId122"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53" Target="https://doi.org/10.1177/2378023116669726" TargetMode="External" /><Relationship Type="http://schemas.openxmlformats.org/officeDocument/2006/relationships/hyperlink" Id="rId113"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3" Target="https://doi.org/10.1371/journal.pcbi.1003285" TargetMode="External" /><Relationship Type="http://schemas.openxmlformats.org/officeDocument/2006/relationships/hyperlink" Id="rId160" Target="https://doi.org/10.1371/journal.pcbi.1005510" TargetMode="External" /><Relationship Type="http://schemas.openxmlformats.org/officeDocument/2006/relationships/hyperlink" Id="rId141"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43" Target="https://doi.org/10.1515/opar-2017-0019" TargetMode="External" /><Relationship Type="http://schemas.openxmlformats.org/officeDocument/2006/relationships/hyperlink" Id="rId115"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author 1; author 2</dc:creator>
  <cp:keywords/>
  <dcterms:created xsi:type="dcterms:W3CDTF">2019-01-01T11:10:11Z</dcterms:created>
  <dcterms:modified xsi:type="dcterms:W3CDTF">2019-01-01T11:10:11Z</dcterms:modified>
</cp:coreProperties>
</file>