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8.png" ContentType="image/png"/>
  <Override PartName="/word/media/rId35.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author</w:t>
      </w:r>
      <w:r>
        <w:t xml:space="preserve"> </w:t>
      </w:r>
      <w:r>
        <w:t xml:space="preserve">1</w:t>
      </w:r>
    </w:p>
    <w:p>
      <w:pPr>
        <w:pStyle w:val="Author"/>
      </w:pPr>
      <w:r>
        <w:t xml:space="preserve">author</w:t>
      </w:r>
      <w:r>
        <w:t xml:space="preserve"> </w:t>
      </w:r>
      <w:r>
        <w:t xml:space="preserve">2</w:t>
      </w:r>
    </w:p>
    <w:p>
      <w:pPr>
        <w:pStyle w:val="Date"/>
      </w:pPr>
      <w:r>
        <w:t xml:space="preserve">08</w:t>
      </w:r>
      <w:r>
        <w:t xml:space="preserve"> </w:t>
      </w:r>
      <w:r>
        <w:t xml:space="preserve">August,</w:t>
      </w:r>
      <w:r>
        <w:t xml:space="preserve"> </w:t>
      </w:r>
      <w:r>
        <w:t xml:space="preserve">2019</w:t>
      </w:r>
    </w:p>
    <w:p>
      <w:pPr>
        <w:pStyle w:val="Compact"/>
        <w:pStyle w:val="Abstract"/>
      </w:pP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ideas-driven</w:t>
      </w:r>
      <w:r>
        <w:t xml:space="preserve"> </w:t>
      </w:r>
      <w:r>
        <w:t xml:space="preserve">or</w:t>
      </w:r>
      <w:r>
        <w:t xml:space="preserve"> </w:t>
      </w:r>
      <w:r>
        <w:t xml:space="preserve">tools-driven.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using</w:t>
      </w:r>
      <w:r>
        <w:t xml:space="preserve"> </w:t>
      </w:r>
      <w:r>
        <w:t xml:space="preserve">data</w:t>
      </w:r>
      <w:r>
        <w:t xml:space="preserve"> </w:t>
      </w:r>
      <w:r>
        <w:t xml:space="preserve">analysis</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a</w:t>
      </w:r>
      <w:r>
        <w:t xml:space="preserve"> </w:t>
      </w:r>
      <w:r>
        <w:t xml:space="preserve">set</w:t>
      </w:r>
      <w:r>
        <w:t xml:space="preserve"> </w:t>
      </w:r>
      <w:r>
        <w:t xml:space="preserve">of</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w:t>
      </w:r>
      <w:r>
        <w:t xml:space="preserve"> </w:t>
      </w:r>
      <w:r>
        <w:t xml:space="preserve">scripts</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ecolpogy</w:t>
      </w:r>
      <w:r>
        <w:t xml:space="preserve"> </w:t>
      </w:r>
      <w:r>
        <w:t xml:space="preserve">and</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may</w:t>
      </w:r>
      <w:r>
        <w:t xml:space="preserve"> </w:t>
      </w:r>
      <w:r>
        <w:t xml:space="preserve">be</w:t>
      </w:r>
      <w:r>
        <w:t xml:space="preserve"> </w:t>
      </w:r>
      <w:r>
        <w:t xml:space="preserve">considered</w:t>
      </w:r>
      <w:r>
        <w:t xml:space="preserve"> </w:t>
      </w:r>
      <w:r>
        <w:t xml:space="preserve">a</w:t>
      </w:r>
      <w:r>
        <w:t xml:space="preserve"> </w:t>
      </w:r>
      <w:r>
        <w:t xml:space="preserve">revolution.</w:t>
      </w:r>
      <w:r>
        <w:t xml:space="preserve"> </w:t>
      </w:r>
      <w:r>
        <w:t xml:space="preserve">We</w:t>
      </w:r>
      <w:r>
        <w:t xml:space="preserve"> </w:t>
      </w:r>
      <w:r>
        <w:t xml:space="preserve">identify</w:t>
      </w:r>
      <w:r>
        <w:t xml:space="preserve"> </w:t>
      </w:r>
      <w:r>
        <w:t xml:space="preserve">a</w:t>
      </w:r>
      <w:r>
        <w:t xml:space="preserve"> </w:t>
      </w:r>
      <w:r>
        <w:t xml:space="preserve">citation</w:t>
      </w:r>
      <w:r>
        <w:t xml:space="preserve"> </w:t>
      </w:r>
      <w:r>
        <w:t xml:space="preserve">effect</w:t>
      </w:r>
      <w:r>
        <w:t xml:space="preserve"> </w:t>
      </w:r>
      <w:r>
        <w:t xml:space="preserve">for</w:t>
      </w:r>
      <w:r>
        <w:t xml:space="preserve"> </w:t>
      </w:r>
      <w:r>
        <w:t xml:space="preserve">archaeology</w:t>
      </w:r>
      <w:r>
        <w:t xml:space="preserve"> </w:t>
      </w:r>
      <w:r>
        <w:t xml:space="preserve">articles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ideas-driven or tools-driven</w:t>
      </w:r>
      <w:r>
        <w:t xml:space="preserve"> </w:t>
      </w:r>
      <w:r>
        <w:t xml:space="preserve">(Dyson 2000; Galison 1997)</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be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revolutions-in-science-ideas-driven-or-tool-driven"/>
      <w:r>
        <w:t xml:space="preserve">Revolutions in Science: Ideas-driven or Tool-driven?</w:t>
      </w:r>
      <w:bookmarkEnd w:id="21"/>
    </w:p>
    <w:p>
      <w:pPr>
        <w:pStyle w:val="FirstParagraph"/>
      </w:pPr>
      <w:r>
        <w:t xml:space="preserve">Philosophers of science disagree whether revolutions in science are ideas-driven or tool-driven. One of the most widely-known models of ideas-driven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a conversion or speciation process where the community adopts a new way of doing science. There has been much debate about how to draw a distinction between so-called normal and revolutionary science.</w:t>
      </w:r>
      <w:r>
        <w:t xml:space="preserve"> </w:t>
      </w:r>
      <w:r>
        <w:t xml:space="preserve">(Casadevall and Fang 2016; Toulmin 1970; Watkins 1970)</w:t>
      </w:r>
      <w:r>
        <w:t xml:space="preserve">. A notable criticism is that Kuhn’s normal science is unscientific,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Clark, similarly to Binford and Sabloff</w:t>
      </w:r>
      <w:r>
        <w:t xml:space="preserve"> </w:t>
      </w:r>
      <w:r>
        <w:t xml:space="preserve">(1982)</w:t>
      </w:r>
      <w:r>
        <w:t xml:space="preserve">, identified the North American archaeological paradigm as rooted in anthropology, founded on post-positivist biases, and distinctive with its critical-realist ontology, a modified-objectivist epistemology, and an experimental-manipulative method. In contrast, the European archaeological paradigm is described a kind of history, mostly in a strict empiricist tradition, and typified by a realist ontology, an inductivist epistemology, and by an observational method. Clark’s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and Rowe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 parallel, simultaneous event at the start of the Holocene (the Neolithic Revolution), to its emergence as a protracted and entangled process, happening 20 or so times independently, following different pathways. Most of these claims for paradigm shifts differ in meaning from Kuhn’s classical formulation, and this highlights an important complication with using Kuhn’s concept of a paradigm-shift, namely the multiple definitions of a paradigm in Kuhn’s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of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bibliometric-analysis-of-a-tool-driven-change"/>
      <w:r>
        <w:t xml:space="preserve">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(Anon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looking-back-on-a-tool-driven-change-in-ecology"/>
      <w:r>
        <w:t xml:space="preserve">Looking back on a tool-driven change in Ecology</w:t>
      </w:r>
      <w:bookmarkEnd w:id="23"/>
    </w:p>
    <w:p>
      <w:pPr>
        <w:pStyle w:val="FirstParagraph"/>
      </w:pPr>
      <w:r>
        <w:t xml:space="preserve">Touchon and McCoy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and McCoy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similarlity for the two disciplines is working with the field-collected data on a computer to prepare it for publication. R is a widely used free and open source data analysis tool in many research communities</w:t>
      </w:r>
      <w:r>
        <w:t xml:space="preserve"> </w:t>
      </w:r>
      <w:r>
        <w:t xml:space="preserve">(Baker 2017; Thieme 2018; Tippmann 2015)</w:t>
      </w:r>
      <w:r>
        <w:t xml:space="preserve">.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33,326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reproducibility-and-open-source-materials"/>
      <w:r>
        <w:t xml:space="preserve">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2007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and McCoy (2016)</w:t>
      </w:r>
      <w:r>
        <w:t xml:space="preserve">.</w:t>
      </w:r>
    </w:p>
    <w:p>
      <w:pPr>
        <w:pStyle w:val="CaptionedFigure"/>
      </w:pPr>
      <w:r>
        <w:drawing>
          <wp:inline>
            <wp:extent cx="5943600" cy="3302000"/>
            <wp:effectExtent b="0" l="0" r="0" t="0"/>
            <wp:docPr descr="Figure 1: Percentage of articles per year citing R in top Ecology journals (3,709 articles out of 33,326). Data from Web of Science for 2007-2017" title="" id="1" name="Picture"/>
            <a:graphic>
              <a:graphicData uri="http://schemas.openxmlformats.org/drawingml/2006/picture">
                <pic:pic>
                  <pic:nvPicPr>
                    <pic:cNvPr descr="/Volumes/LittleRugged/My%20Documents/My%20Papers/conferences/CAA2018/caa2018-Tubingen/analysis/figures/all_sciences_citing_R_over_time.png" id="0" name="Picture"/>
                    <pic:cNvPicPr>
                      <a:picLocks noChangeArrowheads="1" noChangeAspect="1"/>
                    </pic:cNvPicPr>
                  </pic:nvPicPr>
                  <pic:blipFill>
                    <a:blip r:embed="rId28"/>
                    <a:stretch>
                      <a:fillRect/>
                    </a:stretch>
                  </pic:blipFill>
                  <pic:spPr bwMode="auto">
                    <a:xfrm>
                      <a:off x="0" y="0"/>
                      <a:ext cx="5943600" cy="3302000"/>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(3,709 articles out of 33,326). Data from Web of Science for 2007-2017</w:t>
      </w:r>
    </w:p>
    <w:p>
      <w:pPr>
        <w:pStyle w:val="Heading2"/>
      </w:pPr>
      <w:bookmarkStart w:id="29" w:name="looking-forward-to-a-tool-driven-change-in-archaeology"/>
      <w:r>
        <w:t xml:space="preserve">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2007-2017 that are included in the Web of Science category</w:t>
      </w:r>
      <w:r>
        <w:t xml:space="preserve"> </w:t>
      </w:r>
      <w:r>
        <w:t xml:space="preserve">‘</w:t>
      </w:r>
      <w:r>
        <w:t xml:space="preserve">Archaeology</w:t>
      </w:r>
      <w:r>
        <w:t xml:space="preserve">’</w:t>
      </w:r>
      <w:r>
        <w:t xml:space="preserve">. This resulted in 42,443 articles, of which 116 cite R. 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ercentage of Archaeology articles per year citing R (116 out of 42,443 articles in sample. Data from Web of Science for 2007-2017" title="" id="1" name="Picture"/>
            <a:graphic>
              <a:graphicData uri="http://schemas.openxmlformats.org/drawingml/2006/picture">
                <pic:pic>
                  <pic:nvPicPr>
                    <pic:cNvPr descr="/Volumes/LittleRugged/My%20Documents/My%20Papers/conferences/CAA2018/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Percentage of Archaeology articles per year citing R (116 out of 42,443 articles in sample. Data from Web of Science for 2007-2017</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62 articles. The inset plot in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an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what-are-r-using-archaeologists-writing-about"/>
      <w:r>
        <w:t xml:space="preserve">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w:t>
      </w:r>
      <w:r>
        <w:t xml:space="preserve">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41,236 words in 42,451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236 words in 42451 articles)" title="" id="1" name="Picture"/>
            <a:graphic>
              <a:graphicData uri="http://schemas.openxmlformats.org/drawingml/2006/picture">
                <pic:pic>
                  <pic:nvPicPr>
                    <pic:cNvPr descr="/Volumes/LittleRugged/My%20Documents/My%20Papers/conferences/CAA2018/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(41236 words in 42451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non-citing R articles, it seems to be in ceramics.</w:t>
      </w:r>
    </w:p>
    <w:p>
      <w:pPr>
        <w:pStyle w:val="Heading2"/>
      </w:pPr>
      <w:bookmarkStart w:id="33" w:name="from-using-code-in-research-to-sharing-code-with-publications"/>
      <w:r>
        <w:t xml:space="preserve">From using code in research to sharing code with publications</w:t>
      </w:r>
      <w:bookmarkEnd w:id="33"/>
    </w:p>
    <w:p>
      <w:pPr>
        <w:pStyle w:val="FirstParagraph"/>
      </w:pPr>
      <w:r>
        <w:t xml:space="preserve">Touchon and McCoy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35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and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has also been observed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biostatistics</w:t>
      </w:r>
      <w:r>
        <w:t xml:space="preserve"> </w:t>
      </w:r>
      <w:r>
        <w:t xml:space="preserve">(Peng 2009)</w:t>
      </w:r>
      <w:r>
        <w:t xml:space="preserve">, computer science</w:t>
      </w:r>
      <w:r>
        <w:t xml:space="preserve"> </w:t>
      </w:r>
      <w:r>
        <w:t xml:space="preserve">(Mitchell, LeVeque and Stodden 2012; Peng 2011)</w:t>
      </w:r>
      <w:r>
        <w:t xml:space="preserve">, applied mathematics</w:t>
      </w:r>
      <w:r>
        <w:t xml:space="preserve"> </w:t>
      </w:r>
      <w:r>
        <w:t xml:space="preserve">(LeVeque, Mitchell and Stodden 2012)</w:t>
      </w:r>
      <w:r>
        <w:t xml:space="preserve">, speech science</w:t>
      </w:r>
      <w:r>
        <w:t xml:space="preserve"> </w:t>
      </w:r>
      <w:r>
        <w:t xml:space="preserve">(Abari 2012)</w:t>
      </w:r>
      <w:r>
        <w:t xml:space="preserve">, political science</w:t>
      </w:r>
      <w:r>
        <w:t xml:space="preserve"> </w:t>
      </w:r>
      <w:r>
        <w:t xml:space="preserve">(Dafoe 2014; King 1995)</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(Barnes 2010; Ince, Hatton and Graham-Cumming 2012; Nosek et al. 2015b)</w:t>
      </w:r>
      <w:r>
        <w:t xml:space="preserve"> </w:t>
      </w:r>
      <w:r>
        <w:t xml:space="preserve">and articles recommending using R in undergraduate education</w:t>
      </w:r>
      <w:r>
        <w:t xml:space="preserve"> </w:t>
      </w:r>
      <w:r>
        <w:t xml:space="preserve">(Bray, Çetinkaya-Rundel and Stangl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computers are, and enables researchers to not only rerun the shared analysis, but to gain access to all parameter settings, empowering them to change these and so properly evaluate, extend and reuse the published results. As open source languages such as R (and Python) are free to use, and most trustworthy repositories are also free (such as Zenodo, Open Science Framework, Figshare, etc.), then even researchers with limited resources anywhere in the world can to contribute equally to the research community by using and sharing code. Using and sharing open source code is thus an important action for reducing inequality in the archaeological research community. It enables participation by researchers who are unable to buy software licenses or access face-to-face training.</w:t>
      </w:r>
    </w:p>
    <w:p>
      <w:pPr>
        <w:pStyle w:val="CaptionedFigure"/>
      </w:pPr>
      <w:r>
        <w:drawing>
          <wp:inline>
            <wp:extent cx="5943600" cy="3343275"/>
            <wp:effectExtent b="0" l="0" r="0" t="0"/>
            <wp:docPr descr="Figure 4: Articles in archaeology journals using R for reproducible research (n = 35)" title="" id="1" name="Picture"/>
            <a:graphic>
              <a:graphicData uri="http://schemas.openxmlformats.org/drawingml/2006/picture">
                <pic:pic>
                  <pic:nvPicPr>
                    <pic:cNvPr descr="/Volumes/LittleRugged/My%20Documents/My%20Papers/conferences/CAA2018/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(n = 35)</w:t>
      </w:r>
    </w:p>
    <w:p>
      <w:pPr>
        <w:pStyle w:val="Heading2"/>
      </w:pPr>
      <w:bookmarkStart w:id="36" w:name="citation-effects-of-sharing-code"/>
      <w:r>
        <w:t xml:space="preserve">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statistically significant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In Figure</w:t>
      </w:r>
      <w:r>
        <w:t xml:space="preserve"> </w:t>
      </w:r>
      <w:r>
        <w:t xml:space="preserve">5</w:t>
      </w:r>
      <w:r>
        <w:t xml:space="preserve"> </w:t>
      </w:r>
      <w:r>
        <w:t xml:space="preserve">we conducted a similar analysis for archaeology articles using the</w:t>
      </w:r>
      <w:r>
        <w:t xml:space="preserve"> </w:t>
      </w:r>
      <w:r>
        <w:t xml:space="preserve">‘</w:t>
      </w:r>
      <w:r>
        <w:t xml:space="preserve">TC</w:t>
      </w:r>
      <w:r>
        <w:t xml:space="preserve">’</w:t>
      </w:r>
      <w:r>
        <w:t xml:space="preserve"> </w:t>
      </w:r>
      <w:r>
        <w:t xml:space="preserve">field in the data we obtained from the Web of Science service. TC stands for</w:t>
      </w:r>
      <w:r>
        <w:t xml:space="preserve"> </w:t>
      </w:r>
      <w:r>
        <w:t xml:space="preserve">‘</w:t>
      </w:r>
      <w:r>
        <w:t xml:space="preserve">Web of Science Core Collection Times Cited Count</w:t>
      </w:r>
      <w:r>
        <w:t xml:space="preserve">’</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possibilty is that authors preferentially tend to promote their articles containing code, beacause they want a greater return for the greater effort they have put into including the code with the article, this may be equivalent to the self-selection bias postulated by Vandewalle. Another possiblity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reseracher will stop searching when they have found the first paper that serves their purpose. Further work is necessary to understand the mechanisms of this citation effect. Additional insights might come from comparisions of papers that use another open source language such as Python, and MATLAB, which is not an open source language.</w:t>
      </w:r>
    </w:p>
    <w:p>
      <w:pPr>
        <w:pStyle w:val="CaptionedFigure"/>
      </w:pPr>
      <w:r>
        <w:drawing>
          <wp:inline>
            <wp:extent cx="5943600" cy="4456441"/>
            <wp:effectExtent b="0" l="0" r="0" t="0"/>
            <wp:docPr descr="Figure 5: Median citation rates per year for archaeology articles 2010-2017 that cite R (n = 116) and articles that do not cite R (n = 42,335)" title="" id="1" name="Picture"/>
            <a:graphic>
              <a:graphicData uri="http://schemas.openxmlformats.org/drawingml/2006/picture">
                <pic:pic>
                  <pic:nvPicPr>
                    <pic:cNvPr descr="/Volumes/LittleRugged/My%20Documents/My%20Papers/conferences/CAA2018/caa2018-Tubingen/analysis/figures/archy_journal_articles_citations_plot_cap.png" id="0" name="Picture"/>
                    <pic:cNvPicPr>
                      <a:picLocks noChangeArrowheads="1" noChangeAspect="1"/>
                    </pic:cNvPicPr>
                  </pic:nvPicPr>
                  <pic:blipFill>
                    <a:blip r:embed="rId37"/>
                    <a:stretch>
                      <a:fillRect/>
                    </a:stretch>
                  </pic:blipFill>
                  <pic:spPr bwMode="auto">
                    <a:xfrm>
                      <a:off x="0" y="0"/>
                      <a:ext cx="5943600" cy="4456441"/>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116) and articles that do not cite R (n = 42,335)</w:t>
      </w:r>
    </w:p>
    <w:p>
      <w:pPr>
        <w:pStyle w:val="Heading1"/>
      </w:pPr>
      <w:bookmarkStart w:id="38" w:name="discussion"/>
      <w:r>
        <w:t xml:space="preserve">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as they tend to be referenced more often,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and McCoy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and Wilkinson 2017)</w:t>
      </w:r>
      <w:r>
        <w:t xml:space="preserve">.</w:t>
      </w:r>
    </w:p>
    <w:p>
      <w:pPr>
        <w:pStyle w:val="BodyText"/>
      </w:pPr>
      <w:r>
        <w:t xml:space="preserve">Nonetheless, with the introduction of computers there has been a gradual and unintended drift away from reproducibility</w:t>
      </w:r>
      <w:r>
        <w:t xml:space="preserve"> </w:t>
      </w:r>
      <w:r>
        <w:t xml:space="preserve">(Bailey, Borwein and Stodden 2016; Brinckman et al. 2019)</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Guo and Ma 2013)</w:t>
      </w:r>
      <w:r>
        <w:t xml:space="preserve">. Also in archaeology, funding agencies are increasingly showing interest in open science methods and transparency</w:t>
      </w:r>
      <w:r>
        <w:t xml:space="preserve"> </w:t>
      </w:r>
      <w:r>
        <w:t xml:space="preserve">(Strupler and Wilkinson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and Huggett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and Huggett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and Tuin 2013: 188)</w:t>
      </w:r>
      <w:r>
        <w:t xml:space="preserve">. Technology is said to own an instrumental kind of logos (Cassierer, see</w:t>
      </w:r>
      <w:r>
        <w:t xml:space="preserve"> </w:t>
      </w:r>
      <w:r>
        <w:t xml:space="preserve">Hoel and Tuin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and Tuin 2013: 190)</w:t>
      </w:r>
      <w:r>
        <w:t xml:space="preserve">. According to this perspective, changes in tools will influence how human researchers interact with their objects of interest and other people in their research community. There are three ways is which this can be anticipated for archaeology. Firstly, tools that make the research process more transparent and open might be expected to make the research community more open and inclusive to diverse participants and ideas. Secondly,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Thirdly,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 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Stanley and Doucouliagos 2017)</w:t>
      </w:r>
      <w:r>
        <w:t xml:space="preserve">, compared to the physical sciences. Modelling and case studies described by</w:t>
      </w:r>
      <w:r>
        <w:t xml:space="preserve"> </w:t>
      </w:r>
      <w:r>
        <w:t xml:space="preserve">Akerlof and Michaillat (2018)</w:t>
      </w:r>
      <w:r>
        <w:t xml:space="preserve"> </w:t>
      </w:r>
      <w:r>
        <w:t xml:space="preserve">indicate that among discplines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resuts show that scripting languages and data repositories to share the scripts is a solution that enjoys increasing popularity in the archaeological research community</w:t>
      </w:r>
      <w:r>
        <w:t xml:space="preserve"> </w:t>
      </w:r>
      <w:r>
        <w:t xml:space="preserve">(cf. Marwick and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Making it easier</w:t>
      </w:r>
      <w:bookmarkEnd w:id="39"/>
    </w:p>
    <w:p>
      <w:pPr>
        <w:pStyle w:val="FirstParagraph"/>
      </w:pPr>
      <w:r>
        <w:t xml:space="preserve">We acknowledge that learning to use code, if one has not recieved formal instruction, is not an easy task. As</w:t>
      </w:r>
      <w:r>
        <w:t xml:space="preserve"> </w:t>
      </w:r>
      <w:r>
        <w:t xml:space="preserve">Papadopoulos, Chrysanthi and Murietta-Flores (2012)</w:t>
      </w:r>
      <w:r>
        <w:t xml:space="preserve"> </w:t>
      </w:r>
      <w:r>
        <w:t xml:space="preserve">illustrate, it requires a certain familiarity with the computational tools to be able to use them not just on a technological basis, but creatively and in full knowledge of their restrictions and ambiguities.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(see Fitzpatrick in this volume),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and Richerson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(Boyd and Richerson 1988; Henrich and McElreath 2007; Rendell et al. 2011)</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and Mullen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that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Allaire and Grolemund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dependancies and other information.</w:t>
      </w:r>
      <w:r>
        <w:br w:type="textWrapping"/>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beceause it is widely used for research software, and has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type="textWrapping"/>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type="textWrapping"/>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(Noble 2009; Wilson et al. 2017)</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will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identifed an advantage of citing R for researchers as it leads to being referenced more often. We also identified a small, but increasing, set of archaeology papers that use R to make their work fully reproducible.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and also in this way supporting the practice of archaeology that is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(Nosek et al. 2015a)</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and Lizardo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whereas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 to advance that discipline.</w:t>
      </w:r>
    </w:p>
    <w:p>
      <w:pPr>
        <w:pStyle w:val="Heading2"/>
      </w:pPr>
      <w:bookmarkStart w:id="42" w:name="acknowledgements"/>
      <w:r>
        <w:t xml:space="preserve">Acknowledgements</w:t>
      </w:r>
      <w:bookmarkEnd w:id="42"/>
    </w:p>
    <w:p>
      <w:pPr>
        <w:pStyle w:val="FirstParagraph"/>
      </w:pPr>
      <w:r>
        <w:t xml:space="preserve">The rrtools was developed by a group who took part in the 2017 Summer School on Reproducible Research in Landscape Archaeology at the Freie Universität Berlin (17-21 July),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69" w:name="refs"/>
    <w:bookmarkStart w:id="45" w:name="ref-Abari2012"/>
    <w:p>
      <w:pPr>
        <w:pStyle w:val="FirstParagraph"/>
      </w:pPr>
      <w:r>
        <w:t xml:space="preserve">Abari, K 2012 Reproducible research in speech sciences,</w:t>
      </w:r>
      <w:r>
        <w:t xml:space="preserve"> </w:t>
      </w:r>
      <w:r>
        <w:rPr>
          <w:i/>
        </w:rPr>
        <w:t xml:space="preserve">International Journal of Computer Science Issues</w:t>
      </w:r>
      <w:r>
        <w:t xml:space="preserve">, 9(6): 43–52.</w:t>
      </w:r>
    </w:p>
    <w:bookmarkEnd w:id="45"/>
    <w:bookmarkStart w:id="47" w:name="ref-Akerlof_Michaillat_2018"/>
    <w:p>
      <w:pPr>
        <w:pStyle w:val="BodyText"/>
      </w:pPr>
      <w:r>
        <w:t xml:space="preserve">Akerlof, G A and Michaillat, P 2018 Persistence of false paradigms in low-power sciences,</w:t>
      </w:r>
      <w:r>
        <w:t xml:space="preserve"> </w:t>
      </w:r>
      <w:r>
        <w:rPr>
          <w:i/>
        </w:rPr>
        <w:t xml:space="preserve">Proceedings of the National Academy of Sciences</w:t>
      </w:r>
      <w:r>
        <w:t xml:space="preserve">, 115(52): 13228–13233. DOI:</w:t>
      </w:r>
      <w:r>
        <w:t xml:space="preserve"> </w:t>
      </w:r>
      <w:hyperlink r:id="rId46">
        <w:r>
          <w:rPr>
            <w:rStyle w:val="Hyperlink"/>
          </w:rPr>
          <w:t xml:space="preserve">https://doi.org/10.1073/pnas.1816454115</w:t>
        </w:r>
      </w:hyperlink>
      <w:r>
        <w:t xml:space="preserve">.</w:t>
      </w:r>
    </w:p>
    <w:bookmarkEnd w:id="47"/>
    <w:bookmarkStart w:id="48" w:name="ref-andersen2013second"/>
    <w:p>
      <w:pPr>
        <w:pStyle w:val="BodyText"/>
      </w:pPr>
      <w:r>
        <w:t xml:space="preserve">Andersen, H 2013 The second essential tension: On tradition and innovation in interdisciplinary research,</w:t>
      </w:r>
      <w:r>
        <w:t xml:space="preserve"> </w:t>
      </w:r>
      <w:r>
        <w:rPr>
          <w:i/>
        </w:rPr>
        <w:t xml:space="preserve">Topoi</w:t>
      </w:r>
      <w:r>
        <w:t xml:space="preserve">, 32(1): 3–8.</w:t>
      </w:r>
    </w:p>
    <w:bookmarkEnd w:id="48"/>
    <w:bookmarkStart w:id="49" w:name="ref-Montelius_1899"/>
    <w:p>
      <w:pPr>
        <w:pStyle w:val="BodyText"/>
      </w:pPr>
      <w:r>
        <w:t xml:space="preserve">Anon 1899 Typologien eller utvecklingsläran tillämpad på det menskliga arbetet, (10): 237–268.</w:t>
      </w:r>
    </w:p>
    <w:bookmarkEnd w:id="49"/>
    <w:bookmarkStart w:id="50" w:name="ref-bailey2016facilitating"/>
    <w:p>
      <w:pPr>
        <w:pStyle w:val="BodyText"/>
      </w:pPr>
      <w:r>
        <w:t xml:space="preserve">Bailey, D H, Borwein, J M and Stodden, V 2016 Facilitating reproducibility in scientific computing: Principles and practice,</w:t>
      </w:r>
      <w:r>
        <w:t xml:space="preserve"> </w:t>
      </w:r>
      <w:r>
        <w:rPr>
          <w:i/>
        </w:rPr>
        <w:t xml:space="preserve">Reproducibility: Principles, Problems, Practices, John Wiley and Sons, New York, to appear</w:t>
      </w:r>
      <w:r>
        <w:t xml:space="preserve">,</w:t>
      </w:r>
    </w:p>
    <w:bookmarkEnd w:id="50"/>
    <w:bookmarkStart w:id="52" w:name="ref-Baker_2017"/>
    <w:p>
      <w:pPr>
        <w:pStyle w:val="BodyText"/>
      </w:pPr>
      <w:r>
        <w:t xml:space="preserve">Baker, M 2017 Scientific computing: Code alert,</w:t>
      </w:r>
      <w:r>
        <w:t xml:space="preserve"> </w:t>
      </w:r>
      <w:r>
        <w:rPr>
          <w:i/>
        </w:rPr>
        <w:t xml:space="preserve">Nature</w:t>
      </w:r>
      <w:r>
        <w:t xml:space="preserve">, 541(7638): 563–565. DOI:</w:t>
      </w:r>
      <w:r>
        <w:t xml:space="preserve"> </w:t>
      </w:r>
      <w:hyperlink r:id="rId51">
        <w:r>
          <w:rPr>
            <w:rStyle w:val="Hyperlink"/>
          </w:rPr>
          <w:t xml:space="preserve">https://doi.org/10.1038/nj7638-563a</w:t>
        </w:r>
      </w:hyperlink>
      <w:r>
        <w:t xml:space="preserve">.</w:t>
      </w:r>
    </w:p>
    <w:bookmarkEnd w:id="52"/>
    <w:bookmarkStart w:id="54" w:name="ref-Barnes2010"/>
    <w:p>
      <w:pPr>
        <w:pStyle w:val="BodyText"/>
      </w:pPr>
      <w:r>
        <w:t xml:space="preserve">Barnes, N 2010 Publish your computer code: It is good enough,</w:t>
      </w:r>
      <w:r>
        <w:t xml:space="preserve"> </w:t>
      </w:r>
      <w:r>
        <w:rPr>
          <w:i/>
        </w:rPr>
        <w:t xml:space="preserve">Nature News</w:t>
      </w:r>
      <w:r>
        <w:t xml:space="preserve">, 467(7317): 753–753. DOI:</w:t>
      </w:r>
      <w:r>
        <w:t xml:space="preserve"> </w:t>
      </w:r>
      <w:hyperlink r:id="rId53">
        <w:r>
          <w:rPr>
            <w:rStyle w:val="Hyperlink"/>
          </w:rPr>
          <w:t xml:space="preserve">https://doi.org/10.1038/467753a</w:t>
        </w:r>
      </w:hyperlink>
      <w:r>
        <w:t xml:space="preserve">.</w:t>
      </w:r>
    </w:p>
    <w:bookmarkEnd w:id="54"/>
    <w:bookmarkStart w:id="55" w:name="ref-Baumer2014"/>
    <w:p>
      <w:pPr>
        <w:pStyle w:val="BodyText"/>
      </w:pPr>
      <w:r>
        <w:t xml:space="preserve">Baumer, B, Cetinkaya-Rundel, M, Bray, A, Loi, L and Horton, N J 2014 R markdown: Integrating a reproducible analysis tool into introductory statistics,</w:t>
      </w:r>
      <w:r>
        <w:t xml:space="preserve"> </w:t>
      </w:r>
      <w:r>
        <w:rPr>
          <w:i/>
        </w:rPr>
        <w:t xml:space="preserve">Technology Innovations in Statistics Education</w:t>
      </w:r>
      <w:r>
        <w:t xml:space="preserve">, 8(1):.</w:t>
      </w:r>
    </w:p>
    <w:bookmarkEnd w:id="55"/>
    <w:bookmarkStart w:id="56" w:name="ref-bayliss2009rolling"/>
    <w:p>
      <w:pPr>
        <w:pStyle w:val="BodyText"/>
      </w:pPr>
      <w:r>
        <w:t xml:space="preserve">Bayliss, A 2009 Rolling out revolution: Using radiocarbon dating in archaeology,</w:t>
      </w:r>
      <w:r>
        <w:t xml:space="preserve"> </w:t>
      </w:r>
      <w:r>
        <w:rPr>
          <w:i/>
        </w:rPr>
        <w:t xml:space="preserve">Radiocarbon</w:t>
      </w:r>
      <w:r>
        <w:t xml:space="preserve">, 51(1): 123–147.</w:t>
      </w:r>
    </w:p>
    <w:bookmarkEnd w:id="56"/>
    <w:bookmarkStart w:id="57" w:name="ref-binford1982paradigms"/>
    <w:p>
      <w:pPr>
        <w:pStyle w:val="BodyText"/>
      </w:pPr>
      <w:r>
        <w:t xml:space="preserve">Binford, L R and Sabloff, J A 1982 Paradigms, systematics, and archaeology,</w:t>
      </w:r>
      <w:r>
        <w:t xml:space="preserve"> </w:t>
      </w:r>
      <w:r>
        <w:rPr>
          <w:i/>
        </w:rPr>
        <w:t xml:space="preserve">Journal of Anthropological Research</w:t>
      </w:r>
      <w:r>
        <w:t xml:space="preserve">, 38(2): 137–153.</w:t>
      </w:r>
    </w:p>
    <w:bookmarkEnd w:id="57"/>
    <w:bookmarkStart w:id="58" w:name="ref-boyd1988culture"/>
    <w:p>
      <w:pPr>
        <w:pStyle w:val="BodyText"/>
      </w:pPr>
      <w:r>
        <w:t xml:space="preserve">Boyd, R and Richerson, P J 1988</w:t>
      </w:r>
      <w:r>
        <w:t xml:space="preserve"> </w:t>
      </w:r>
      <w:r>
        <w:rPr>
          <w:i/>
        </w:rPr>
        <w:t xml:space="preserve">Culture and the evolutionary process</w:t>
      </w:r>
      <w:r>
        <w:t xml:space="preserve">. University of Chicago press.</w:t>
      </w:r>
    </w:p>
    <w:bookmarkEnd w:id="58"/>
    <w:bookmarkStart w:id="60" w:name="ref-Bray2014"/>
    <w:p>
      <w:pPr>
        <w:pStyle w:val="BodyText"/>
      </w:pPr>
      <w:r>
        <w:t xml:space="preserve">Bray, A, Çetinkaya-Rundel, M and Stangl, D 2014 Taking a chance in the classroom: Five concrete reasons your students should be learning to analyze data in the reproducible paradigm,</w:t>
      </w:r>
      <w:r>
        <w:t xml:space="preserve"> </w:t>
      </w:r>
      <w:r>
        <w:rPr>
          <w:i/>
        </w:rPr>
        <w:t xml:space="preserve">chance</w:t>
      </w:r>
      <w:r>
        <w:t xml:space="preserve">, 27(3): 53–56. DOI:</w:t>
      </w:r>
      <w:r>
        <w:t xml:space="preserve"> </w:t>
      </w:r>
      <w:hyperlink r:id="rId59">
        <w:r>
          <w:rPr>
            <w:rStyle w:val="Hyperlink"/>
          </w:rPr>
          <w:t xml:space="preserve">https://doi.org/10.1080/09332480.2014.965635</w:t>
        </w:r>
      </w:hyperlink>
      <w:r>
        <w:t xml:space="preserve">.</w:t>
      </w:r>
    </w:p>
    <w:bookmarkEnd w:id="60"/>
    <w:bookmarkStart w:id="61" w:name="ref-brinckman2019computing"/>
    <w:p>
      <w:pPr>
        <w:pStyle w:val="BodyText"/>
      </w:pPr>
      <w:r>
        <w:t xml:space="preserve">Brinckman, A, Chard, K, Gaffney, N, Hategan, M, Jones, M B, Kowalik, K, Kulasekaran, S, Ludäscher, B, Mecum, B D, Nabrzyski, J and others 2019 Computing environments for reproducibility: Capturing the ‘whole tale’,</w:t>
      </w:r>
      <w:r>
        <w:t xml:space="preserve"> </w:t>
      </w:r>
      <w:r>
        <w:rPr>
          <w:i/>
        </w:rPr>
        <w:t xml:space="preserve">Future Generation Computer Systems</w:t>
      </w:r>
      <w:r>
        <w:t xml:space="preserve">, 94: 854–867.</w:t>
      </w:r>
    </w:p>
    <w:bookmarkEnd w:id="61"/>
    <w:bookmarkStart w:id="62" w:name="ref-burnham2003model"/>
    <w:p>
      <w:pPr>
        <w:pStyle w:val="BodyText"/>
      </w:pPr>
      <w:r>
        <w:t xml:space="preserve">Burnham, K P and Anderson, D R 2003</w:t>
      </w:r>
      <w:r>
        <w:t xml:space="preserve"> </w:t>
      </w:r>
      <w:r>
        <w:rPr>
          <w:i/>
        </w:rPr>
        <w:t xml:space="preserve">Model selection and multimodel inference: A practical information-theoretic approach</w:t>
      </w:r>
      <w:r>
        <w:t xml:space="preserve">. Springer Science &amp; Business Media.</w:t>
      </w:r>
    </w:p>
    <w:bookmarkEnd w:id="62"/>
    <w:bookmarkStart w:id="64" w:name="ref-Casadevalle00158_16"/>
    <w:p>
      <w:pPr>
        <w:pStyle w:val="BodyText"/>
      </w:pPr>
      <w:r>
        <w:t xml:space="preserve">Casadevall, A and Fang, F C 2016 Revolutionary science,</w:t>
      </w:r>
      <w:r>
        <w:t xml:space="preserve"> </w:t>
      </w:r>
      <w:r>
        <w:rPr>
          <w:i/>
        </w:rPr>
        <w:t xml:space="preserve">mBio</w:t>
      </w:r>
      <w:r>
        <w:t xml:space="preserve">, 7(2):. DOI:</w:t>
      </w:r>
      <w:r>
        <w:t xml:space="preserve"> </w:t>
      </w:r>
      <w:hyperlink r:id="rId63">
        <w:r>
          <w:rPr>
            <w:rStyle w:val="Hyperlink"/>
          </w:rPr>
          <w:t xml:space="preserve">https://doi.org/10.1128/mBio.00158-16</w:t>
        </w:r>
      </w:hyperlink>
      <w:r>
        <w:t xml:space="preserve">.</w:t>
      </w:r>
    </w:p>
    <w:bookmarkEnd w:id="64"/>
    <w:bookmarkStart w:id="65" w:name="ref-cassirer_form_1930"/>
    <w:p>
      <w:pPr>
        <w:pStyle w:val="BodyText"/>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5"/>
    <w:bookmarkStart w:id="66" w:name="ref-chase2012geospatial"/>
    <w:p>
      <w:pPr>
        <w:pStyle w:val="BodyText"/>
      </w:pPr>
      <w:r>
        <w:t xml:space="preserve">Chase, A F, Chase, D Z, Fisher, C T, Leisz, S J and Weishampel, J F 2012 Geospatial revolution and remote sensing lidar in mesoamerican archaeology,</w:t>
      </w:r>
      <w:r>
        <w:t xml:space="preserve"> </w:t>
      </w:r>
      <w:r>
        <w:rPr>
          <w:i/>
        </w:rPr>
        <w:t xml:space="preserve">Proceedings of the National Academy of Sciences</w:t>
      </w:r>
      <w:r>
        <w:t xml:space="preserve">, 109(32): 12916–12921.</w:t>
      </w:r>
    </w:p>
    <w:bookmarkEnd w:id="66"/>
    <w:bookmarkStart w:id="68" w:name="ref-Clark_1993"/>
    <w:p>
      <w:pPr>
        <w:pStyle w:val="BodyText"/>
      </w:pPr>
      <w:r>
        <w:t xml:space="preserve">Clark, G A 1993 Paradigms in science and archaeology,</w:t>
      </w:r>
      <w:r>
        <w:t xml:space="preserve"> </w:t>
      </w:r>
      <w:r>
        <w:rPr>
          <w:i/>
        </w:rPr>
        <w:t xml:space="preserve">Journal of Archaeological Research</w:t>
      </w:r>
      <w:r>
        <w:t xml:space="preserve">, 1(3): 203–234. DOI:</w:t>
      </w:r>
      <w:r>
        <w:t xml:space="preserve"> </w:t>
      </w:r>
      <w:hyperlink r:id="rId67">
        <w:r>
          <w:rPr>
            <w:rStyle w:val="Hyperlink"/>
          </w:rPr>
          <w:t xml:space="preserve">https://doi.org/10.1007/BF01326535</w:t>
        </w:r>
      </w:hyperlink>
      <w:r>
        <w:t xml:space="preserve">.</w:t>
      </w:r>
    </w:p>
    <w:bookmarkEnd w:id="68"/>
    <w:bookmarkStart w:id="69" w:name="ref-clarke1973archaeology"/>
    <w:p>
      <w:pPr>
        <w:pStyle w:val="BodyText"/>
      </w:pPr>
      <w:r>
        <w:t xml:space="preserve">Clarke, D 1973 Archaeology: The loss of innocence,</w:t>
      </w:r>
      <w:r>
        <w:t xml:space="preserve"> </w:t>
      </w:r>
      <w:r>
        <w:rPr>
          <w:i/>
        </w:rPr>
        <w:t xml:space="preserve">Antiquity</w:t>
      </w:r>
      <w:r>
        <w:t xml:space="preserve">, 47(185): 6–18.</w:t>
      </w:r>
    </w:p>
    <w:bookmarkEnd w:id="69"/>
    <w:bookmarkStart w:id="71" w:name="ref-Dafoe2014"/>
    <w:p>
      <w:pPr>
        <w:pStyle w:val="BodyText"/>
      </w:pPr>
      <w:r>
        <w:t xml:space="preserve">Dafoe, A 2014 Science deserves better: The imperative to share complete replication files,</w:t>
      </w:r>
      <w:r>
        <w:t xml:space="preserve"> </w:t>
      </w:r>
      <w:r>
        <w:rPr>
          <w:i/>
        </w:rPr>
        <w:t xml:space="preserve">PS: Political Science &amp; Politics</w:t>
      </w:r>
      <w:r>
        <w:t xml:space="preserve">, 47(01): 60–66. DOI:</w:t>
      </w:r>
      <w:r>
        <w:t xml:space="preserve"> </w:t>
      </w:r>
      <w:hyperlink r:id="rId70">
        <w:r>
          <w:rPr>
            <w:rStyle w:val="Hyperlink"/>
          </w:rPr>
          <w:t xml:space="preserve">https://doi.org/10.1017/S104909651300173X</w:t>
        </w:r>
      </w:hyperlink>
      <w:r>
        <w:t xml:space="preserve">.</w:t>
      </w:r>
    </w:p>
    <w:bookmarkEnd w:id="71"/>
    <w:bookmarkStart w:id="72" w:name="ref-Dyson_2000"/>
    <w:p>
      <w:pPr>
        <w:pStyle w:val="BodyText"/>
      </w:pPr>
      <w:r>
        <w:t xml:space="preserve">Dyson, F 2000</w:t>
      </w:r>
      <w:r>
        <w:t xml:space="preserve"> </w:t>
      </w:r>
      <w:r>
        <w:rPr>
          <w:i/>
        </w:rPr>
        <w:t xml:space="preserve">The sun, the genome, and the internet</w:t>
      </w:r>
      <w:r>
        <w:t xml:space="preserve">. New york public library lectures in humanities. Oxford University Press.</w:t>
      </w:r>
    </w:p>
    <w:bookmarkEnd w:id="72"/>
    <w:bookmarkStart w:id="73" w:name="ref-dyson2012science"/>
    <w:p>
      <w:pPr>
        <w:pStyle w:val="BodyText"/>
      </w:pPr>
      <w:r>
        <w:t xml:space="preserve">Dyson, F J 2012 Is science mostly driven by ideas or by tools?,</w:t>
      </w:r>
      <w:r>
        <w:t xml:space="preserve"> </w:t>
      </w:r>
      <w:r>
        <w:rPr>
          <w:i/>
        </w:rPr>
        <w:t xml:space="preserve">Science</w:t>
      </w:r>
      <w:r>
        <w:t xml:space="preserve">, 338(6113): 1426–1427.</w:t>
      </w:r>
    </w:p>
    <w:bookmarkEnd w:id="73"/>
    <w:bookmarkStart w:id="75" w:name="ref-Editors_2017"/>
    <w:p>
      <w:pPr>
        <w:pStyle w:val="BodyText"/>
      </w:pPr>
      <w:r>
        <w:t xml:space="preserve">Editors 2017 Extending transparency to code,</w:t>
      </w:r>
      <w:r>
        <w:t xml:space="preserve"> </w:t>
      </w:r>
      <w:r>
        <w:rPr>
          <w:i/>
        </w:rPr>
        <w:t xml:space="preserve">Nature Neuroscience</w:t>
      </w:r>
      <w:r>
        <w:t xml:space="preserve">, 20(6): 761. DOI:</w:t>
      </w:r>
      <w:r>
        <w:t xml:space="preserve"> </w:t>
      </w:r>
      <w:hyperlink r:id="rId74">
        <w:r>
          <w:rPr>
            <w:rStyle w:val="Hyperlink"/>
          </w:rPr>
          <w:t xml:space="preserve">https://doi.org/10.1038/nn.4579</w:t>
        </w:r>
      </w:hyperlink>
      <w:r>
        <w:t xml:space="preserve">.</w:t>
      </w:r>
    </w:p>
    <w:bookmarkEnd w:id="75"/>
    <w:bookmarkStart w:id="77" w:name="ref-authorguidelines_JCAA"/>
    <w:p>
      <w:pPr>
        <w:pStyle w:val="BodyText"/>
      </w:pPr>
      <w:r>
        <w:t xml:space="preserve">Editors, J n.d.</w:t>
      </w:r>
      <w:r>
        <w:t xml:space="preserve"> </w:t>
      </w:r>
      <w:r>
        <w:rPr>
          <w:i/>
        </w:rPr>
        <w:t xml:space="preserve">Authour guidelines journal of computer applications in archaeology</w:t>
      </w:r>
      <w:r>
        <w:t xml:space="preserve">. Available at</w:t>
      </w:r>
      <w:r>
        <w:t xml:space="preserve"> </w:t>
      </w:r>
      <w:hyperlink r:id="rId76">
        <w:r>
          <w:rPr>
            <w:rStyle w:val="Hyperlink"/>
          </w:rPr>
          <w:t xml:space="preserve">http://journal.caa-international.org/about/submissions/</w:t>
        </w:r>
      </w:hyperlink>
      <w:r>
        <w:t xml:space="preserve"> </w:t>
      </w:r>
      <w:r>
        <w:t xml:space="preserve">[Last accessed 18 December 2018].</w:t>
      </w:r>
    </w:p>
    <w:bookmarkEnd w:id="77"/>
    <w:bookmarkStart w:id="79" w:name="ref-Eglen2009"/>
    <w:p>
      <w:pPr>
        <w:pStyle w:val="BodyText"/>
      </w:pPr>
      <w:r>
        <w:t xml:space="preserve">Eglen, S J 2009 A quick guide to teaching r programming to computational biology students,</w:t>
      </w:r>
      <w:r>
        <w:t xml:space="preserve"> </w:t>
      </w:r>
      <w:r>
        <w:rPr>
          <w:i/>
        </w:rPr>
        <w:t xml:space="preserve">PLoS Comput Biol</w:t>
      </w:r>
      <w:r>
        <w:t xml:space="preserve">, 5(8): e1000482. DOI:</w:t>
      </w:r>
      <w:r>
        <w:t xml:space="preserve"> </w:t>
      </w:r>
      <w:hyperlink r:id="rId78">
        <w:r>
          <w:rPr>
            <w:rStyle w:val="Hyperlink"/>
          </w:rPr>
          <w:t xml:space="preserve">https://doi.org/10.1371/journal.pcbi.1000482</w:t>
        </w:r>
      </w:hyperlink>
      <w:r>
        <w:t xml:space="preserve">.</w:t>
      </w:r>
    </w:p>
    <w:bookmarkEnd w:id="79"/>
    <w:bookmarkStart w:id="80" w:name="ref-Fiore_Gartland_2017"/>
    <w:p>
      <w:pPr>
        <w:pStyle w:val="BodyText"/>
      </w:pPr>
      <w:r>
        <w:t xml:space="preserve">Fiore-Gartland, B 2017</w:t>
      </w:r>
      <w:r>
        <w:t xml:space="preserve"> </w:t>
      </w:r>
      <w:r>
        <w:rPr>
          <w:i/>
        </w:rPr>
        <w:t xml:space="preserve">Hacked ethnographic fieldnotes</w:t>
      </w:r>
      <w:r>
        <w:t xml:space="preserve">.</w:t>
      </w:r>
    </w:p>
    <w:bookmarkEnd w:id="80"/>
    <w:bookmarkStart w:id="82" w:name="ref-Fuller_2010"/>
    <w:p>
      <w:pPr>
        <w:pStyle w:val="BodyText"/>
      </w:pPr>
      <w:r>
        <w:t xml:space="preserve">Fuller, D Q 2010 An emerging paradigm shift in the origins of agriculture,</w:t>
      </w:r>
      <w:r>
        <w:t xml:space="preserve"> </w:t>
      </w:r>
      <w:r>
        <w:rPr>
          <w:i/>
        </w:rPr>
        <w:t xml:space="preserve">General Anthropology</w:t>
      </w:r>
      <w:r>
        <w:t xml:space="preserve">, 17(2): 1–12. DOI:</w:t>
      </w:r>
      <w:r>
        <w:t xml:space="preserve"> </w:t>
      </w:r>
      <w:hyperlink r:id="rId81">
        <w:r>
          <w:rPr>
            <w:rStyle w:val="Hyperlink"/>
          </w:rPr>
          <w:t xml:space="preserve">https://doi.org/10.1111/j.1939-3466.2010.00010.x</w:t>
        </w:r>
      </w:hyperlink>
      <w:r>
        <w:t xml:space="preserve">.</w:t>
      </w:r>
    </w:p>
    <w:bookmarkEnd w:id="82"/>
    <w:bookmarkStart w:id="83" w:name="ref-Galison_1997"/>
    <w:p>
      <w:pPr>
        <w:pStyle w:val="BodyText"/>
      </w:pPr>
      <w:r>
        <w:t xml:space="preserve">Galison, P 1997</w:t>
      </w:r>
      <w:r>
        <w:t xml:space="preserve"> </w:t>
      </w:r>
      <w:r>
        <w:rPr>
          <w:i/>
        </w:rPr>
        <w:t xml:space="preserve">Image and logic: A material culture of microphysics</w:t>
      </w:r>
      <w:r>
        <w:t xml:space="preserve">. University of Chicago Press.</w:t>
      </w:r>
    </w:p>
    <w:bookmarkEnd w:id="83"/>
    <w:bookmarkStart w:id="84" w:name="ref-gieryn1999cultural"/>
    <w:p>
      <w:pPr>
        <w:pStyle w:val="BodyText"/>
      </w:pPr>
      <w:r>
        <w:t xml:space="preserve">Gieryn, T F 1999</w:t>
      </w:r>
      <w:r>
        <w:t xml:space="preserve"> </w:t>
      </w:r>
      <w:r>
        <w:rPr>
          <w:i/>
        </w:rPr>
        <w:t xml:space="preserve">Cultural boundaries of science: Credibility on the line</w:t>
      </w:r>
      <w:r>
        <w:t xml:space="preserve">. University of Chicago Press.</w:t>
      </w:r>
    </w:p>
    <w:bookmarkEnd w:id="84"/>
    <w:bookmarkStart w:id="85" w:name="ref-harris2012interfacing"/>
    <w:p>
      <w:pPr>
        <w:pStyle w:val="BodyText"/>
      </w:pPr>
      <w:r>
        <w:t xml:space="preserve">Harris, T 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44(4): 580–591.</w:t>
      </w:r>
    </w:p>
    <w:bookmarkEnd w:id="85"/>
    <w:bookmarkStart w:id="87" w:name="ref-Härke_2002"/>
    <w:p>
      <w:pPr>
        <w:pStyle w:val="BodyText"/>
      </w:pPr>
      <w:r>
        <w:t xml:space="preserve">Härke, H 2002 Interdisciplinarity and the archaeological study of death,</w:t>
      </w:r>
      <w:r>
        <w:t xml:space="preserve"> </w:t>
      </w:r>
      <w:r>
        <w:rPr>
          <w:i/>
        </w:rPr>
        <w:t xml:space="preserve">Mortality</w:t>
      </w:r>
      <w:r>
        <w:t xml:space="preserve">, 7(3): 340–341. DOI:</w:t>
      </w:r>
      <w:r>
        <w:t xml:space="preserve"> </w:t>
      </w:r>
      <w:hyperlink r:id="rId86">
        <w:r>
          <w:rPr>
            <w:rStyle w:val="Hyperlink"/>
          </w:rPr>
          <w:t xml:space="preserve">https://doi.org/10.1080/1357627021000025487</w:t>
        </w:r>
      </w:hyperlink>
      <w:r>
        <w:t xml:space="preserve">.</w:t>
      </w:r>
    </w:p>
    <w:bookmarkEnd w:id="87"/>
    <w:bookmarkStart w:id="88" w:name="ref-henrich2007dual"/>
    <w:p>
      <w:pPr>
        <w:pStyle w:val="BodyText"/>
      </w:pPr>
      <w:r>
        <w:t xml:space="preserve">Henrich, J and McElreath, R 2007 Dual-inheritance theory: The evolution of human cultural capacities and cultural evolution. In:</w:t>
      </w:r>
      <w:r>
        <w:t xml:space="preserve"> </w:t>
      </w:r>
      <w:r>
        <w:rPr>
          <w:i/>
        </w:rPr>
        <w:t xml:space="preserve">Oxford handbook of evolutionary psychology</w:t>
      </w:r>
      <w:r>
        <w:t xml:space="preserve">.</w:t>
      </w:r>
    </w:p>
    <w:bookmarkEnd w:id="88"/>
    <w:bookmarkStart w:id="90" w:name="ref-hoel_ontological_2013"/>
    <w:p>
      <w:pPr>
        <w:pStyle w:val="BodyText"/>
      </w:pPr>
      <w:r>
        <w:t xml:space="preserve">Hoel, A S and Tuin, I van der 2013 The ontological force of technicity: Reading cassirer and simondon diffractively,</w:t>
      </w:r>
      <w:r>
        <w:t xml:space="preserve"> </w:t>
      </w:r>
      <w:r>
        <w:rPr>
          <w:i/>
        </w:rPr>
        <w:t xml:space="preserve">Philos. Technol.</w:t>
      </w:r>
      <w:r>
        <w:t xml:space="preserve">, 26(2): 187–202. DOI:</w:t>
      </w:r>
      <w:r>
        <w:t xml:space="preserve"> </w:t>
      </w:r>
      <w:hyperlink r:id="rId89">
        <w:r>
          <w:rPr>
            <w:rStyle w:val="Hyperlink"/>
          </w:rPr>
          <w:t xml:space="preserve">https://doi.org/10.1007/s13347-012-0092-5</w:t>
        </w:r>
      </w:hyperlink>
      <w:r>
        <w:t xml:space="preserve">.</w:t>
      </w:r>
    </w:p>
    <w:bookmarkEnd w:id="90"/>
    <w:bookmarkStart w:id="91" w:name="ref-howey2016detecting"/>
    <w:p>
      <w:pPr>
        <w:pStyle w:val="BodyText"/>
      </w:pPr>
      <w:r>
        <w:t xml:space="preserve">Howey, M C, Sullivan, F B, Tallant, J, Kopple, R V and Palace, M W 2016 Detecting precontact anthropogenic microtopographic features in a forested landscape with lidar: A case study from the upper great lakes region, ad 1000-1600,</w:t>
      </w:r>
      <w:r>
        <w:t xml:space="preserve"> </w:t>
      </w:r>
      <w:r>
        <w:rPr>
          <w:i/>
        </w:rPr>
        <w:t xml:space="preserve">PloS one</w:t>
      </w:r>
      <w:r>
        <w:t xml:space="preserve">, 11(9): e0162062.</w:t>
      </w:r>
    </w:p>
    <w:bookmarkEnd w:id="91"/>
    <w:bookmarkStart w:id="93" w:name="ref-Hugget_2015"/>
    <w:p>
      <w:pPr>
        <w:pStyle w:val="BodyText"/>
      </w:pPr>
      <w:r>
        <w:t xml:space="preserve">Huggett, J 2015 2 digital haystacks: Open data and the transformation of archaeological knowledge. In: Wilson, A.T. and Edwards, B. (eds.)</w:t>
      </w:r>
      <w:r>
        <w:t xml:space="preserve"> </w:t>
      </w:r>
      <w:r>
        <w:rPr>
          <w:i/>
        </w:rPr>
        <w:t xml:space="preserve">Open source archaeology: Ethics and practice</w:t>
      </w:r>
      <w:r>
        <w:t xml:space="preserve">. Warsaw, Poland: De Gruyter Open. DOI:</w:t>
      </w:r>
      <w:r>
        <w:t xml:space="preserve"> </w:t>
      </w:r>
      <w:hyperlink r:id="rId92">
        <w:r>
          <w:rPr>
            <w:rStyle w:val="Hyperlink"/>
          </w:rPr>
          <w:t xml:space="preserve">https://doi.org/10.1515/9783110440171-003</w:t>
        </w:r>
      </w:hyperlink>
      <w:r>
        <w:t xml:space="preserve">.</w:t>
      </w:r>
    </w:p>
    <w:bookmarkEnd w:id="93"/>
    <w:bookmarkStart w:id="95" w:name="ref-Huvila_2018"/>
    <w:p>
      <w:pPr>
        <w:pStyle w:val="BodyText"/>
      </w:pPr>
      <w:r>
        <w:t xml:space="preserve">Huvila, I and Huggett, J 2018 Archaeological practices, knowledge work and digitalisation,</w:t>
      </w:r>
      <w:r>
        <w:t xml:space="preserve"> </w:t>
      </w:r>
      <w:r>
        <w:rPr>
          <w:i/>
        </w:rPr>
        <w:t xml:space="preserve">Journal of Computer Applications in Archaeology</w:t>
      </w:r>
      <w:r>
        <w:t xml:space="preserve">, 1(1): 88–100. DOI:</w:t>
      </w:r>
      <w:r>
        <w:t xml:space="preserve"> </w:t>
      </w:r>
      <w:hyperlink r:id="rId94">
        <w:r>
          <w:rPr>
            <w:rStyle w:val="Hyperlink"/>
          </w:rPr>
          <w:t xml:space="preserve">https://doi.org/10.5334/jcaa.6</w:t>
        </w:r>
      </w:hyperlink>
      <w:r>
        <w:t xml:space="preserve">.</w:t>
      </w:r>
    </w:p>
    <w:bookmarkEnd w:id="95"/>
    <w:bookmarkStart w:id="97" w:name="ref-Ince2012"/>
    <w:p>
      <w:pPr>
        <w:pStyle w:val="BodyText"/>
      </w:pPr>
      <w:r>
        <w:t xml:space="preserve">Ince, D C, Hatton, L and Graham-Cumming, J 2012 The case for open computer programs,</w:t>
      </w:r>
      <w:r>
        <w:t xml:space="preserve"> </w:t>
      </w:r>
      <w:r>
        <w:rPr>
          <w:i/>
        </w:rPr>
        <w:t xml:space="preserve">nature</w:t>
      </w:r>
      <w:r>
        <w:t xml:space="preserve">, 482(7386): 485–488. DOI:</w:t>
      </w:r>
      <w:r>
        <w:t xml:space="preserve"> </w:t>
      </w:r>
      <w:hyperlink r:id="rId96">
        <w:r>
          <w:rPr>
            <w:rStyle w:val="Hyperlink"/>
          </w:rPr>
          <w:t xml:space="preserve">https://doi.org/10.1038/nature10836</w:t>
        </w:r>
      </w:hyperlink>
      <w:r>
        <w:t xml:space="preserve">.</w:t>
      </w:r>
    </w:p>
    <w:bookmarkEnd w:id="97"/>
    <w:bookmarkStart w:id="99" w:name="ref-Ioannidis_Stanley_Doucouliagos_2017"/>
    <w:p>
      <w:pPr>
        <w:pStyle w:val="BodyText"/>
      </w:pPr>
      <w:r>
        <w:t xml:space="preserve">Ioannidis, J P A, Stanley, T D and Doucouliagos, H 2017 The power of bias in economics research,</w:t>
      </w:r>
      <w:r>
        <w:t xml:space="preserve"> </w:t>
      </w:r>
      <w:r>
        <w:rPr>
          <w:i/>
        </w:rPr>
        <w:t xml:space="preserve">The Economic Journal</w:t>
      </w:r>
      <w:r>
        <w:t xml:space="preserve">, 127(605): F236–F265. DOI:</w:t>
      </w:r>
      <w:r>
        <w:t xml:space="preserve"> </w:t>
      </w:r>
      <w:hyperlink r:id="rId98">
        <w:r>
          <w:rPr>
            <w:rStyle w:val="Hyperlink"/>
          </w:rPr>
          <w:t xml:space="preserve">https://doi.org/10.1111/ecoj.12461</w:t>
        </w:r>
      </w:hyperlink>
      <w:r>
        <w:t xml:space="preserve">.</w:t>
      </w:r>
    </w:p>
    <w:bookmarkEnd w:id="99"/>
    <w:bookmarkStart w:id="100" w:name="ref-jones2013git"/>
    <w:p>
      <w:pPr>
        <w:pStyle w:val="BodyText"/>
      </w:pPr>
      <w:r>
        <w:t xml:space="preserve">Jones, Z M 2013 Git/github, transparency, and legitimacy in quantitative research,</w:t>
      </w:r>
      <w:r>
        <w:t xml:space="preserve"> </w:t>
      </w:r>
      <w:r>
        <w:rPr>
          <w:i/>
        </w:rPr>
        <w:t xml:space="preserve">The Political Methodologist</w:t>
      </w:r>
      <w:r>
        <w:t xml:space="preserve">, 21(1): 6–7.</w:t>
      </w:r>
    </w:p>
    <w:bookmarkEnd w:id="100"/>
    <w:bookmarkStart w:id="101" w:name="ref-keron_use_2015"/>
    <w:p>
      <w:pPr>
        <w:pStyle w:val="BodyText"/>
      </w:pPr>
      <w:r>
        <w:t xml:space="preserve">Keron, J R 2015</w:t>
      </w:r>
      <w:r>
        <w:t xml:space="preserve"> </w:t>
      </w:r>
      <w:r>
        <w:rPr>
          <w:i w:val="0"/>
          <w:i/>
        </w:rPr>
        <w:t xml:space="preserve">The use of point pattern analysis in archaeology: Some methods and applications.</w:t>
      </w:r>
      <w:r>
        <w:t xml:space="preserve"> </w:t>
      </w:r>
      <w:r>
        <w:t xml:space="preserve">PhD thesis. University of Western Ontario.</w:t>
      </w:r>
    </w:p>
    <w:bookmarkEnd w:id="101"/>
    <w:bookmarkStart w:id="103" w:name="ref-Kidwell_et_al_2016"/>
    <w:p>
      <w:pPr>
        <w:pStyle w:val="BodyText"/>
      </w:pPr>
      <w:r>
        <w:t xml:space="preserve">Kidwell, M C, Lazarević, L B, Baranski, E, Hardwicke, T E, Piechowski, S, Falkenberg, L-S, Kennett, C, Slowik, A, Sonnleitner, C, Hess-Holden, C and al. 2016 Badges to acknowledge open practices: A simple, low-cost, effective method for increasing transparency,</w:t>
      </w:r>
      <w:r>
        <w:t xml:space="preserve"> </w:t>
      </w:r>
      <w:r>
        <w:rPr>
          <w:i/>
        </w:rPr>
        <w:t xml:space="preserve">PLOS Biology</w:t>
      </w:r>
      <w:r>
        <w:t xml:space="preserve">, 14(5): e1002456. DOI:</w:t>
      </w:r>
      <w:r>
        <w:t xml:space="preserve"> </w:t>
      </w:r>
      <w:hyperlink r:id="rId102">
        <w:r>
          <w:rPr>
            <w:rStyle w:val="Hyperlink"/>
          </w:rPr>
          <w:t xml:space="preserve">https://doi.org/10.1371/journal.pbio.1002456</w:t>
        </w:r>
      </w:hyperlink>
      <w:r>
        <w:t xml:space="preserve">.</w:t>
      </w:r>
    </w:p>
    <w:bookmarkEnd w:id="103"/>
    <w:bookmarkStart w:id="104" w:name="ref-king1995replication"/>
    <w:p>
      <w:pPr>
        <w:pStyle w:val="BodyText"/>
      </w:pPr>
      <w:r>
        <w:t xml:space="preserve">King, G 1995 Replication, replication,</w:t>
      </w:r>
      <w:r>
        <w:t xml:space="preserve"> </w:t>
      </w:r>
      <w:r>
        <w:rPr>
          <w:i/>
        </w:rPr>
        <w:t xml:space="preserve">PS: Political Science &amp; Politics</w:t>
      </w:r>
      <w:r>
        <w:t xml:space="preserve">, 28(03): 444–452.</w:t>
      </w:r>
    </w:p>
    <w:bookmarkEnd w:id="104"/>
    <w:bookmarkStart w:id="106" w:name="ref-Koerner_2018"/>
    <w:p>
      <w:pPr>
        <w:pStyle w:val="BodyText"/>
      </w:pPr>
      <w:r>
        <w:t xml:space="preserve">Koerner, S 2018 Scientific revolutions. In:</w:t>
      </w:r>
      <w:r>
        <w:t xml:space="preserve"> </w:t>
      </w:r>
      <w:r>
        <w:rPr>
          <w:i/>
        </w:rPr>
        <w:t xml:space="preserve">The encyclopedia of archaeological sciences</w:t>
      </w:r>
      <w:r>
        <w:t xml:space="preserve">. American Cancer Society. pp. 1–5. DOI:</w:t>
      </w:r>
      <w:r>
        <w:t xml:space="preserve"> </w:t>
      </w:r>
      <w:hyperlink r:id="rId105">
        <w:r>
          <w:rPr>
            <w:rStyle w:val="Hyperlink"/>
          </w:rPr>
          <w:t xml:space="preserve">https://doi.org/10.1002/9781119188230.saseas0525</w:t>
        </w:r>
      </w:hyperlink>
      <w:r>
        <w:t xml:space="preserve">.</w:t>
      </w:r>
    </w:p>
    <w:bookmarkEnd w:id="106"/>
    <w:bookmarkStart w:id="107" w:name="ref-Kuhn_1962"/>
    <w:p>
      <w:pPr>
        <w:pStyle w:val="BodyText"/>
      </w:pPr>
      <w:r>
        <w:t xml:space="preserve">Kuhn, T 1962</w:t>
      </w:r>
      <w:r>
        <w:t xml:space="preserve"> </w:t>
      </w:r>
      <w:r>
        <w:rPr>
          <w:i/>
        </w:rPr>
        <w:t xml:space="preserve">The structure of scientific revolutions</w:t>
      </w:r>
      <w:r>
        <w:t xml:space="preserve">. University of Chicago Press.</w:t>
      </w:r>
    </w:p>
    <w:bookmarkEnd w:id="107"/>
    <w:bookmarkStart w:id="109" w:name="ref-Kurtz_Eichhorn_Accomazzi_Grant_Demleitner_Henneken_Murray_2005"/>
    <w:p>
      <w:pPr>
        <w:pStyle w:val="BodyText"/>
      </w:pPr>
      <w:r>
        <w:t xml:space="preserve">Kurtz, M J, Eichhorn, G, Accomazzi, A, Grant, C, Demleitner, M, Henneken, E and Murray, S S 2005 The effect of use and access on citations,</w:t>
      </w:r>
      <w:r>
        <w:t xml:space="preserve"> </w:t>
      </w:r>
      <w:r>
        <w:rPr>
          <w:i/>
        </w:rPr>
        <w:t xml:space="preserve">Information Processing &amp; Management</w:t>
      </w:r>
      <w:r>
        <w:t xml:space="preserve">, 41(6): 1395–1402. DOI:</w:t>
      </w:r>
      <w:r>
        <w:t xml:space="preserve"> </w:t>
      </w:r>
      <w:hyperlink r:id="rId108">
        <w:r>
          <w:rPr>
            <w:rStyle w:val="Hyperlink"/>
          </w:rPr>
          <w:t xml:space="preserve">https://doi.org/10.1016/j.ipm.2005.03.010</w:t>
        </w:r>
      </w:hyperlink>
      <w:r>
        <w:t xml:space="preserve">.</w:t>
      </w:r>
    </w:p>
    <w:bookmarkEnd w:id="109"/>
    <w:bookmarkStart w:id="111" w:name="ref-LeVeque2012"/>
    <w:p>
      <w:pPr>
        <w:pStyle w:val="BodyText"/>
      </w:pPr>
      <w:r>
        <w:t xml:space="preserve">LeVeque, R J, Mitchell, I M and Stodden, V 2012 Reproducible research for scientific computing: Tools and strategies for changing the culture,</w:t>
      </w:r>
      <w:r>
        <w:t xml:space="preserve"> </w:t>
      </w:r>
      <w:r>
        <w:rPr>
          <w:i/>
        </w:rPr>
        <w:t xml:space="preserve">Computing in Science &amp; Engineering</w:t>
      </w:r>
      <w:r>
        <w:t xml:space="preserve">, 14(4): 13–17. DOI:</w:t>
      </w:r>
      <w:r>
        <w:t xml:space="preserve"> </w:t>
      </w:r>
      <w:hyperlink r:id="rId110">
        <w:r>
          <w:rPr>
            <w:rStyle w:val="Hyperlink"/>
          </w:rPr>
          <w:t xml:space="preserve">https://doi.org/10.1109/MCSE.2012.38</w:t>
        </w:r>
      </w:hyperlink>
      <w:r>
        <w:t xml:space="preserve">.</w:t>
      </w:r>
    </w:p>
    <w:bookmarkEnd w:id="111"/>
    <w:bookmarkStart w:id="112" w:name="ref-markowetz2015five"/>
    <w:p>
      <w:pPr>
        <w:pStyle w:val="BodyText"/>
      </w:pPr>
      <w:r>
        <w:t xml:space="preserve">Markowetz, F 2015 Five selfish reasons to work reproducibly,</w:t>
      </w:r>
      <w:r>
        <w:t xml:space="preserve"> </w:t>
      </w:r>
      <w:r>
        <w:rPr>
          <w:i/>
        </w:rPr>
        <w:t xml:space="preserve">Genome Biology</w:t>
      </w:r>
      <w:r>
        <w:t xml:space="preserve">, 16:.</w:t>
      </w:r>
    </w:p>
    <w:bookmarkEnd w:id="112"/>
    <w:bookmarkStart w:id="114" w:name="ref-Marwick2017"/>
    <w:p>
      <w:pPr>
        <w:pStyle w:val="BodyText"/>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24(2): 424–450. DOI:</w:t>
      </w:r>
      <w:r>
        <w:t xml:space="preserve"> </w:t>
      </w:r>
      <w:hyperlink r:id="rId113">
        <w:r>
          <w:rPr>
            <w:rStyle w:val="Hyperlink"/>
          </w:rPr>
          <w:t xml:space="preserve">https://doi.org/10.1007/s10816-015-9272-9</w:t>
        </w:r>
      </w:hyperlink>
      <w:r>
        <w:t xml:space="preserve">.</w:t>
      </w:r>
    </w:p>
    <w:bookmarkEnd w:id="114"/>
    <w:bookmarkStart w:id="116" w:name="ref-marwick_standard_2018"/>
    <w:p>
      <w:pPr>
        <w:pStyle w:val="BodyText"/>
      </w:pPr>
      <w:r>
        <w:t xml:space="preserve">Marwick, B and Birch, S E P 2018 A Standard for the Scholarly Citation of Archaeological Data as an Incentive to Data Sharing,</w:t>
      </w:r>
      <w:r>
        <w:t xml:space="preserve"> </w:t>
      </w:r>
      <w:r>
        <w:rPr>
          <w:i/>
        </w:rPr>
        <w:t xml:space="preserve">Advances in Archaeological Practice</w:t>
      </w:r>
      <w:r>
        <w:t xml:space="preserve">, 6(2): 125–143. DOI:</w:t>
      </w:r>
      <w:r>
        <w:t xml:space="preserve"> </w:t>
      </w:r>
      <w:hyperlink r:id="rId115">
        <w:r>
          <w:rPr>
            <w:rStyle w:val="Hyperlink"/>
          </w:rPr>
          <w:t xml:space="preserve">https://doi.org/10.1017/aap.2018.3</w:t>
        </w:r>
      </w:hyperlink>
      <w:r>
        <w:t xml:space="preserve">.</w:t>
      </w:r>
    </w:p>
    <w:bookmarkEnd w:id="116"/>
    <w:bookmarkStart w:id="117" w:name="ref-marwick2018packaging"/>
    <w:p>
      <w:pPr>
        <w:pStyle w:val="BodyText"/>
      </w:pPr>
      <w:r>
        <w:t xml:space="preserve">Marwick, B, Boettiger, C and Mullen, L 2018 Packaging data analytical work reproducibly using r (and friends),</w:t>
      </w:r>
      <w:r>
        <w:t xml:space="preserve"> </w:t>
      </w:r>
      <w:r>
        <w:rPr>
          <w:i/>
        </w:rPr>
        <w:t xml:space="preserve">The American Statistician</w:t>
      </w:r>
      <w:r>
        <w:t xml:space="preserve">, 72(1): 80–88.</w:t>
      </w:r>
    </w:p>
    <w:bookmarkEnd w:id="117"/>
    <w:bookmarkStart w:id="118" w:name="ref-masterman1970does"/>
    <w:p>
      <w:pPr>
        <w:pStyle w:val="BodyText"/>
      </w:pPr>
      <w:r>
        <w:t xml:space="preserve">Masterman, M 1970 The nature of a paradigm.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59–89.</w:t>
      </w:r>
    </w:p>
    <w:bookmarkEnd w:id="118"/>
    <w:bookmarkStart w:id="120" w:name="ref-McAnany_Rowe_2015"/>
    <w:p>
      <w:pPr>
        <w:pStyle w:val="BodyText"/>
      </w:pPr>
      <w:r>
        <w:t xml:space="preserve">McAnany, P A and Rowe, S M 2015 Re-visiting the field: Collaborative archaeology as paradigm shift,</w:t>
      </w:r>
      <w:r>
        <w:t xml:space="preserve"> </w:t>
      </w:r>
      <w:r>
        <w:rPr>
          <w:i/>
        </w:rPr>
        <w:t xml:space="preserve">Journal of Field Archaeology</w:t>
      </w:r>
      <w:r>
        <w:t xml:space="preserve">, 40(5): 499–507. DOI:</w:t>
      </w:r>
      <w:r>
        <w:t xml:space="preserve"> </w:t>
      </w:r>
      <w:hyperlink r:id="rId119">
        <w:r>
          <w:rPr>
            <w:rStyle w:val="Hyperlink"/>
          </w:rPr>
          <w:t xml:space="preserve">https://doi.org/10.1179/2042458215Y.0000000007</w:t>
        </w:r>
      </w:hyperlink>
      <w:r>
        <w:t xml:space="preserve">.</w:t>
      </w:r>
    </w:p>
    <w:bookmarkEnd w:id="120"/>
    <w:bookmarkStart w:id="122" w:name="ref-Meltzer_1979"/>
    <w:p>
      <w:pPr>
        <w:pStyle w:val="BodyText"/>
      </w:pPr>
      <w:r>
        <w:t xml:space="preserve">Meltzer, D J 1979 Paradigms and the nature of change in american archaeology,</w:t>
      </w:r>
      <w:r>
        <w:t xml:space="preserve"> </w:t>
      </w:r>
      <w:r>
        <w:rPr>
          <w:i/>
        </w:rPr>
        <w:t xml:space="preserve">American Antiquity</w:t>
      </w:r>
      <w:r>
        <w:t xml:space="preserve">, 44(4): 644–657. DOI:</w:t>
      </w:r>
      <w:r>
        <w:t xml:space="preserve"> </w:t>
      </w:r>
      <w:hyperlink r:id="rId121">
        <w:r>
          <w:rPr>
            <w:rStyle w:val="Hyperlink"/>
          </w:rPr>
          <w:t xml:space="preserve">https://doi.org/10.2307/279104</w:t>
        </w:r>
      </w:hyperlink>
      <w:r>
        <w:t xml:space="preserve">.</w:t>
      </w:r>
    </w:p>
    <w:bookmarkEnd w:id="122"/>
    <w:bookmarkStart w:id="124" w:name="ref-Miguel2014"/>
    <w:p>
      <w:pPr>
        <w:pStyle w:val="BodyText"/>
      </w:pPr>
      <w:r>
        <w:t xml:space="preserve">Miguel, E, Camerer, C, Casey, K, Cohen, J, Esterling, K M, Gerber, A, Glennerster, R, Green, D P, Humphreys, M, Imbens, G, Laitin, D, Madon, T, Nelson, L, Nosek, B A, Petersen, M, Sedlmayr, R, Simmons, J P, Simonsohn, U and Van der Laan, M 2014 Promoting transparency in social science research,</w:t>
      </w:r>
      <w:r>
        <w:t xml:space="preserve"> </w:t>
      </w:r>
      <w:r>
        <w:rPr>
          <w:i/>
        </w:rPr>
        <w:t xml:space="preserve">Science (New York, N.Y.)</w:t>
      </w:r>
      <w:r>
        <w:t xml:space="preserve">, 343(6166): 30–31. DOI:</w:t>
      </w:r>
      <w:r>
        <w:t xml:space="preserve"> </w:t>
      </w:r>
      <w:hyperlink r:id="rId123">
        <w:r>
          <w:rPr>
            <w:rStyle w:val="Hyperlink"/>
          </w:rPr>
          <w:t xml:space="preserve">https://doi.org/10.1126/science.1245317</w:t>
        </w:r>
      </w:hyperlink>
      <w:r>
        <w:t xml:space="preserve">.</w:t>
      </w:r>
    </w:p>
    <w:bookmarkEnd w:id="124"/>
    <w:bookmarkStart w:id="125" w:name="ref-Mitchell2012"/>
    <w:p>
      <w:pPr>
        <w:pStyle w:val="BodyText"/>
      </w:pPr>
      <w:r>
        <w:t xml:space="preserve">Mitchell, I M, LeVeque, R J and Stodden, V 2012 Reproducible research for scientific computing: Tools and strategies for changing the culture,</w:t>
      </w:r>
      <w:r>
        <w:t xml:space="preserve"> </w:t>
      </w:r>
      <w:r>
        <w:rPr>
          <w:i/>
        </w:rPr>
        <w:t xml:space="preserve">Computing in Science and Engineering</w:t>
      </w:r>
      <w:r>
        <w:t xml:space="preserve">, 14(4): 13–17.</w:t>
      </w:r>
    </w:p>
    <w:bookmarkEnd w:id="125"/>
    <w:bookmarkStart w:id="126" w:name="ref-molyneaux2013cultural"/>
    <w:p>
      <w:pPr>
        <w:pStyle w:val="BodyText"/>
      </w:pPr>
      <w:r>
        <w:t xml:space="preserve">Molyneaux, B L 2013</w:t>
      </w:r>
      <w:r>
        <w:t xml:space="preserve"> </w:t>
      </w:r>
      <w:r>
        <w:rPr>
          <w:i/>
        </w:rPr>
        <w:t xml:space="preserve">The cultural life of images: Visual representation in archaeology</w:t>
      </w:r>
      <w:r>
        <w:t xml:space="preserve">. Routledge.</w:t>
      </w:r>
    </w:p>
    <w:bookmarkEnd w:id="126"/>
    <w:bookmarkStart w:id="127" w:name="ref-noble2009quick"/>
    <w:p>
      <w:pPr>
        <w:pStyle w:val="BodyText"/>
      </w:pPr>
      <w:r>
        <w:t xml:space="preserve">Noble, W S 2009 A quick guide to organizing computational biology projects,</w:t>
      </w:r>
      <w:r>
        <w:t xml:space="preserve"> </w:t>
      </w:r>
      <w:r>
        <w:rPr>
          <w:i/>
        </w:rPr>
        <w:t xml:space="preserve">PLoS computational biology</w:t>
      </w:r>
      <w:r>
        <w:t xml:space="preserve">, 5(7): e1000424.</w:t>
      </w:r>
    </w:p>
    <w:bookmarkEnd w:id="127"/>
    <w:bookmarkStart w:id="129" w:name="ref-Nosek_et_al_2015"/>
    <w:p>
      <w:pPr>
        <w:pStyle w:val="BodyText"/>
      </w:pPr>
      <w:r>
        <w:t xml:space="preserve">Nosek, B A, Alter, G, Banks, G C, Borsboom, D, Bowman, S D, Breckler, S J, Buck, S, Chambers, C D, Chin, G, Christensen, G and al. 2015a Promoting an open research culture: Author guidelines for journals could help to promote transparency, openness, and reproducibility,</w:t>
      </w:r>
      <w:r>
        <w:t xml:space="preserve"> </w:t>
      </w:r>
      <w:r>
        <w:rPr>
          <w:i/>
        </w:rPr>
        <w:t xml:space="preserve">Science (New York, N.Y.)</w:t>
      </w:r>
      <w:r>
        <w:t xml:space="preserve">, 348(6242): 1422–1425. DOI:</w:t>
      </w:r>
      <w:r>
        <w:t xml:space="preserve"> </w:t>
      </w:r>
      <w:hyperlink r:id="rId128">
        <w:r>
          <w:rPr>
            <w:rStyle w:val="Hyperlink"/>
          </w:rPr>
          <w:t xml:space="preserve">https://doi.org/10.1126/science.aab2374</w:t>
        </w:r>
      </w:hyperlink>
      <w:r>
        <w:t xml:space="preserve">.</w:t>
      </w:r>
    </w:p>
    <w:bookmarkEnd w:id="129"/>
    <w:bookmarkStart w:id="130" w:name="ref-nosek2015promoting"/>
    <w:p>
      <w:pPr>
        <w:pStyle w:val="BodyText"/>
      </w:pPr>
      <w:r>
        <w:t xml:space="preserve">Nosek, B, Alter, G, Banks, G, Borsboom, D, Bowman, S, Breckler, S, Buck, S, Chambers, C, Chin, G, Christensen, G and others 2015b Promoting an open research culture: Author guidelines for journals could help to promote transparency, openness, and reproducibility,</w:t>
      </w:r>
      <w:r>
        <w:t xml:space="preserve"> </w:t>
      </w:r>
      <w:r>
        <w:rPr>
          <w:i/>
        </w:rPr>
        <w:t xml:space="preserve">Science (New York, NY)</w:t>
      </w:r>
      <w:r>
        <w:t xml:space="preserve">, 348(6242): 1422.</w:t>
      </w:r>
    </w:p>
    <w:bookmarkEnd w:id="130"/>
    <w:bookmarkStart w:id="131" w:name="ref-Chrysanthi_2012"/>
    <w:p>
      <w:pPr>
        <w:pStyle w:val="BodyText"/>
      </w:pPr>
      <w:r>
        <w:t xml:space="preserve">Papadopoulos, C, Chrysanthi, A and Murietta-Flores, P 2012 Archaeological computing: Towards prosthesis or amputation? In: Chrysanthi, A., Murietta-Flores, P., and Papadopoulos, C. (eds.)</w:t>
      </w:r>
      <w:r>
        <w:t xml:space="preserve"> </w:t>
      </w:r>
      <w:r>
        <w:rPr>
          <w:i/>
        </w:rPr>
        <w:t xml:space="preserve">Thinking beyond the tool. Archaeological computingand the interpretive process</w:t>
      </w:r>
      <w:r>
        <w:t xml:space="preserve">. BAR internat. Ser. Oxford: Archeopress.</w:t>
      </w:r>
    </w:p>
    <w:bookmarkEnd w:id="131"/>
    <w:bookmarkStart w:id="132" w:name="ref-pearson1998beginning"/>
    <w:p>
      <w:pPr>
        <w:pStyle w:val="BodyText"/>
      </w:pPr>
      <w:r>
        <w:t xml:space="preserve">Pearson, M P 1998 The beginning of wisdom,</w:t>
      </w:r>
      <w:r>
        <w:t xml:space="preserve"> </w:t>
      </w:r>
      <w:r>
        <w:rPr>
          <w:i/>
        </w:rPr>
        <w:t xml:space="preserve">Antiquity</w:t>
      </w:r>
      <w:r>
        <w:t xml:space="preserve">, 72(277): 680–686.</w:t>
      </w:r>
    </w:p>
    <w:bookmarkEnd w:id="132"/>
    <w:bookmarkStart w:id="134" w:name="ref-Peng2009"/>
    <w:p>
      <w:pPr>
        <w:pStyle w:val="BodyText"/>
      </w:pPr>
      <w:r>
        <w:t xml:space="preserve">Peng, R D 2009 Reproducible research and biostatistics,</w:t>
      </w:r>
      <w:r>
        <w:t xml:space="preserve"> </w:t>
      </w:r>
      <w:r>
        <w:rPr>
          <w:i/>
        </w:rPr>
        <w:t xml:space="preserve">biostatistics</w:t>
      </w:r>
      <w:r>
        <w:t xml:space="preserve">, 10(3): 405–408. DOI:</w:t>
      </w:r>
      <w:r>
        <w:t xml:space="preserve"> </w:t>
      </w:r>
      <w:hyperlink r:id="rId133">
        <w:r>
          <w:rPr>
            <w:rStyle w:val="Hyperlink"/>
          </w:rPr>
          <w:t xml:space="preserve">https://doi.org/10.1093/biostatistics/kxp014</w:t>
        </w:r>
      </w:hyperlink>
      <w:r>
        <w:t xml:space="preserve">.</w:t>
      </w:r>
    </w:p>
    <w:bookmarkEnd w:id="134"/>
    <w:bookmarkStart w:id="135" w:name="ref-peng2011reproducible"/>
    <w:p>
      <w:pPr>
        <w:pStyle w:val="BodyText"/>
      </w:pPr>
      <w:r>
        <w:t xml:space="preserve">Peng, R D 2011 Reproducible research in computational science,</w:t>
      </w:r>
      <w:r>
        <w:t xml:space="preserve"> </w:t>
      </w:r>
      <w:r>
        <w:rPr>
          <w:i/>
        </w:rPr>
        <w:t xml:space="preserve">Science (New York, Ny)</w:t>
      </w:r>
      <w:r>
        <w:t xml:space="preserve">, 334(6060): 1226.</w:t>
      </w:r>
    </w:p>
    <w:bookmarkEnd w:id="135"/>
    <w:bookmarkStart w:id="136" w:name="ref-popper1970"/>
    <w:p>
      <w:pPr>
        <w:pStyle w:val="BodyText"/>
      </w:pPr>
      <w:r>
        <w:t xml:space="preserve">Popper, K 1970 Normal science and its dangers.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51–58.</w:t>
      </w:r>
    </w:p>
    <w:bookmarkEnd w:id="136"/>
    <w:bookmarkStart w:id="138" w:name="ref-Rendell_et_al_2011"/>
    <w:p>
      <w:pPr>
        <w:pStyle w:val="BodyText"/>
      </w:pPr>
      <w:r>
        <w:t xml:space="preserve">Rendell, L, Fogarty, L, Hoppitt, W J E, Morgan, T J H, Webster, M M and Laland, K N 2011 Cognitive culture: Theoretical and empirical insights into social learning strategies,</w:t>
      </w:r>
      <w:r>
        <w:t xml:space="preserve"> </w:t>
      </w:r>
      <w:r>
        <w:rPr>
          <w:i/>
        </w:rPr>
        <w:t xml:space="preserve">Trends in Cognitive Sciences</w:t>
      </w:r>
      <w:r>
        <w:t xml:space="preserve">, 15(2): 68–76. DOI:</w:t>
      </w:r>
      <w:r>
        <w:t xml:space="preserve"> </w:t>
      </w:r>
      <w:hyperlink r:id="rId137">
        <w:r>
          <w:rPr>
            <w:rStyle w:val="Hyperlink"/>
          </w:rPr>
          <w:t xml:space="preserve">https://doi.org/10.1016/j.tics.2010.12.002</w:t>
        </w:r>
      </w:hyperlink>
      <w:r>
        <w:t xml:space="preserve">.</w:t>
      </w:r>
    </w:p>
    <w:bookmarkEnd w:id="138"/>
    <w:bookmarkStart w:id="140" w:name="ref-Sandve2013"/>
    <w:p>
      <w:pPr>
        <w:pStyle w:val="BodyText"/>
      </w:pPr>
      <w:r>
        <w:t xml:space="preserve">Sandve, G K, Nekrutenko, A, Taylor, J and Hovig, E 2013 Ten simple rules for reproducible computational research,</w:t>
      </w:r>
      <w:r>
        <w:t xml:space="preserve"> </w:t>
      </w:r>
      <w:r>
        <w:rPr>
          <w:i/>
        </w:rPr>
        <w:t xml:space="preserve">PLoS Comput Biol</w:t>
      </w:r>
      <w:r>
        <w:t xml:space="preserve">, 9(10): e1003285. DOI:</w:t>
      </w:r>
      <w:r>
        <w:t xml:space="preserve"> </w:t>
      </w:r>
      <w:hyperlink r:id="rId139">
        <w:r>
          <w:rPr>
            <w:rStyle w:val="Hyperlink"/>
          </w:rPr>
          <w:t xml:space="preserve">https://doi.org/10.1371/journal.pcbi.1003285</w:t>
        </w:r>
      </w:hyperlink>
      <w:r>
        <w:t xml:space="preserve">.</w:t>
      </w:r>
    </w:p>
    <w:bookmarkEnd w:id="140"/>
    <w:bookmarkStart w:id="141" w:name="ref-Schiffer_2013"/>
    <w:p>
      <w:pPr>
        <w:pStyle w:val="BodyText"/>
      </w:pPr>
      <w:r>
        <w:t xml:space="preserve">Schiffer, M B 2013</w:t>
      </w:r>
      <w:r>
        <w:t xml:space="preserve"> </w:t>
      </w:r>
      <w:r>
        <w:rPr>
          <w:i/>
        </w:rPr>
        <w:t xml:space="preserve">The archaeology of science: Studying the creation of useful knowledge</w:t>
      </w:r>
      <w:r>
        <w:t xml:space="preserve">. Manuals in archaeological method, theory and technique. Springer International Publishing.</w:t>
      </w:r>
    </w:p>
    <w:bookmarkEnd w:id="141"/>
    <w:bookmarkStart w:id="142" w:name="ref-simondon_mode_1958"/>
    <w:p>
      <w:pPr>
        <w:pStyle w:val="BodyText"/>
      </w:pPr>
      <w:r>
        <w:t xml:space="preserve">Simondon, G 2011 On the mode of existence of technical objects (trans: Mellamphy, n., mellamphy, d. And biswas mellamphy, n.),</w:t>
      </w:r>
      <w:r>
        <w:t xml:space="preserve"> </w:t>
      </w:r>
      <w:r>
        <w:rPr>
          <w:i/>
        </w:rPr>
        <w:t xml:space="preserve">Deleuze Studies</w:t>
      </w:r>
      <w:r>
        <w:t xml:space="preserve">, 5(3): 407–424.</w:t>
      </w:r>
    </w:p>
    <w:bookmarkEnd w:id="142"/>
    <w:bookmarkStart w:id="144" w:name="ref-Snodgrass_2002"/>
    <w:p>
      <w:pPr>
        <w:pStyle w:val="BodyText"/>
      </w:pPr>
      <w:r>
        <w:t xml:space="preserve">Snodgrass, A 2002 A paradigm shift in classical archaeology?,</w:t>
      </w:r>
      <w:r>
        <w:t xml:space="preserve"> </w:t>
      </w:r>
      <w:r>
        <w:rPr>
          <w:i/>
        </w:rPr>
        <w:t xml:space="preserve">Cambridge Archaeological Journal</w:t>
      </w:r>
      <w:r>
        <w:t xml:space="preserve">, 12(2): 179–194. DOI:</w:t>
      </w:r>
      <w:r>
        <w:t xml:space="preserve"> </w:t>
      </w:r>
      <w:hyperlink r:id="rId143">
        <w:r>
          <w:rPr>
            <w:rStyle w:val="Hyperlink"/>
          </w:rPr>
          <w:t xml:space="preserve">https://doi.org/10.1017/S0959774302000094</w:t>
        </w:r>
      </w:hyperlink>
      <w:r>
        <w:t xml:space="preserve">.</w:t>
      </w:r>
    </w:p>
    <w:bookmarkEnd w:id="144"/>
    <w:bookmarkStart w:id="146" w:name="ref-Stark_2018"/>
    <w:p>
      <w:pPr>
        <w:pStyle w:val="BodyText"/>
      </w:pPr>
      <w:r>
        <w:t xml:space="preserve">Stark, P B 2018 Before reproducibility must come preproducibility,</w:t>
      </w:r>
      <w:r>
        <w:t xml:space="preserve"> </w:t>
      </w:r>
      <w:r>
        <w:rPr>
          <w:i/>
        </w:rPr>
        <w:t xml:space="preserve">Nature</w:t>
      </w:r>
      <w:r>
        <w:t xml:space="preserve">, 557: 613. DOI:</w:t>
      </w:r>
      <w:r>
        <w:t xml:space="preserve"> </w:t>
      </w:r>
      <w:hyperlink r:id="rId145">
        <w:r>
          <w:rPr>
            <w:rStyle w:val="Hyperlink"/>
          </w:rPr>
          <w:t xml:space="preserve">https://doi.org/10.1038/d41586-018-05256-0</w:t>
        </w:r>
      </w:hyperlink>
      <w:r>
        <w:t xml:space="preserve">.</w:t>
      </w:r>
    </w:p>
    <w:bookmarkEnd w:id="146"/>
    <w:bookmarkStart w:id="148" w:name="ref-Stodden_2013"/>
    <w:p>
      <w:pPr>
        <w:pStyle w:val="BodyText"/>
      </w:pPr>
      <w:r>
        <w:t xml:space="preserve">Stodden, V, Guo, P and Ma, Z 2013 Toward reproducible computational research: An empirical analysis of data and code policy adoption by journals,</w:t>
      </w:r>
      <w:r>
        <w:t xml:space="preserve"> </w:t>
      </w:r>
      <w:r>
        <w:rPr>
          <w:i/>
        </w:rPr>
        <w:t xml:space="preserve">PLOS ONE</w:t>
      </w:r>
      <w:r>
        <w:t xml:space="preserve">, 8(6): e67111. DOI:</w:t>
      </w:r>
      <w:r>
        <w:t xml:space="preserve"> </w:t>
      </w:r>
      <w:hyperlink r:id="rId147">
        <w:r>
          <w:rPr>
            <w:rStyle w:val="Hyperlink"/>
          </w:rPr>
          <w:t xml:space="preserve">https://doi.org/10.1371/journal.pone.0067111</w:t>
        </w:r>
      </w:hyperlink>
      <w:r>
        <w:t xml:space="preserve">.</w:t>
      </w:r>
    </w:p>
    <w:bookmarkEnd w:id="148"/>
    <w:bookmarkStart w:id="150" w:name="ref-Strupler_2017"/>
    <w:p>
      <w:pPr>
        <w:pStyle w:val="BodyText"/>
      </w:pPr>
      <w:r>
        <w:t xml:space="preserve">Strupler, N and Wilkinson, T C 2017 Reproducibility in the field: Transparency, version control and collaboration on the project panormos survey,</w:t>
      </w:r>
      <w:r>
        <w:t xml:space="preserve"> </w:t>
      </w:r>
      <w:r>
        <w:rPr>
          <w:i/>
        </w:rPr>
        <w:t xml:space="preserve">Open Archaeology</w:t>
      </w:r>
      <w:r>
        <w:t xml:space="preserve">, 3(1): 279–304. DOI:</w:t>
      </w:r>
      <w:r>
        <w:t xml:space="preserve"> </w:t>
      </w:r>
      <w:hyperlink r:id="rId149">
        <w:r>
          <w:rPr>
            <w:rStyle w:val="Hyperlink"/>
          </w:rPr>
          <w:t xml:space="preserve">https://doi.org/10.1515/opar-2017-0019</w:t>
        </w:r>
      </w:hyperlink>
      <w:r>
        <w:t xml:space="preserve">.</w:t>
      </w:r>
    </w:p>
    <w:bookmarkEnd w:id="150"/>
    <w:bookmarkStart w:id="152" w:name="ref-Thieme_2018"/>
    <w:p>
      <w:pPr>
        <w:pStyle w:val="BodyText"/>
      </w:pPr>
      <w:r>
        <w:t xml:space="preserve">Thieme, N 2018 R generation,</w:t>
      </w:r>
      <w:r>
        <w:t xml:space="preserve"> </w:t>
      </w:r>
      <w:r>
        <w:rPr>
          <w:i/>
        </w:rPr>
        <w:t xml:space="preserve">Significance</w:t>
      </w:r>
      <w:r>
        <w:t xml:space="preserve">, 15(4): 14–19. DOI:</w:t>
      </w:r>
      <w:r>
        <w:t xml:space="preserve"> </w:t>
      </w:r>
      <w:hyperlink r:id="rId151">
        <w:r>
          <w:rPr>
            <w:rStyle w:val="Hyperlink"/>
          </w:rPr>
          <w:t xml:space="preserve">https://doi.org/10.1111/j.1740-9713.2018.01169.x</w:t>
        </w:r>
      </w:hyperlink>
      <w:r>
        <w:t xml:space="preserve">.</w:t>
      </w:r>
    </w:p>
    <w:bookmarkEnd w:id="152"/>
    <w:bookmarkStart w:id="154" w:name="ref-Tippmann_2015"/>
    <w:p>
      <w:pPr>
        <w:pStyle w:val="BodyText"/>
      </w:pPr>
      <w:r>
        <w:t xml:space="preserve">Tippmann, S 2015 Programming tools: Adventures with r,</w:t>
      </w:r>
      <w:r>
        <w:t xml:space="preserve"> </w:t>
      </w:r>
      <w:r>
        <w:rPr>
          <w:i/>
        </w:rPr>
        <w:t xml:space="preserve">Nature News</w:t>
      </w:r>
      <w:r>
        <w:t xml:space="preserve">, 517(7532): 109. DOI:</w:t>
      </w:r>
      <w:r>
        <w:t xml:space="preserve"> </w:t>
      </w:r>
      <w:hyperlink r:id="rId153">
        <w:r>
          <w:rPr>
            <w:rStyle w:val="Hyperlink"/>
          </w:rPr>
          <w:t xml:space="preserve">https://doi.org/10.1038/517109a</w:t>
        </w:r>
      </w:hyperlink>
      <w:r>
        <w:t xml:space="preserve">.</w:t>
      </w:r>
    </w:p>
    <w:bookmarkEnd w:id="154"/>
    <w:bookmarkStart w:id="156" w:name="ref-Touchon_McCoy_2016"/>
    <w:p>
      <w:pPr>
        <w:pStyle w:val="BodyText"/>
      </w:pPr>
      <w:r>
        <w:t xml:space="preserve">Touchon, J C and McCoy, M W 2016 The mismatch between current statistical practice and doctoral training in ecology,</w:t>
      </w:r>
      <w:r>
        <w:t xml:space="preserve"> </w:t>
      </w:r>
      <w:r>
        <w:rPr>
          <w:i/>
        </w:rPr>
        <w:t xml:space="preserve">Ecosphere</w:t>
      </w:r>
      <w:r>
        <w:t xml:space="preserve">, 7(8): e01394. DOI:</w:t>
      </w:r>
      <w:r>
        <w:t xml:space="preserve"> </w:t>
      </w:r>
      <w:hyperlink r:id="rId155">
        <w:r>
          <w:rPr>
            <w:rStyle w:val="Hyperlink"/>
          </w:rPr>
          <w:t xml:space="preserve">https://doi.org/10.1002/ecs2.1394</w:t>
        </w:r>
      </w:hyperlink>
      <w:r>
        <w:t xml:space="preserve">.</w:t>
      </w:r>
    </w:p>
    <w:bookmarkEnd w:id="156"/>
    <w:bookmarkStart w:id="157" w:name="ref-toulmin1970does"/>
    <w:p>
      <w:pPr>
        <w:pStyle w:val="BodyText"/>
      </w:pPr>
      <w:r>
        <w:t xml:space="preserve">Toulmin, S 1970 Does the distinction between normal and revolutionary science hold water. In: Musgrave, A. and others (eds.)</w:t>
      </w:r>
      <w:r>
        <w:t xml:space="preserve"> </w:t>
      </w:r>
      <w:r>
        <w:rPr>
          <w:i/>
        </w:rPr>
        <w:t xml:space="preserve">Criticism and the growth of knowledge: Volume 4: Proceedings of the international colloquium in the philosophy of science, london, 1965</w:t>
      </w:r>
      <w:r>
        <w:t xml:space="preserve">. Cambridge University Press. pp. 39–48.</w:t>
      </w:r>
    </w:p>
    <w:bookmarkEnd w:id="157"/>
    <w:bookmarkStart w:id="158" w:name="ref-Trigger_2006"/>
    <w:p>
      <w:pPr>
        <w:pStyle w:val="BodyText"/>
      </w:pPr>
      <w:r>
        <w:t xml:space="preserve">Trigger, B G 2006</w:t>
      </w:r>
      <w:r>
        <w:t xml:space="preserve"> </w:t>
      </w:r>
      <w:r>
        <w:rPr>
          <w:i/>
        </w:rPr>
        <w:t xml:space="preserve">A history of archaeological thought</w:t>
      </w:r>
      <w:r>
        <w:t xml:space="preserve">. 2nd ed. Cambridge University Press.</w:t>
      </w:r>
    </w:p>
    <w:bookmarkEnd w:id="158"/>
    <w:bookmarkStart w:id="160" w:name="ref-Vaisey_Lizardo_2016"/>
    <w:p>
      <w:pPr>
        <w:pStyle w:val="BodyText"/>
      </w:pPr>
      <w:r>
        <w:t xml:space="preserve">Vaisey, S and Lizardo, O 2016 Cultural fragmentation or acquired dispositions? A new approach to accounting for patterns of cultural change,</w:t>
      </w:r>
      <w:r>
        <w:t xml:space="preserve"> </w:t>
      </w:r>
      <w:r>
        <w:rPr>
          <w:i/>
        </w:rPr>
        <w:t xml:space="preserve">Socius</w:t>
      </w:r>
      <w:r>
        <w:t xml:space="preserve">, 2: 2378023116669726. DOI:</w:t>
      </w:r>
      <w:r>
        <w:t xml:space="preserve"> </w:t>
      </w:r>
      <w:hyperlink r:id="rId159">
        <w:r>
          <w:rPr>
            <w:rStyle w:val="Hyperlink"/>
          </w:rPr>
          <w:t xml:space="preserve">https://doi.org/10.1177/2378023116669726</w:t>
        </w:r>
      </w:hyperlink>
      <w:r>
        <w:t xml:space="preserve">.</w:t>
      </w:r>
    </w:p>
    <w:bookmarkEnd w:id="160"/>
    <w:bookmarkStart w:id="161" w:name="ref-Vandewalle2012"/>
    <w:p>
      <w:pPr>
        <w:pStyle w:val="BodyText"/>
      </w:pPr>
      <w:r>
        <w:t xml:space="preserve">Vandewalle, P 2012 Code sharing is associated with research impact in image processing,</w:t>
      </w:r>
      <w:r>
        <w:t xml:space="preserve"> </w:t>
      </w:r>
      <w:r>
        <w:rPr>
          <w:i/>
        </w:rPr>
        <w:t xml:space="preserve">Computing in Science and Engineering</w:t>
      </w:r>
      <w:r>
        <w:t xml:space="preserve">, 14(4): 42–47.</w:t>
      </w:r>
    </w:p>
    <w:bookmarkEnd w:id="161"/>
    <w:bookmarkStart w:id="162" w:name="ref-watkins1970against"/>
    <w:p>
      <w:pPr>
        <w:pStyle w:val="BodyText"/>
      </w:pPr>
      <w:r>
        <w:t xml:space="preserve">Watkins, J W 1970 Against ‘normal science’,</w:t>
      </w:r>
      <w:r>
        <w:t xml:space="preserve"> </w:t>
      </w:r>
      <w:r>
        <w:rPr>
          <w:i/>
        </w:rPr>
        <w:t xml:space="preserve">Criticism and the Growth of Knowledge</w:t>
      </w:r>
      <w:r>
        <w:t xml:space="preserve">, 25–37.</w:t>
      </w:r>
    </w:p>
    <w:bookmarkEnd w:id="162"/>
    <w:bookmarkStart w:id="163" w:name="ref-wickham2015r"/>
    <w:p>
      <w:pPr>
        <w:pStyle w:val="BodyText"/>
      </w:pPr>
      <w:r>
        <w:t xml:space="preserve">Wickham, H 2015</w:t>
      </w:r>
      <w:r>
        <w:t xml:space="preserve"> </w:t>
      </w:r>
      <w:r>
        <w:rPr>
          <w:i/>
        </w:rPr>
        <w:t xml:space="preserve">R packages: Organize, test, document, and share your code</w:t>
      </w:r>
      <w:r>
        <w:t xml:space="preserve">. " O’Reilly Media, Inc.".</w:t>
      </w:r>
    </w:p>
    <w:bookmarkEnd w:id="163"/>
    <w:bookmarkStart w:id="165" w:name="ref-wilkins1996are"/>
    <w:p>
      <w:pPr>
        <w:pStyle w:val="BodyText"/>
      </w:pPr>
      <w:r>
        <w:t xml:space="preserve">Wilkins, A S 1996 Are there ‘kuhnian’ revolutions in biology?,</w:t>
      </w:r>
      <w:r>
        <w:t xml:space="preserve"> </w:t>
      </w:r>
      <w:r>
        <w:rPr>
          <w:i/>
        </w:rPr>
        <w:t xml:space="preserve">BioEssays</w:t>
      </w:r>
      <w:r>
        <w:t xml:space="preserve">, 18(9): 695–696. DOI:</w:t>
      </w:r>
      <w:r>
        <w:t xml:space="preserve"> </w:t>
      </w:r>
      <w:hyperlink r:id="rId164">
        <w:r>
          <w:rPr>
            <w:rStyle w:val="Hyperlink"/>
          </w:rPr>
          <w:t xml:space="preserve">https://doi.org/10.1002/bies.950180902</w:t>
        </w:r>
      </w:hyperlink>
      <w:r>
        <w:t xml:space="preserve">.</w:t>
      </w:r>
    </w:p>
    <w:bookmarkEnd w:id="165"/>
    <w:bookmarkStart w:id="167" w:name="ref-Wilson_et_al_2017"/>
    <w:p>
      <w:pPr>
        <w:pStyle w:val="BodyText"/>
      </w:pPr>
      <w:r>
        <w:t xml:space="preserve">Wilson, G, Bryan, J, Cranston, K, Kitzes, J, Nederbragt, L and Teal, T K 2017 Good enough practices in scientific computing,</w:t>
      </w:r>
      <w:r>
        <w:t xml:space="preserve"> </w:t>
      </w:r>
      <w:r>
        <w:rPr>
          <w:i/>
        </w:rPr>
        <w:t xml:space="preserve">PLOS Computational Biology</w:t>
      </w:r>
      <w:r>
        <w:t xml:space="preserve">, 13(6): e1005510. DOI:</w:t>
      </w:r>
      <w:r>
        <w:t xml:space="preserve"> </w:t>
      </w:r>
      <w:hyperlink r:id="rId166">
        <w:r>
          <w:rPr>
            <w:rStyle w:val="Hyperlink"/>
          </w:rPr>
          <w:t xml:space="preserve">https://doi.org/10.1371/journal.pcbi.1005510</w:t>
        </w:r>
      </w:hyperlink>
      <w:r>
        <w:t xml:space="preserve">.</w:t>
      </w:r>
    </w:p>
    <w:bookmarkEnd w:id="167"/>
    <w:bookmarkStart w:id="168" w:name="ref-xie2018r"/>
    <w:p>
      <w:pPr>
        <w:pStyle w:val="BodyText"/>
      </w:pPr>
      <w:r>
        <w:t xml:space="preserve">Xie, Y, Allaire, J and Grolemund, G 2018</w:t>
      </w:r>
      <w:r>
        <w:t xml:space="preserve"> </w:t>
      </w:r>
      <w:r>
        <w:rPr>
          <w:i/>
        </w:rPr>
        <w:t xml:space="preserve">R markdown: The definitive guide</w:t>
      </w:r>
      <w:r>
        <w:t xml:space="preserve">. CRC Press.</w:t>
      </w:r>
    </w:p>
    <w:bookmarkEnd w:id="168"/>
    <w:bookmarkEnd w:id="169"/>
    <w:p>
      <w:pPr>
        <w:pStyle w:val="Heading5"/>
      </w:pPr>
      <w:bookmarkStart w:id="170" w:name="pagebreak-1"/>
      <w:r>
        <w:t xml:space="preserve">pagebreak</w:t>
      </w:r>
      <w:bookmarkEnd w:id="170"/>
    </w:p>
    <w:p>
      <w:pPr>
        <w:pStyle w:val="Heading3"/>
      </w:pPr>
      <w:bookmarkStart w:id="171" w:name="colophon"/>
      <w:r>
        <w:t xml:space="preserve">Colophon</w:t>
      </w:r>
      <w:bookmarkEnd w:id="171"/>
    </w:p>
    <w:p>
      <w:pPr>
        <w:pStyle w:val="FirstParagraph"/>
      </w:pPr>
      <w:r>
        <w:t xml:space="preserve">This report was generated on 2019-08-08 11:25:34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3.6.0 (2019-04-26)</w:t>
      </w:r>
      <w:r>
        <w:br w:type="textWrapping"/>
      </w:r>
      <w:r>
        <w:rPr>
          <w:rStyle w:val="VerbatimChar"/>
        </w:rPr>
        <w:t xml:space="preserve">#&gt;  os       macOS Mojave 10.14.6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2019-08-08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w:t>
      </w:r>
      <w:r>
        <w:br w:type="textWrapping"/>
      </w:r>
      <w:r>
        <w:rPr>
          <w:rStyle w:val="VerbatimChar"/>
        </w:rPr>
        <w:t xml:space="preserve">#&gt;  acepack        1.4.1      2016-10-29 [1]</w:t>
      </w:r>
      <w:r>
        <w:br w:type="textWrapping"/>
      </w:r>
      <w:r>
        <w:rPr>
          <w:rStyle w:val="VerbatimChar"/>
        </w:rPr>
        <w:t xml:space="preserve">#&gt;  assertthat     0.2.1      2019-03-21 [1]</w:t>
      </w:r>
      <w:r>
        <w:br w:type="textWrapping"/>
      </w:r>
      <w:r>
        <w:rPr>
          <w:rStyle w:val="VerbatimChar"/>
        </w:rPr>
        <w:t xml:space="preserve">#&gt;  backports      1.1.4      2019-04-10 [1]</w:t>
      </w:r>
      <w:r>
        <w:br w:type="textWrapping"/>
      </w:r>
      <w:r>
        <w:rPr>
          <w:rStyle w:val="VerbatimChar"/>
        </w:rPr>
        <w:t xml:space="preserve">#&gt;  base64enc      0.1-3      2015-07-28 [1]</w:t>
      </w:r>
      <w:r>
        <w:br w:type="textWrapping"/>
      </w:r>
      <w:r>
        <w:rPr>
          <w:rStyle w:val="VerbatimChar"/>
        </w:rPr>
        <w:t xml:space="preserve">#&gt;  bookdown       0.11       2019-05-28 [1]</w:t>
      </w:r>
      <w:r>
        <w:br w:type="textWrapping"/>
      </w:r>
      <w:r>
        <w:rPr>
          <w:rStyle w:val="VerbatimChar"/>
        </w:rPr>
        <w:t xml:space="preserve">#&gt;  broom          0.5.2      2019-04-07 [1]</w:t>
      </w:r>
      <w:r>
        <w:br w:type="textWrapping"/>
      </w:r>
      <w:r>
        <w:rPr>
          <w:rStyle w:val="VerbatimChar"/>
        </w:rPr>
        <w:t xml:space="preserve">#&gt;  callr          3.2.0      2019-03-15 [1]</w:t>
      </w:r>
      <w:r>
        <w:br w:type="textWrapping"/>
      </w:r>
      <w:r>
        <w:rPr>
          <w:rStyle w:val="VerbatimChar"/>
        </w:rPr>
        <w:t xml:space="preserve">#&gt;  cellranger     1.1.0.9000 2019-05-28 [1]</w:t>
      </w:r>
      <w:r>
        <w:br w:type="textWrapping"/>
      </w:r>
      <w:r>
        <w:rPr>
          <w:rStyle w:val="VerbatimChar"/>
        </w:rPr>
        <w:t xml:space="preserve">#&gt;  checkmate      1.9.3      2019-05-03 [1]</w:t>
      </w:r>
      <w:r>
        <w:br w:type="textWrapping"/>
      </w:r>
      <w:r>
        <w:rPr>
          <w:rStyle w:val="VerbatimChar"/>
        </w:rPr>
        <w:t xml:space="preserve">#&gt;  cli            1.1.0      2019-03-19 [1]</w:t>
      </w:r>
      <w:r>
        <w:br w:type="textWrapping"/>
      </w:r>
      <w:r>
        <w:rPr>
          <w:rStyle w:val="VerbatimChar"/>
        </w:rPr>
        <w:t xml:space="preserve">#&gt;  cluster        2.1.0      2019-06-19 [1]</w:t>
      </w:r>
      <w:r>
        <w:br w:type="textWrapping"/>
      </w:r>
      <w:r>
        <w:rPr>
          <w:rStyle w:val="VerbatimChar"/>
        </w:rPr>
        <w:t xml:space="preserve">#&gt;  colorspace     1.4-1      2019-03-18 [1]</w:t>
      </w:r>
      <w:r>
        <w:br w:type="textWrapping"/>
      </w:r>
      <w:r>
        <w:rPr>
          <w:rStyle w:val="VerbatimChar"/>
        </w:rPr>
        <w:t xml:space="preserve">#&gt;  crayon         1.3.4      2019-05-28 [1]</w:t>
      </w:r>
      <w:r>
        <w:br w:type="textWrapping"/>
      </w:r>
      <w:r>
        <w:rPr>
          <w:rStyle w:val="VerbatimChar"/>
        </w:rPr>
        <w:t xml:space="preserve">#&gt;  data.table     1.12.2     2019-04-07 [1]</w:t>
      </w:r>
      <w:r>
        <w:br w:type="textWrapping"/>
      </w:r>
      <w:r>
        <w:rPr>
          <w:rStyle w:val="VerbatimChar"/>
        </w:rPr>
        <w:t xml:space="preserve">#&gt;  desc           1.2.0      2018-05-01 [1]</w:t>
      </w:r>
      <w:r>
        <w:br w:type="textWrapping"/>
      </w:r>
      <w:r>
        <w:rPr>
          <w:rStyle w:val="VerbatimChar"/>
        </w:rPr>
        <w:t xml:space="preserve">#&gt;  devtools       2.0.2      2019-04-08 [1]</w:t>
      </w:r>
      <w:r>
        <w:br w:type="textWrapping"/>
      </w:r>
      <w:r>
        <w:rPr>
          <w:rStyle w:val="VerbatimChar"/>
        </w:rPr>
        <w:t xml:space="preserve">#&gt;  digest         0.6.19     2019-05-20 [1]</w:t>
      </w:r>
      <w:r>
        <w:br w:type="textWrapping"/>
      </w:r>
      <w:r>
        <w:rPr>
          <w:rStyle w:val="VerbatimChar"/>
        </w:rPr>
        <w:t xml:space="preserve">#&gt;  dplyr        * 0.8.1      2019-05-14 [1]</w:t>
      </w:r>
      <w:r>
        <w:br w:type="textWrapping"/>
      </w:r>
      <w:r>
        <w:rPr>
          <w:rStyle w:val="VerbatimChar"/>
        </w:rPr>
        <w:t xml:space="preserve">#&gt;  evaluate       0.14       2019-05-28 [1]</w:t>
      </w:r>
      <w:r>
        <w:br w:type="textWrapping"/>
      </w:r>
      <w:r>
        <w:rPr>
          <w:rStyle w:val="VerbatimChar"/>
        </w:rPr>
        <w:t xml:space="preserve">#&gt;  forcats      * 0.4.0      2019-02-17 [1]</w:t>
      </w:r>
      <w:r>
        <w:br w:type="textWrapping"/>
      </w:r>
      <w:r>
        <w:rPr>
          <w:rStyle w:val="VerbatimChar"/>
        </w:rPr>
        <w:t xml:space="preserve">#&gt;  foreign        0.8-71     2018-07-20 [1]</w:t>
      </w:r>
      <w:r>
        <w:br w:type="textWrapping"/>
      </w:r>
      <w:r>
        <w:rPr>
          <w:rStyle w:val="VerbatimChar"/>
        </w:rPr>
        <w:t xml:space="preserve">#&gt;  Formula      * 1.2-3      2018-05-03 [1]</w:t>
      </w:r>
      <w:r>
        <w:br w:type="textWrapping"/>
      </w:r>
      <w:r>
        <w:rPr>
          <w:rStyle w:val="VerbatimChar"/>
        </w:rPr>
        <w:t xml:space="preserve">#&gt;  fs             1.3.1      2019-05-06 [1]</w:t>
      </w:r>
      <w:r>
        <w:br w:type="textWrapping"/>
      </w:r>
      <w:r>
        <w:rPr>
          <w:rStyle w:val="VerbatimChar"/>
        </w:rPr>
        <w:t xml:space="preserve">#&gt;  generics       0.0.2      2018-11-29 [1]</w:t>
      </w:r>
      <w:r>
        <w:br w:type="textWrapping"/>
      </w:r>
      <w:r>
        <w:rPr>
          <w:rStyle w:val="VerbatimChar"/>
        </w:rPr>
        <w:t xml:space="preserve">#&gt;  ggplot2      * 3.2.0      2019-06-16 [1]</w:t>
      </w:r>
      <w:r>
        <w:br w:type="textWrapping"/>
      </w:r>
      <w:r>
        <w:rPr>
          <w:rStyle w:val="VerbatimChar"/>
        </w:rPr>
        <w:t xml:space="preserve">#&gt;  ggpmisc      * 0.3.1      2019-04-02 [1]</w:t>
      </w:r>
      <w:r>
        <w:br w:type="textWrapping"/>
      </w:r>
      <w:r>
        <w:rPr>
          <w:rStyle w:val="VerbatimChar"/>
        </w:rPr>
        <w:t xml:space="preserve">#&gt;  ggrepel      * 0.8.1      2019-05-07 [1]</w:t>
      </w:r>
      <w:r>
        <w:br w:type="textWrapping"/>
      </w:r>
      <w:r>
        <w:rPr>
          <w:rStyle w:val="VerbatimChar"/>
        </w:rPr>
        <w:t xml:space="preserve">#&gt;  glue         * 1.3.1      2019-03-12 [1]</w:t>
      </w:r>
      <w:r>
        <w:br w:type="textWrapping"/>
      </w:r>
      <w:r>
        <w:rPr>
          <w:rStyle w:val="VerbatimChar"/>
        </w:rPr>
        <w:t xml:space="preserve">#&gt;  gridExtra      2.3        2017-09-09 [1]</w:t>
      </w:r>
      <w:r>
        <w:br w:type="textWrapping"/>
      </w:r>
      <w:r>
        <w:rPr>
          <w:rStyle w:val="VerbatimChar"/>
        </w:rPr>
        <w:t xml:space="preserve">#&gt;  gtable         0.3.0      2019-03-25 [1]</w:t>
      </w:r>
      <w:r>
        <w:br w:type="textWrapping"/>
      </w:r>
      <w:r>
        <w:rPr>
          <w:rStyle w:val="VerbatimChar"/>
        </w:rPr>
        <w:t xml:space="preserve">#&gt;  haven          2.1.0      2019-02-19 [1]</w:t>
      </w:r>
      <w:r>
        <w:br w:type="textWrapping"/>
      </w:r>
      <w:r>
        <w:rPr>
          <w:rStyle w:val="VerbatimChar"/>
        </w:rPr>
        <w:t xml:space="preserve">#&gt;  here           0.1        2017-05-28 [1]</w:t>
      </w:r>
      <w:r>
        <w:br w:type="textWrapping"/>
      </w:r>
      <w:r>
        <w:rPr>
          <w:rStyle w:val="VerbatimChar"/>
        </w:rPr>
        <w:t xml:space="preserve">#&gt;  highr          0.8        2019-03-20 [1]</w:t>
      </w:r>
      <w:r>
        <w:br w:type="textWrapping"/>
      </w:r>
      <w:r>
        <w:rPr>
          <w:rStyle w:val="VerbatimChar"/>
        </w:rPr>
        <w:t xml:space="preserve">#&gt;  Hmisc        * 4.2-0      2019-01-26 [1]</w:t>
      </w:r>
      <w:r>
        <w:br w:type="textWrapping"/>
      </w:r>
      <w:r>
        <w:rPr>
          <w:rStyle w:val="VerbatimChar"/>
        </w:rPr>
        <w:t xml:space="preserve">#&gt;  hms            0.4.2      2018-03-10 [1]</w:t>
      </w:r>
      <w:r>
        <w:br w:type="textWrapping"/>
      </w:r>
      <w:r>
        <w:rPr>
          <w:rStyle w:val="VerbatimChar"/>
        </w:rPr>
        <w:t xml:space="preserve">#&gt;  htmlTable      1.13.1     2019-01-07 [1]</w:t>
      </w:r>
      <w:r>
        <w:br w:type="textWrapping"/>
      </w:r>
      <w:r>
        <w:rPr>
          <w:rStyle w:val="VerbatimChar"/>
        </w:rPr>
        <w:t xml:space="preserve">#&gt;  htmltools      0.3.6      2017-04-28 [1]</w:t>
      </w:r>
      <w:r>
        <w:br w:type="textWrapping"/>
      </w:r>
      <w:r>
        <w:rPr>
          <w:rStyle w:val="VerbatimChar"/>
        </w:rPr>
        <w:t xml:space="preserve">#&gt;  htmlwidgets    1.3        2018-09-30 [1]</w:t>
      </w:r>
      <w:r>
        <w:br w:type="textWrapping"/>
      </w:r>
      <w:r>
        <w:rPr>
          <w:rStyle w:val="VerbatimChar"/>
        </w:rPr>
        <w:t xml:space="preserve">#&gt;  httr           1.4.0      2018-12-11 [1]</w:t>
      </w:r>
      <w:r>
        <w:br w:type="textWrapping"/>
      </w:r>
      <w:r>
        <w:rPr>
          <w:rStyle w:val="VerbatimChar"/>
        </w:rPr>
        <w:t xml:space="preserve">#&gt;  janeaustenr    0.1.5      2017-06-10 [1]</w:t>
      </w:r>
      <w:r>
        <w:br w:type="textWrapping"/>
      </w:r>
      <w:r>
        <w:rPr>
          <w:rStyle w:val="VerbatimChar"/>
        </w:rPr>
        <w:t xml:space="preserve">#&gt;  jsonlite       1.6        2018-12-07 [1]</w:t>
      </w:r>
      <w:r>
        <w:br w:type="textWrapping"/>
      </w:r>
      <w:r>
        <w:rPr>
          <w:rStyle w:val="VerbatimChar"/>
        </w:rPr>
        <w:t xml:space="preserve">#&gt;  knitr          1.23       2019-05-18 [1]</w:t>
      </w:r>
      <w:r>
        <w:br w:type="textWrapping"/>
      </w:r>
      <w:r>
        <w:rPr>
          <w:rStyle w:val="VerbatimChar"/>
        </w:rPr>
        <w:t xml:space="preserve">#&gt;  labeling       0.3        2014-08-23 [1]</w:t>
      </w:r>
      <w:r>
        <w:br w:type="textWrapping"/>
      </w:r>
      <w:r>
        <w:rPr>
          <w:rStyle w:val="VerbatimChar"/>
        </w:rPr>
        <w:t xml:space="preserve">#&gt;  lattice      * 0.20-38    2018-11-04 [1]</w:t>
      </w:r>
      <w:r>
        <w:br w:type="textWrapping"/>
      </w:r>
      <w:r>
        <w:rPr>
          <w:rStyle w:val="VerbatimChar"/>
        </w:rPr>
        <w:t xml:space="preserve">#&gt;  latticeExtra   0.6-28     2016-02-09 [1]</w:t>
      </w:r>
      <w:r>
        <w:br w:type="textWrapping"/>
      </w:r>
      <w:r>
        <w:rPr>
          <w:rStyle w:val="VerbatimChar"/>
        </w:rPr>
        <w:t xml:space="preserve">#&gt;  lazyeval       0.2.2      2019-03-15 [1]</w:t>
      </w:r>
      <w:r>
        <w:br w:type="textWrapping"/>
      </w:r>
      <w:r>
        <w:rPr>
          <w:rStyle w:val="VerbatimChar"/>
        </w:rPr>
        <w:t xml:space="preserve">#&gt;  lemon          0.4.3      2019-01-08 [1]</w:t>
      </w:r>
      <w:r>
        <w:br w:type="textWrapping"/>
      </w:r>
      <w:r>
        <w:rPr>
          <w:rStyle w:val="VerbatimChar"/>
        </w:rPr>
        <w:t xml:space="preserve">#&gt;  lubridate      1.7.4      2018-04-11 [1]</w:t>
      </w:r>
      <w:r>
        <w:br w:type="textWrapping"/>
      </w:r>
      <w:r>
        <w:rPr>
          <w:rStyle w:val="VerbatimChar"/>
        </w:rPr>
        <w:t xml:space="preserve">#&gt;  magrittr       1.5        2014-11-22 [1]</w:t>
      </w:r>
      <w:r>
        <w:br w:type="textWrapping"/>
      </w:r>
      <w:r>
        <w:rPr>
          <w:rStyle w:val="VerbatimChar"/>
        </w:rPr>
        <w:t xml:space="preserve">#&gt;  Matrix         1.2-17     2019-03-22 [1]</w:t>
      </w:r>
      <w:r>
        <w:br w:type="textWrapping"/>
      </w:r>
      <w:r>
        <w:rPr>
          <w:rStyle w:val="VerbatimChar"/>
        </w:rPr>
        <w:t xml:space="preserve">#&gt;  memoise        1.1.0      2017-04-21 [1]</w:t>
      </w:r>
      <w:r>
        <w:br w:type="textWrapping"/>
      </w:r>
      <w:r>
        <w:rPr>
          <w:rStyle w:val="VerbatimChar"/>
        </w:rPr>
        <w:t xml:space="preserve">#&gt;  modelr         0.1.4      2019-02-18 [1]</w:t>
      </w:r>
      <w:r>
        <w:br w:type="textWrapping"/>
      </w:r>
      <w:r>
        <w:rPr>
          <w:rStyle w:val="VerbatimChar"/>
        </w:rPr>
        <w:t xml:space="preserve">#&gt;  munsell        0.5.0      2018-06-12 [1]</w:t>
      </w:r>
      <w:r>
        <w:br w:type="textWrapping"/>
      </w:r>
      <w:r>
        <w:rPr>
          <w:rStyle w:val="VerbatimChar"/>
        </w:rPr>
        <w:t xml:space="preserve">#&gt;  nlme           3.1-140    2019-05-12 [1]</w:t>
      </w:r>
      <w:r>
        <w:br w:type="textWrapping"/>
      </w:r>
      <w:r>
        <w:rPr>
          <w:rStyle w:val="VerbatimChar"/>
        </w:rPr>
        <w:t xml:space="preserve">#&gt;  nnet           7.3-12     2016-02-02 [1]</w:t>
      </w:r>
      <w:r>
        <w:br w:type="textWrapping"/>
      </w:r>
      <w:r>
        <w:rPr>
          <w:rStyle w:val="VerbatimChar"/>
        </w:rPr>
        <w:t xml:space="preserve">#&gt;  pillar         1.4.1      2019-05-28 [1]</w:t>
      </w:r>
      <w:r>
        <w:br w:type="textWrapping"/>
      </w:r>
      <w:r>
        <w:rPr>
          <w:rStyle w:val="VerbatimChar"/>
        </w:rPr>
        <w:t xml:space="preserve">#&gt;  pkgbuild       1.0.3      2019-03-20 [1]</w:t>
      </w:r>
      <w:r>
        <w:br w:type="textWrapping"/>
      </w:r>
      <w:r>
        <w:rPr>
          <w:rStyle w:val="VerbatimChar"/>
        </w:rPr>
        <w:t xml:space="preserve">#&gt;  pkgconfig      2.0.2      2018-08-16 [1]</w:t>
      </w:r>
      <w:r>
        <w:br w:type="textWrapping"/>
      </w:r>
      <w:r>
        <w:rPr>
          <w:rStyle w:val="VerbatimChar"/>
        </w:rPr>
        <w:t xml:space="preserve">#&gt;  pkgload        1.0.2      2018-10-29 [1]</w:t>
      </w:r>
      <w:r>
        <w:br w:type="textWrapping"/>
      </w:r>
      <w:r>
        <w:rPr>
          <w:rStyle w:val="VerbatimChar"/>
        </w:rPr>
        <w:t xml:space="preserve">#&gt;  plyr           1.8.4      2016-06-08 [1]</w:t>
      </w:r>
      <w:r>
        <w:br w:type="textWrapping"/>
      </w:r>
      <w:r>
        <w:rPr>
          <w:rStyle w:val="VerbatimChar"/>
        </w:rPr>
        <w:t xml:space="preserve">#&gt;  png            0.1-7      2013-12-03 [1]</w:t>
      </w:r>
      <w:r>
        <w:br w:type="textWrapping"/>
      </w:r>
      <w:r>
        <w:rPr>
          <w:rStyle w:val="VerbatimChar"/>
        </w:rPr>
        <w:t xml:space="preserve">#&gt;  polynom        1.4-0      2019-03-22 [1]</w:t>
      </w:r>
      <w:r>
        <w:br w:type="textWrapping"/>
      </w:r>
      <w:r>
        <w:rPr>
          <w:rStyle w:val="VerbatimChar"/>
        </w:rPr>
        <w:t xml:space="preserve">#&gt;  prettyunits    1.0.2      2015-07-13 [1]</w:t>
      </w:r>
      <w:r>
        <w:br w:type="textWrapping"/>
      </w:r>
      <w:r>
        <w:rPr>
          <w:rStyle w:val="VerbatimChar"/>
        </w:rPr>
        <w:t xml:space="preserve">#&gt;  processx       3.3.1      2019-05-08 [1]</w:t>
      </w:r>
      <w:r>
        <w:br w:type="textWrapping"/>
      </w:r>
      <w:r>
        <w:rPr>
          <w:rStyle w:val="VerbatimChar"/>
        </w:rPr>
        <w:t xml:space="preserve">#&gt;  ps             1.3.0      2018-12-21 [1]</w:t>
      </w:r>
      <w:r>
        <w:br w:type="textWrapping"/>
      </w:r>
      <w:r>
        <w:rPr>
          <w:rStyle w:val="VerbatimChar"/>
        </w:rPr>
        <w:t xml:space="preserve">#&gt;  purrr        * 0.3.2      2019-03-15 [1]</w:t>
      </w:r>
      <w:r>
        <w:br w:type="textWrapping"/>
      </w:r>
      <w:r>
        <w:rPr>
          <w:rStyle w:val="VerbatimChar"/>
        </w:rPr>
        <w:t xml:space="preserve">#&gt;  R6             2.4.0      2019-02-14 [1]</w:t>
      </w:r>
      <w:r>
        <w:br w:type="textWrapping"/>
      </w:r>
      <w:r>
        <w:rPr>
          <w:rStyle w:val="VerbatimChar"/>
        </w:rPr>
        <w:t xml:space="preserve">#&gt;  RColorBrewer   1.1-2      2014-12-07 [1]</w:t>
      </w:r>
      <w:r>
        <w:br w:type="textWrapping"/>
      </w:r>
      <w:r>
        <w:rPr>
          <w:rStyle w:val="VerbatimChar"/>
        </w:rPr>
        <w:t xml:space="preserve">#&gt;  Rcpp           1.0.1      2019-03-17 [1]</w:t>
      </w:r>
      <w:r>
        <w:br w:type="textWrapping"/>
      </w:r>
      <w:r>
        <w:rPr>
          <w:rStyle w:val="VerbatimChar"/>
        </w:rPr>
        <w:t xml:space="preserve">#&gt;  readr        * 1.3.1      2018-12-21 [1]</w:t>
      </w:r>
      <w:r>
        <w:br w:type="textWrapping"/>
      </w:r>
      <w:r>
        <w:rPr>
          <w:rStyle w:val="VerbatimChar"/>
        </w:rPr>
        <w:t xml:space="preserve">#&gt;  readxl         1.3.1      2019-03-13 [1]</w:t>
      </w:r>
      <w:r>
        <w:br w:type="textWrapping"/>
      </w:r>
      <w:r>
        <w:rPr>
          <w:rStyle w:val="VerbatimChar"/>
        </w:rPr>
        <w:t xml:space="preserve">#&gt;  remotes        2.1.0      2019-06-24 [1]</w:t>
      </w:r>
      <w:r>
        <w:br w:type="textWrapping"/>
      </w:r>
      <w:r>
        <w:rPr>
          <w:rStyle w:val="VerbatimChar"/>
        </w:rPr>
        <w:t xml:space="preserve">#&gt;  rlang          0.4.0      2019-06-25 [1]</w:t>
      </w:r>
      <w:r>
        <w:br w:type="textWrapping"/>
      </w:r>
      <w:r>
        <w:rPr>
          <w:rStyle w:val="VerbatimChar"/>
        </w:rPr>
        <w:t xml:space="preserve">#&gt;  rmarkdown      1.13       2019-05-22 [1]</w:t>
      </w:r>
      <w:r>
        <w:br w:type="textWrapping"/>
      </w:r>
      <w:r>
        <w:rPr>
          <w:rStyle w:val="VerbatimChar"/>
        </w:rPr>
        <w:t xml:space="preserve">#&gt;  rpart          4.1-15     2019-04-12 [1]</w:t>
      </w:r>
      <w:r>
        <w:br w:type="textWrapping"/>
      </w:r>
      <w:r>
        <w:rPr>
          <w:rStyle w:val="VerbatimChar"/>
        </w:rPr>
        <w:t xml:space="preserve">#&gt;  rprojroot      1.3-2      2018-01-03 [1]</w:t>
      </w:r>
      <w:r>
        <w:br w:type="textWrapping"/>
      </w:r>
      <w:r>
        <w:rPr>
          <w:rStyle w:val="VerbatimChar"/>
        </w:rPr>
        <w:t xml:space="preserve">#&gt;  rstudioapi     0.10       2019-03-19 [1]</w:t>
      </w:r>
      <w:r>
        <w:br w:type="textWrapping"/>
      </w:r>
      <w:r>
        <w:rPr>
          <w:rStyle w:val="VerbatimChar"/>
        </w:rPr>
        <w:t xml:space="preserve">#&gt;  rvest          0.3.4      2019-05-15 [1]</w:t>
      </w:r>
      <w:r>
        <w:br w:type="textWrapping"/>
      </w:r>
      <w:r>
        <w:rPr>
          <w:rStyle w:val="VerbatimChar"/>
        </w:rPr>
        <w:t xml:space="preserve">#&gt;  scales       * 1.0.0      2018-08-09 [1]</w:t>
      </w:r>
      <w:r>
        <w:br w:type="textWrapping"/>
      </w:r>
      <w:r>
        <w:rPr>
          <w:rStyle w:val="VerbatimChar"/>
        </w:rPr>
        <w:t xml:space="preserve">#&gt;  sessioninfo    1.1.1      2018-11-05 [1]</w:t>
      </w:r>
      <w:r>
        <w:br w:type="textWrapping"/>
      </w:r>
      <w:r>
        <w:rPr>
          <w:rStyle w:val="VerbatimChar"/>
        </w:rPr>
        <w:t xml:space="preserve">#&gt;  SnowballC      0.6.0      2019-01-15 [1]</w:t>
      </w:r>
      <w:r>
        <w:br w:type="textWrapping"/>
      </w:r>
      <w:r>
        <w:rPr>
          <w:rStyle w:val="VerbatimChar"/>
        </w:rPr>
        <w:t xml:space="preserve">#&gt;  stringi        1.4.3      2019-03-12 [1]</w:t>
      </w:r>
      <w:r>
        <w:br w:type="textWrapping"/>
      </w:r>
      <w:r>
        <w:rPr>
          <w:rStyle w:val="VerbatimChar"/>
        </w:rPr>
        <w:t xml:space="preserve">#&gt;  stringr      * 1.4.0      2019-02-10 [1]</w:t>
      </w:r>
      <w:r>
        <w:br w:type="textWrapping"/>
      </w:r>
      <w:r>
        <w:rPr>
          <w:rStyle w:val="VerbatimChar"/>
        </w:rPr>
        <w:t xml:space="preserve">#&gt;  survival     * 2.44-1.1   2019-04-01 [1]</w:t>
      </w:r>
      <w:r>
        <w:br w:type="textWrapping"/>
      </w:r>
      <w:r>
        <w:rPr>
          <w:rStyle w:val="VerbatimChar"/>
        </w:rPr>
        <w:t xml:space="preserve">#&gt;  testthat       2.1.1      2019-04-23 [1]</w:t>
      </w:r>
      <w:r>
        <w:br w:type="textWrapping"/>
      </w:r>
      <w:r>
        <w:rPr>
          <w:rStyle w:val="VerbatimChar"/>
        </w:rPr>
        <w:t xml:space="preserve">#&gt;  tibble       * 2.1.3      2019-06-06 [1]</w:t>
      </w:r>
      <w:r>
        <w:br w:type="textWrapping"/>
      </w:r>
      <w:r>
        <w:rPr>
          <w:rStyle w:val="VerbatimChar"/>
        </w:rPr>
        <w:t xml:space="preserve">#&gt;  tidyr        * 0.8.3      2019-03-01 [1]</w:t>
      </w:r>
      <w:r>
        <w:br w:type="textWrapping"/>
      </w:r>
      <w:r>
        <w:rPr>
          <w:rStyle w:val="VerbatimChar"/>
        </w:rPr>
        <w:t xml:space="preserve">#&gt;  tidyselect     0.2.5      2018-10-11 [1]</w:t>
      </w:r>
      <w:r>
        <w:br w:type="textWrapping"/>
      </w:r>
      <w:r>
        <w:rPr>
          <w:rStyle w:val="VerbatimChar"/>
        </w:rPr>
        <w:t xml:space="preserve">#&gt;  tidytext     * 0.2.1      2019-06-14 [1]</w:t>
      </w:r>
      <w:r>
        <w:br w:type="textWrapping"/>
      </w:r>
      <w:r>
        <w:rPr>
          <w:rStyle w:val="VerbatimChar"/>
        </w:rPr>
        <w:t xml:space="preserve">#&gt;  tidyverse    * 1.2.1      2017-11-14 [1]</w:t>
      </w:r>
      <w:r>
        <w:br w:type="textWrapping"/>
      </w:r>
      <w:r>
        <w:rPr>
          <w:rStyle w:val="VerbatimChar"/>
        </w:rPr>
        <w:t xml:space="preserve">#&gt;  tokenizers     0.2.1      2018-03-29 [1]</w:t>
      </w:r>
      <w:r>
        <w:br w:type="textWrapping"/>
      </w:r>
      <w:r>
        <w:rPr>
          <w:rStyle w:val="VerbatimChar"/>
        </w:rPr>
        <w:t xml:space="preserve">#&gt;  usethis        1.5.0      2019-04-07 [1]</w:t>
      </w:r>
      <w:r>
        <w:br w:type="textWrapping"/>
      </w:r>
      <w:r>
        <w:rPr>
          <w:rStyle w:val="VerbatimChar"/>
        </w:rPr>
        <w:t xml:space="preserve">#&gt;  withr          2.1.2      2018-03-15 [1]</w:t>
      </w:r>
      <w:r>
        <w:br w:type="textWrapping"/>
      </w:r>
      <w:r>
        <w:rPr>
          <w:rStyle w:val="VerbatimChar"/>
        </w:rPr>
        <w:t xml:space="preserve">#&gt;  xfun           0.8        2019-06-25 [1]</w:t>
      </w:r>
      <w:r>
        <w:br w:type="textWrapping"/>
      </w:r>
      <w:r>
        <w:rPr>
          <w:rStyle w:val="VerbatimChar"/>
        </w:rPr>
        <w:t xml:space="preserve">#&gt;  xml2           1.2.0.9000 2019-06-03 [1]</w:t>
      </w:r>
      <w:r>
        <w:br w:type="textWrapping"/>
      </w:r>
      <w:r>
        <w:rPr>
          <w:rStyle w:val="VerbatimChar"/>
        </w:rPr>
        <w:t xml:space="preserve">#&gt;  yaml           2.2.0      2018-07-25 [1]</w:t>
      </w:r>
      <w:r>
        <w:br w:type="textWrapping"/>
      </w:r>
      <w:r>
        <w:rPr>
          <w:rStyle w:val="VerbatimChar"/>
        </w:rPr>
        <w:t xml:space="preserve">#&gt;  source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(rsheets/cellranger@7ecde54)</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(gaborcsardi/crayon@84be620)</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CRAN (R 3.6.0)                     </w:t>
      </w:r>
      <w:r>
        <w:br w:type="textWrapping"/>
      </w:r>
      <w:r>
        <w:rPr>
          <w:rStyle w:val="VerbatimChar"/>
        </w:rPr>
        <w:t xml:space="preserve">#&gt;  Github (hadley/xml2@e051ffa)       </w:t>
      </w:r>
      <w:r>
        <w:br w:type="textWrapping"/>
      </w:r>
      <w:r>
        <w:rPr>
          <w:rStyle w:val="VerbatimChar"/>
        </w:rPr>
        <w:t xml:space="preserve">#&gt;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/Volumes/LittleRugged/My Documents/My Papers/conferences/CAA2018/caa2018-Tubingen</w:t>
      </w:r>
      <w:r>
        <w:br w:type="textWrapping"/>
      </w:r>
      <w:r>
        <w:rPr>
          <w:rStyle w:val="VerbatimChar"/>
        </w:rPr>
        <w:t xml:space="preserve">#&gt; Remote:   master @ origin (https://github.com/benmarwick/caa2018-Tubingen)</w:t>
      </w:r>
      <w:r>
        <w:br w:type="textWrapping"/>
      </w:r>
      <w:r>
        <w:rPr>
          <w:rStyle w:val="VerbatimChar"/>
        </w:rPr>
        <w:t xml:space="preserve">#&gt; Head:     [326c274] 2019-08-08: fix some ?? in the figure cross-refs</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26" Target="http://doi.org/10.17605/OSF.IO/RHVN5" TargetMode="External" /><Relationship Type="http://schemas.openxmlformats.org/officeDocument/2006/relationships/hyperlink" Id="rId76" Target="http://journal.caa-international.org/about/submissions/" TargetMode="External" /><Relationship Type="http://schemas.openxmlformats.org/officeDocument/2006/relationships/hyperlink" Id="rId105" Target="https://doi.org/10.1002/9781119188230.saseas0525" TargetMode="External" /><Relationship Type="http://schemas.openxmlformats.org/officeDocument/2006/relationships/hyperlink" Id="rId164" Target="https://doi.org/10.1002/bies.950180902" TargetMode="External" /><Relationship Type="http://schemas.openxmlformats.org/officeDocument/2006/relationships/hyperlink" Id="rId155" Target="https://doi.org/10.1002/ecs2.1394" TargetMode="External" /><Relationship Type="http://schemas.openxmlformats.org/officeDocument/2006/relationships/hyperlink" Id="rId67"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9" Target="https://doi.org/10.1007/s13347-012-0092-5" TargetMode="External" /><Relationship Type="http://schemas.openxmlformats.org/officeDocument/2006/relationships/hyperlink" Id="rId108" Target="https://doi.org/10.1016/j.ipm.2005.03.010" TargetMode="External" /><Relationship Type="http://schemas.openxmlformats.org/officeDocument/2006/relationships/hyperlink" Id="rId137" Target="https://doi.org/10.1016/j.tics.2010.12.002" TargetMode="External" /><Relationship Type="http://schemas.openxmlformats.org/officeDocument/2006/relationships/hyperlink" Id="rId143" Target="https://doi.org/10.1017/S0959774302000094" TargetMode="External" /><Relationship Type="http://schemas.openxmlformats.org/officeDocument/2006/relationships/hyperlink" Id="rId70"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3" Target="https://doi.org/10.1038/467753a" TargetMode="External" /><Relationship Type="http://schemas.openxmlformats.org/officeDocument/2006/relationships/hyperlink" Id="rId153" Target="https://doi.org/10.1038/517109a" TargetMode="External" /><Relationship Type="http://schemas.openxmlformats.org/officeDocument/2006/relationships/hyperlink" Id="rId145" Target="https://doi.org/10.1038/d41586-018-05256-0" TargetMode="External" /><Relationship Type="http://schemas.openxmlformats.org/officeDocument/2006/relationships/hyperlink" Id="rId96" Target="https://doi.org/10.1038/nature10836" TargetMode="External" /><Relationship Type="http://schemas.openxmlformats.org/officeDocument/2006/relationships/hyperlink" Id="rId51" Target="https://doi.org/10.1038/nj7638-563a" TargetMode="External" /><Relationship Type="http://schemas.openxmlformats.org/officeDocument/2006/relationships/hyperlink" Id="rId74"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9" Target="https://doi.org/10.1080/09332480.2014.965635" TargetMode="External" /><Relationship Type="http://schemas.openxmlformats.org/officeDocument/2006/relationships/hyperlink" Id="rId86" Target="https://doi.org/10.1080/1357627021000025487" TargetMode="External" /><Relationship Type="http://schemas.openxmlformats.org/officeDocument/2006/relationships/hyperlink" Id="rId133" Target="https://doi.org/10.1093/biostatistics/kxp014" TargetMode="External" /><Relationship Type="http://schemas.openxmlformats.org/officeDocument/2006/relationships/hyperlink" Id="rId110" Target="https://doi.org/10.1109/MCSE.2012.38" TargetMode="External" /><Relationship Type="http://schemas.openxmlformats.org/officeDocument/2006/relationships/hyperlink" Id="rId98" Target="https://doi.org/10.1111/ecoj.12461" TargetMode="External" /><Relationship Type="http://schemas.openxmlformats.org/officeDocument/2006/relationships/hyperlink" Id="rId151" Target="https://doi.org/10.1111/j.1740-9713.2018.01169.x" TargetMode="External" /><Relationship Type="http://schemas.openxmlformats.org/officeDocument/2006/relationships/hyperlink" Id="rId81"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8" Target="https://doi.org/10.1126/science.aab2374" TargetMode="External" /><Relationship Type="http://schemas.openxmlformats.org/officeDocument/2006/relationships/hyperlink" Id="rId63" Target="https://doi.org/10.1128/mBio.00158-16" TargetMode="External" /><Relationship Type="http://schemas.openxmlformats.org/officeDocument/2006/relationships/hyperlink" Id="rId159"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02" Target="https://doi.org/10.1371/journal.pbio.1002456" TargetMode="External" /><Relationship Type="http://schemas.openxmlformats.org/officeDocument/2006/relationships/hyperlink" Id="rId78" Target="https://doi.org/10.1371/journal.pcbi.1000482" TargetMode="External" /><Relationship Type="http://schemas.openxmlformats.org/officeDocument/2006/relationships/hyperlink" Id="rId139" Target="https://doi.org/10.1371/journal.pcbi.1003285" TargetMode="External" /><Relationship Type="http://schemas.openxmlformats.org/officeDocument/2006/relationships/hyperlink" Id="rId166" Target="https://doi.org/10.1371/journal.pcbi.1005510" TargetMode="External" /><Relationship Type="http://schemas.openxmlformats.org/officeDocument/2006/relationships/hyperlink" Id="rId147" Target="https://doi.org/10.1371/journal.pone.0067111" TargetMode="External" /><Relationship Type="http://schemas.openxmlformats.org/officeDocument/2006/relationships/hyperlink" Id="rId92" Target="https://doi.org/10.1515/9783110440171-003" TargetMode="External" /><Relationship Type="http://schemas.openxmlformats.org/officeDocument/2006/relationships/hyperlink" Id="rId149"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4"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76" Target="http://journal.caa-international.org/about/submissions/" TargetMode="External" /><Relationship Type="http://schemas.openxmlformats.org/officeDocument/2006/relationships/hyperlink" Id="rId105" Target="https://doi.org/10.1002/9781119188230.saseas0525" TargetMode="External" /><Relationship Type="http://schemas.openxmlformats.org/officeDocument/2006/relationships/hyperlink" Id="rId164" Target="https://doi.org/10.1002/bies.950180902" TargetMode="External" /><Relationship Type="http://schemas.openxmlformats.org/officeDocument/2006/relationships/hyperlink" Id="rId155" Target="https://doi.org/10.1002/ecs2.1394" TargetMode="External" /><Relationship Type="http://schemas.openxmlformats.org/officeDocument/2006/relationships/hyperlink" Id="rId67" Target="https://doi.org/10.1007/BF01326535" TargetMode="External" /><Relationship Type="http://schemas.openxmlformats.org/officeDocument/2006/relationships/hyperlink" Id="rId113" Target="https://doi.org/10.1007/s10816-015-9272-9" TargetMode="External" /><Relationship Type="http://schemas.openxmlformats.org/officeDocument/2006/relationships/hyperlink" Id="rId89" Target="https://doi.org/10.1007/s13347-012-0092-5" TargetMode="External" /><Relationship Type="http://schemas.openxmlformats.org/officeDocument/2006/relationships/hyperlink" Id="rId108" Target="https://doi.org/10.1016/j.ipm.2005.03.010" TargetMode="External" /><Relationship Type="http://schemas.openxmlformats.org/officeDocument/2006/relationships/hyperlink" Id="rId137" Target="https://doi.org/10.1016/j.tics.2010.12.002" TargetMode="External" /><Relationship Type="http://schemas.openxmlformats.org/officeDocument/2006/relationships/hyperlink" Id="rId143" Target="https://doi.org/10.1017/S0959774302000094" TargetMode="External" /><Relationship Type="http://schemas.openxmlformats.org/officeDocument/2006/relationships/hyperlink" Id="rId70" Target="https://doi.org/10.1017/S104909651300173X" TargetMode="External" /><Relationship Type="http://schemas.openxmlformats.org/officeDocument/2006/relationships/hyperlink" Id="rId115" Target="https://doi.org/10.1017/aap.2018.3" TargetMode="External" /><Relationship Type="http://schemas.openxmlformats.org/officeDocument/2006/relationships/hyperlink" Id="rId53" Target="https://doi.org/10.1038/467753a" TargetMode="External" /><Relationship Type="http://schemas.openxmlformats.org/officeDocument/2006/relationships/hyperlink" Id="rId153" Target="https://doi.org/10.1038/517109a" TargetMode="External" /><Relationship Type="http://schemas.openxmlformats.org/officeDocument/2006/relationships/hyperlink" Id="rId145" Target="https://doi.org/10.1038/d41586-018-05256-0" TargetMode="External" /><Relationship Type="http://schemas.openxmlformats.org/officeDocument/2006/relationships/hyperlink" Id="rId96" Target="https://doi.org/10.1038/nature10836" TargetMode="External" /><Relationship Type="http://schemas.openxmlformats.org/officeDocument/2006/relationships/hyperlink" Id="rId51" Target="https://doi.org/10.1038/nj7638-563a" TargetMode="External" /><Relationship Type="http://schemas.openxmlformats.org/officeDocument/2006/relationships/hyperlink" Id="rId74" Target="https://doi.org/10.1038/nn.4579" TargetMode="External" /><Relationship Type="http://schemas.openxmlformats.org/officeDocument/2006/relationships/hyperlink" Id="rId46" Target="https://doi.org/10.1073/pnas.1816454115" TargetMode="External" /><Relationship Type="http://schemas.openxmlformats.org/officeDocument/2006/relationships/hyperlink" Id="rId59" Target="https://doi.org/10.1080/09332480.2014.965635" TargetMode="External" /><Relationship Type="http://schemas.openxmlformats.org/officeDocument/2006/relationships/hyperlink" Id="rId86" Target="https://doi.org/10.1080/1357627021000025487" TargetMode="External" /><Relationship Type="http://schemas.openxmlformats.org/officeDocument/2006/relationships/hyperlink" Id="rId133" Target="https://doi.org/10.1093/biostatistics/kxp014" TargetMode="External" /><Relationship Type="http://schemas.openxmlformats.org/officeDocument/2006/relationships/hyperlink" Id="rId110" Target="https://doi.org/10.1109/MCSE.2012.38" TargetMode="External" /><Relationship Type="http://schemas.openxmlformats.org/officeDocument/2006/relationships/hyperlink" Id="rId98" Target="https://doi.org/10.1111/ecoj.12461" TargetMode="External" /><Relationship Type="http://schemas.openxmlformats.org/officeDocument/2006/relationships/hyperlink" Id="rId151" Target="https://doi.org/10.1111/j.1740-9713.2018.01169.x" TargetMode="External" /><Relationship Type="http://schemas.openxmlformats.org/officeDocument/2006/relationships/hyperlink" Id="rId81" Target="https://doi.org/10.1111/j.1939-3466.2010.00010.x" TargetMode="External" /><Relationship Type="http://schemas.openxmlformats.org/officeDocument/2006/relationships/hyperlink" Id="rId123" Target="https://doi.org/10.1126/science.1245317" TargetMode="External" /><Relationship Type="http://schemas.openxmlformats.org/officeDocument/2006/relationships/hyperlink" Id="rId128" Target="https://doi.org/10.1126/science.aab2374" TargetMode="External" /><Relationship Type="http://schemas.openxmlformats.org/officeDocument/2006/relationships/hyperlink" Id="rId63" Target="https://doi.org/10.1128/mBio.00158-16" TargetMode="External" /><Relationship Type="http://schemas.openxmlformats.org/officeDocument/2006/relationships/hyperlink" Id="rId159" Target="https://doi.org/10.1177/2378023116669726" TargetMode="External" /><Relationship Type="http://schemas.openxmlformats.org/officeDocument/2006/relationships/hyperlink" Id="rId119" Target="https://doi.org/10.1179/2042458215Y.0000000007" TargetMode="External" /><Relationship Type="http://schemas.openxmlformats.org/officeDocument/2006/relationships/hyperlink" Id="rId102" Target="https://doi.org/10.1371/journal.pbio.1002456" TargetMode="External" /><Relationship Type="http://schemas.openxmlformats.org/officeDocument/2006/relationships/hyperlink" Id="rId78" Target="https://doi.org/10.1371/journal.pcbi.1000482" TargetMode="External" /><Relationship Type="http://schemas.openxmlformats.org/officeDocument/2006/relationships/hyperlink" Id="rId139" Target="https://doi.org/10.1371/journal.pcbi.1003285" TargetMode="External" /><Relationship Type="http://schemas.openxmlformats.org/officeDocument/2006/relationships/hyperlink" Id="rId166" Target="https://doi.org/10.1371/journal.pcbi.1005510" TargetMode="External" /><Relationship Type="http://schemas.openxmlformats.org/officeDocument/2006/relationships/hyperlink" Id="rId147" Target="https://doi.org/10.1371/journal.pone.0067111" TargetMode="External" /><Relationship Type="http://schemas.openxmlformats.org/officeDocument/2006/relationships/hyperlink" Id="rId92" Target="https://doi.org/10.1515/9783110440171-003" TargetMode="External" /><Relationship Type="http://schemas.openxmlformats.org/officeDocument/2006/relationships/hyperlink" Id="rId149" Target="https://doi.org/10.1515/opar-2017-0019" TargetMode="External" /><Relationship Type="http://schemas.openxmlformats.org/officeDocument/2006/relationships/hyperlink" Id="rId121" Target="https://doi.org/10.2307/279104" TargetMode="External" /><Relationship Type="http://schemas.openxmlformats.org/officeDocument/2006/relationships/hyperlink" Id="rId94" Target="https://doi.org/10.5334/jcaa.6"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author 1; author 2</dc:creator>
  <cp:keywords/>
  <dcterms:created xsi:type="dcterms:W3CDTF">2019-08-08T18:25:38Z</dcterms:created>
  <dcterms:modified xsi:type="dcterms:W3CDTF">2019-08-08T18:25:38Z</dcterms:modified>
</cp:coreProperties>
</file>