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12</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is</w:t>
      </w:r>
      <w:r>
        <w:t xml:space="preserve"> </w:t>
      </w:r>
      <w:r>
        <w:t xml:space="preserve">revolutionary</w:t>
      </w:r>
      <w:r>
        <w:t xml:space="preserve"> </w:t>
      </w:r>
      <w:r>
        <w:t xml:space="preserve">or</w:t>
      </w:r>
      <w:r>
        <w:t xml:space="preserve"> </w:t>
      </w:r>
      <w:r>
        <w:t xml:space="preserve">transformational.</w:t>
      </w:r>
      <w:r>
        <w:t xml:space="preserve"> </w:t>
      </w:r>
      <w:r>
        <w:t xml:space="preserve">We</w:t>
      </w:r>
      <w:r>
        <w:t xml:space="preserve"> </w:t>
      </w:r>
      <w:r>
        <w:t xml:space="preserve">identify</w:t>
      </w:r>
      <w:r>
        <w:t xml:space="preserve"> </w:t>
      </w:r>
      <w:r>
        <w:t xml:space="preserve">a</w:t>
      </w:r>
      <w:r>
        <w:t xml:space="preserve"> </w:t>
      </w:r>
      <w:r>
        <w:t xml:space="preserve">positive</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idea-driven or tool-driven</w:t>
      </w:r>
      <w:r>
        <w:t xml:space="preserve"> </w:t>
      </w:r>
      <w:r>
        <w:t xml:space="preserve">(Dyson 2000; Galison 1997)</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reflect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driven-or-tool-driven"/>
      <w:r>
        <w:t xml:space="preserve">Revolutions in Science: idea-driven or tool-driven?</w:t>
      </w:r>
      <w:bookmarkEnd w:id="21"/>
    </w:p>
    <w:p>
      <w:pPr>
        <w:pStyle w:val="FirstParagraph"/>
      </w:pPr>
      <w:r>
        <w:t xml:space="preserve">Philosophers of science disagree whether revolutions in science are idea-driven or tool-driven. One of the most widely-known models of idea-driven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 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bibliometric-analysis-of-a-tool-driven-change"/>
      <w:r>
        <w:t xml:space="preserve">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similarity for the two disciplines is working with the field-collected data on a computer to prepare it for publication. R is a widely used free and open source data analysis tool in many research communities</w:t>
      </w:r>
      <w:r>
        <w:t xml:space="preserve"> </w:t>
      </w:r>
      <w:r>
        <w:t xml:space="preserve">(Baker 2017; Thieme 2018; Tippmann 2015)</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Volumes/LittleRugged/My%20Documents/My%20Papers/conferences/CAA2018/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2008-2018 that are included in the Web of Science category</w:t>
      </w:r>
      <w:r>
        <w:t xml:space="preserve"> </w:t>
      </w:r>
      <w:r>
        <w:t xml:space="preserve">‘</w:t>
      </w:r>
      <w:r>
        <w:t xml:space="preserve">Archaeology</w:t>
      </w:r>
      <w:r>
        <w:t xml:space="preserve">’</w:t>
      </w:r>
      <w:r>
        <w:t xml:space="preserve">. This resulted in 42,991 articles, of which 154 cite R.Figure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a total of 154 out of 42,991 articles in our sample for 2008-2018). Labels to the right show the top five journals in our sample. Sub-plot shows articles published in the Journal of Archaeological Science during 2008-2017. Data from Web of Science" title="" id="1" name="Picture"/>
            <a:graphic>
              <a:graphicData uri="http://schemas.openxmlformats.org/drawingml/2006/picture">
                <pic:pic>
                  <pic:nvPicPr>
                    <pic:cNvPr descr="/Volumes/LittleRugged/My%20Documents/My%20Papers/conferences/CAA2018/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(a total of 154 out of 42,991 articles in our sample for 2008-2018). Labels to the right show the top five journals in our sample. Sub-plot shows articles published in the</w:t>
      </w:r>
      <w:r>
        <w:t xml:space="preserve"> </w:t>
      </w:r>
      <w:r>
        <w:rPr>
          <w:i/>
        </w:rPr>
        <w:t xml:space="preserve">Journal of Archaeological Science</w:t>
      </w:r>
      <w:r>
        <w:t xml:space="preserve"> </w:t>
      </w:r>
      <w:r>
        <w:t xml:space="preserve">during 2008-2017. Data from Web of Science</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41,645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Volumes/LittleRugged/My%20Documents/My%20Papers/conferences/CAA2018/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articles that do not cite R,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82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and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is also underway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many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w:t>
      </w:r>
    </w:p>
    <w:p>
      <w:pPr>
        <w:pStyle w:val="CaptionedFigure"/>
      </w:pPr>
      <w:r>
        <w:drawing>
          <wp:inline>
            <wp:extent cx="5943600" cy="3343275"/>
            <wp:effectExtent b="0" l="0" r="0" t="0"/>
            <wp:docPr descr="Figure 4: Articles in archaeology journals using R for reproducible research, and making code files openly available to accompany the published article (n = 82)" title="" id="1" name="Picture"/>
            <a:graphic>
              <a:graphicData uri="http://schemas.openxmlformats.org/drawingml/2006/picture">
                <pic:pic>
                  <pic:nvPicPr>
                    <pic:cNvPr descr="/Volumes/LittleRugged/My%20Documents/My%20Papers/conferences/CAA2018/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openly available to accompany the published article (n = 82)</w:t>
      </w:r>
    </w:p>
    <w:p>
      <w:pPr>
        <w:pStyle w:val="Heading2"/>
      </w:pPr>
      <w:bookmarkStart w:id="36" w:name="citation-effects-of-sharing-code"/>
      <w:r>
        <w:t xml:space="preserve">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non-random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We conducted a similar analysis for archaeology articles using the Web of Science Core Collection</w:t>
      </w:r>
      <w:r>
        <w:t xml:space="preserve"> </w:t>
      </w:r>
      <w:r>
        <w:t xml:space="preserve">‘</w:t>
      </w:r>
      <w:r>
        <w:t xml:space="preserve">Times Cited</w:t>
      </w:r>
      <w:r>
        <w:t xml:space="preserve">’</w:t>
      </w:r>
      <w:r>
        <w:t xml:space="preserve"> </w:t>
      </w:r>
      <w:r>
        <w:t xml:space="preserve">(</w:t>
      </w:r>
      <w:r>
        <w:t xml:space="preserve">‘</w:t>
      </w:r>
      <w:r>
        <w:t xml:space="preserve">TC</w:t>
      </w:r>
      <w:r>
        <w:t xml:space="preserve">’</w:t>
      </w:r>
      <w:r>
        <w:t xml:space="preserve">) count (Figure</w:t>
      </w:r>
      <w:r>
        <w:t xml:space="preserve"> </w:t>
      </w:r>
      <w:r>
        <w:t xml:space="preserve">5</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possibility is that authors preferentially tend to promote their articles containing code, because they want a greater return for the greater effort they have put into including the code with the article, this may be equivalent to the self-selection bias postulated by Vandewalle. Another possibility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researcher will stop searching when they have found the first paper that serves their purpose. Further work is necessary to understand the mechanisms of this citation effect. Additional insights might come from comparisons of papers that use another open source language such as Python, or a closed source language like MATLAB.</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Volumes/LittleRugged/My%20Documents/My%20Papers/conferences/CAA2018/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The advantage is that papers using and citing R tend to be referenced more often in other papers,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with the introduction of computers there has been a gradual and unintended drift away from reproducibility</w:t>
      </w:r>
      <w:r>
        <w:t xml:space="preserve"> </w:t>
      </w:r>
      <w:r>
        <w:t xml:space="preserve">(Bailey, Borwein and Stodden 2016; Brinckman et al. 2019)</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Guo and Ma 2013)</w:t>
      </w:r>
      <w:r>
        <w:t xml:space="preserve">. Also in archaeology, funding agencies are increasingly showing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continuously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and Tuin 2013: 190)</w:t>
      </w:r>
      <w:r>
        <w:t xml:space="preserve">. Changes in tools will influence how human researchers interact with their objects of interest and other people in their research community. There are three ways is which this can be anticipated for archaeology. First, tools that make the research process more transparent and open might be expected to make the research community more open and inclusive to diverse participants and ideas. Second,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w:t>
      </w:r>
      <w:r>
        <w:t xml:space="preserve"> </w:t>
      </w:r>
      <w:r>
        <w:t xml:space="preserve">(Lodwick 2019)</w:t>
      </w:r>
      <w:r>
        <w:t xml:space="preserve"> </w:t>
      </w:r>
      <w:r>
        <w:t xml:space="preserve">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the physical sciences. Modelling and case studies described by</w:t>
      </w:r>
      <w:r>
        <w:t xml:space="preserve"> </w:t>
      </w:r>
      <w:r>
        <w:t xml:space="preserve">Akerlof and Michaillat (2018)</w:t>
      </w:r>
      <w:r>
        <w:t xml:space="preserve"> </w:t>
      </w:r>
      <w:r>
        <w:t xml:space="preserve">indicate that among disciplines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results show that scripting languages and data repositories to share the scripts is a solution that enjoys increasing popularity in the archaeological research community</w:t>
      </w:r>
      <w:r>
        <w:t xml:space="preserve"> </w:t>
      </w:r>
      <w:r>
        <w:t xml:space="preserve">(cf. Marwick and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received formal instruction, is not an easy task. A certain familiarity with the computational tools is required to be able to use them not just on a technological basis, but creatively and in full knowledge of their restrictions and ambiguities</w:t>
      </w:r>
      <w:r>
        <w:t xml:space="preserve"> </w:t>
      </w:r>
      <w:r>
        <w:t xml:space="preserve">(Papadopoulos, Chrysanthi and Murietta-Flores 2012)</w:t>
      </w:r>
      <w:r>
        <w:t xml:space="preserve">.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and Richerson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separate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This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dependencies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because it is widely used for research software because of its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w:t>
      </w:r>
      <w:r>
        <w:t xml:space="preserve"> </w:t>
      </w:r>
      <w:r>
        <w:t xml:space="preserve">(Ram 2013)</w:t>
      </w:r>
      <w:r>
        <w:t xml:space="preserve">.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may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identified an advantage of citing R for researchers as it leads to being referenced more often. We also identified a small, but increasing, set of archaeology papers that use R to make their work fully transparent and reproducible by others.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Tools emerging from the trading zone are important because they support practices of archaeology that are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and Lizardo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and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74"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bailey2016facilitating"/>
    <w:p>
      <w:pPr>
        <w:pStyle w:val="BodyText"/>
      </w:pPr>
      <w:r>
        <w:t xml:space="preserve">Bailey, D H, Borwein, J M and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6"/>
    <w:bookmarkStart w:id="58"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7">
        <w:r>
          <w:rPr>
            <w:rStyle w:val="Hyperlink"/>
          </w:rPr>
          <w:t xml:space="preserve">https://doi.org/10.1080/09332480.2014.965635</w:t>
        </w:r>
      </w:hyperlink>
      <w:r>
        <w:t xml:space="preserve">.</w:t>
      </w:r>
    </w:p>
    <w:bookmarkEnd w:id="58"/>
    <w:bookmarkStart w:id="59" w:name="ref-brinckman2019computing"/>
    <w:p>
      <w:pPr>
        <w:pStyle w:val="BodyText"/>
      </w:pPr>
      <w:r>
        <w:t xml:space="preserve">Brinckman, A, Chard, K, Gaffney, N, Hategan, M, Jones, M B, Kowalik, K, Kulasekaran, S, Ludäscher, B, Mecum, B D, Nabrzyski, J and others 2019 Computing environments for reproducibility: Capturing the ‘whole tale’,</w:t>
      </w:r>
      <w:r>
        <w:t xml:space="preserve"> </w:t>
      </w:r>
      <w:r>
        <w:rPr>
          <w:i/>
        </w:rPr>
        <w:t xml:space="preserve">Future Generation Computer Systems</w:t>
      </w:r>
      <w:r>
        <w:t xml:space="preserve">, 94: 854–867.</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6">
        <w:r>
          <w:rPr>
            <w:rStyle w:val="Hyperlink"/>
          </w:rPr>
          <w:t xml:space="preserve">https://doi.org/10.1016/j.ipm.2005.03.010</w:t>
        </w:r>
      </w:hyperlink>
      <w:r>
        <w:t xml:space="preserve">.</w:t>
      </w:r>
    </w:p>
    <w:bookmarkEnd w:id="107"/>
    <w:bookmarkStart w:id="109"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8">
        <w:r>
          <w:rPr>
            <w:rStyle w:val="Hyperlink"/>
          </w:rPr>
          <w:t xml:space="preserve">https://doi.org/10.1109/MCSE.2012.38</w:t>
        </w:r>
      </w:hyperlink>
      <w:r>
        <w:t xml:space="preserve">.</w:t>
      </w:r>
    </w:p>
    <w:bookmarkEnd w:id="109"/>
    <w:bookmarkStart w:id="111" w:name="ref-Lodwick_2019"/>
    <w:p>
      <w:pPr>
        <w:pStyle w:val="BodyText"/>
      </w:pPr>
      <w:r>
        <w:t xml:space="preserve">Lodwick, L 2019 Sowing the seeds of future research: Data sharing, citation and reuse in archaeobotany,</w:t>
      </w:r>
      <w:r>
        <w:t xml:space="preserve"> </w:t>
      </w:r>
      <w:r>
        <w:rPr>
          <w:i/>
        </w:rPr>
        <w:t xml:space="preserve">Open Quaternary</w:t>
      </w:r>
      <w:r>
        <w:t xml:space="preserve">, 5(1): 7. DOI:</w:t>
      </w:r>
      <w:r>
        <w:t xml:space="preserve"> </w:t>
      </w:r>
      <w:hyperlink r:id="rId110">
        <w:r>
          <w:rPr>
            <w:rStyle w:val="Hyperlink"/>
          </w:rPr>
          <w:t xml:space="preserve">https://doi.org/10.5334/oq.62</w:t>
        </w:r>
      </w:hyperlink>
      <w:r>
        <w:t xml:space="preserve">.</w:t>
      </w:r>
    </w:p>
    <w:bookmarkEnd w:id="111"/>
    <w:bookmarkStart w:id="112"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2"/>
    <w:bookmarkStart w:id="114"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3">
        <w:r>
          <w:rPr>
            <w:rStyle w:val="Hyperlink"/>
          </w:rPr>
          <w:t xml:space="preserve">https://doi.org/10.1007/s10816-015-9272-9</w:t>
        </w:r>
      </w:hyperlink>
      <w:r>
        <w:t xml:space="preserve">.</w:t>
      </w:r>
    </w:p>
    <w:bookmarkEnd w:id="114"/>
    <w:bookmarkStart w:id="116"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5">
        <w:r>
          <w:rPr>
            <w:rStyle w:val="Hyperlink"/>
          </w:rPr>
          <w:t xml:space="preserve">https://doi.org/10.1017/aap.2018.3</w:t>
        </w:r>
      </w:hyperlink>
      <w:r>
        <w:t xml:space="preserve">.</w:t>
      </w:r>
    </w:p>
    <w:bookmarkEnd w:id="116"/>
    <w:bookmarkStart w:id="117"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7"/>
    <w:bookmarkStart w:id="118"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8"/>
    <w:bookmarkStart w:id="120"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9">
        <w:r>
          <w:rPr>
            <w:rStyle w:val="Hyperlink"/>
          </w:rPr>
          <w:t xml:space="preserve">https://doi.org/10.1179/2042458215Y.0000000007</w:t>
        </w:r>
      </w:hyperlink>
      <w:r>
        <w:t xml:space="preserve">.</w:t>
      </w:r>
    </w:p>
    <w:bookmarkEnd w:id="120"/>
    <w:bookmarkStart w:id="122"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21">
        <w:r>
          <w:rPr>
            <w:rStyle w:val="Hyperlink"/>
          </w:rPr>
          <w:t xml:space="preserve">https://doi.org/10.2307/279104</w:t>
        </w:r>
      </w:hyperlink>
      <w:r>
        <w:t xml:space="preserve">.</w:t>
      </w:r>
    </w:p>
    <w:bookmarkEnd w:id="122"/>
    <w:bookmarkStart w:id="124"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3">
        <w:r>
          <w:rPr>
            <w:rStyle w:val="Hyperlink"/>
          </w:rPr>
          <w:t xml:space="preserve">https://doi.org/10.1126/science.1245317</w:t>
        </w:r>
      </w:hyperlink>
      <w:r>
        <w:t xml:space="preserve">.</w:t>
      </w:r>
    </w:p>
    <w:bookmarkEnd w:id="124"/>
    <w:bookmarkStart w:id="125"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5"/>
    <w:bookmarkStart w:id="126"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6"/>
    <w:bookmarkStart w:id="127" w:name="ref-Montelius_1899"/>
    <w:p>
      <w:pPr>
        <w:pStyle w:val="BodyText"/>
      </w:pPr>
      <w:r>
        <w:t xml:space="preserve">Montelius, O 1899 Typologien eller utvecklingsläran tillämpad på det menskliga arbetet,</w:t>
      </w:r>
      <w:r>
        <w:t xml:space="preserve"> </w:t>
      </w:r>
      <w:r>
        <w:rPr>
          <w:i/>
        </w:rPr>
        <w:t xml:space="preserve">Svenska Fornminnesföreningens Tidskrift</w:t>
      </w:r>
      <w:r>
        <w:t xml:space="preserve">, (10): 237–268.</w:t>
      </w:r>
    </w:p>
    <w:bookmarkEnd w:id="127"/>
    <w:bookmarkStart w:id="128"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8"/>
    <w:bookmarkStart w:id="130"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9">
        <w:r>
          <w:rPr>
            <w:rStyle w:val="Hyperlink"/>
          </w:rPr>
          <w:t xml:space="preserve">https://doi.org/10.1126/science.aab2374</w:t>
        </w:r>
      </w:hyperlink>
      <w:r>
        <w:t xml:space="preserve">.</w:t>
      </w:r>
    </w:p>
    <w:bookmarkEnd w:id="130"/>
    <w:bookmarkStart w:id="131"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31"/>
    <w:bookmarkStart w:id="132"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32"/>
    <w:bookmarkStart w:id="133" w:name="ref-pearson1998beginning"/>
    <w:p>
      <w:pPr>
        <w:pStyle w:val="BodyText"/>
      </w:pPr>
      <w:r>
        <w:t xml:space="preserve">Pearson, M P 1998 The beginning of wisdom,</w:t>
      </w:r>
      <w:r>
        <w:t xml:space="preserve"> </w:t>
      </w:r>
      <w:r>
        <w:rPr>
          <w:i/>
        </w:rPr>
        <w:t xml:space="preserve">Antiquity</w:t>
      </w:r>
      <w:r>
        <w:t xml:space="preserve">, 72(277): 680–686.</w:t>
      </w:r>
    </w:p>
    <w:bookmarkEnd w:id="133"/>
    <w:bookmarkStart w:id="135"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4">
        <w:r>
          <w:rPr>
            <w:rStyle w:val="Hyperlink"/>
          </w:rPr>
          <w:t xml:space="preserve">https://doi.org/10.1093/biostatistics/kxp014</w:t>
        </w:r>
      </w:hyperlink>
      <w:r>
        <w:t xml:space="preserve">.</w:t>
      </w:r>
    </w:p>
    <w:bookmarkEnd w:id="135"/>
    <w:bookmarkStart w:id="136"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6"/>
    <w:bookmarkStart w:id="137"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7"/>
    <w:bookmarkStart w:id="139" w:name="ref-Ram_2013"/>
    <w:p>
      <w:pPr>
        <w:pStyle w:val="BodyText"/>
      </w:pPr>
      <w:r>
        <w:t xml:space="preserve">Ram, K 2013 Git can facilitate greater reproducibility and increased transparency in science,</w:t>
      </w:r>
      <w:r>
        <w:t xml:space="preserve"> </w:t>
      </w:r>
      <w:r>
        <w:rPr>
          <w:i/>
        </w:rPr>
        <w:t xml:space="preserve">Source Code for Biology and Medicine</w:t>
      </w:r>
      <w:r>
        <w:t xml:space="preserve">, 8(1): 7. DOI:</w:t>
      </w:r>
      <w:r>
        <w:t xml:space="preserve"> </w:t>
      </w:r>
      <w:hyperlink r:id="rId138">
        <w:r>
          <w:rPr>
            <w:rStyle w:val="Hyperlink"/>
          </w:rPr>
          <w:t xml:space="preserve">https://doi.org/10.1186/1751-0473-8-7</w:t>
        </w:r>
      </w:hyperlink>
      <w:r>
        <w:t xml:space="preserve">.</w:t>
      </w:r>
    </w:p>
    <w:bookmarkEnd w:id="139"/>
    <w:bookmarkStart w:id="141"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40">
        <w:r>
          <w:rPr>
            <w:rStyle w:val="Hyperlink"/>
          </w:rPr>
          <w:t xml:space="preserve">https://doi.org/10.1016/j.tics.2010.12.002</w:t>
        </w:r>
      </w:hyperlink>
      <w:r>
        <w:t xml:space="preserve">.</w:t>
      </w:r>
    </w:p>
    <w:bookmarkEnd w:id="141"/>
    <w:bookmarkStart w:id="143"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42">
        <w:r>
          <w:rPr>
            <w:rStyle w:val="Hyperlink"/>
          </w:rPr>
          <w:t xml:space="preserve">https://doi.org/10.1371/journal.pcbi.1003285</w:t>
        </w:r>
      </w:hyperlink>
      <w:r>
        <w:t xml:space="preserve">.</w:t>
      </w:r>
    </w:p>
    <w:bookmarkEnd w:id="143"/>
    <w:bookmarkStart w:id="144"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44"/>
    <w:bookmarkStart w:id="145"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5"/>
    <w:bookmarkStart w:id="147" w:name="ref-Slater_et_al_2019"/>
    <w:p>
      <w:pPr>
        <w:pStyle w:val="BodyText"/>
      </w:pPr>
      <w:r>
        <w:t xml:space="preserve">Slater, L J, Thirel, G, Harrigan, S, Delaigue, O, Hurley, A, Khouakhi, A, Prosdocimi, I, Vitolo, C and Smith, K 2019 Using r in hydrology: A review of recent developments and future directions,</w:t>
      </w:r>
      <w:r>
        <w:t xml:space="preserve"> </w:t>
      </w:r>
      <w:r>
        <w:rPr>
          <w:i/>
        </w:rPr>
        <w:t xml:space="preserve">Hydrology and Earth System Sciences</w:t>
      </w:r>
      <w:r>
        <w:t xml:space="preserve">, 23(7): 2939–2963. DOI:</w:t>
      </w:r>
      <w:r>
        <w:t xml:space="preserve"> </w:t>
      </w:r>
      <w:hyperlink r:id="rId146">
        <w:r>
          <w:rPr>
            <w:rStyle w:val="Hyperlink"/>
          </w:rPr>
          <w:t xml:space="preserve">https://doi.org/https://doi.org/10.5194/hess-23-2939-2019</w:t>
        </w:r>
      </w:hyperlink>
      <w:r>
        <w:t xml:space="preserve">.</w:t>
      </w:r>
    </w:p>
    <w:bookmarkEnd w:id="147"/>
    <w:bookmarkStart w:id="149"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8">
        <w:r>
          <w:rPr>
            <w:rStyle w:val="Hyperlink"/>
          </w:rPr>
          <w:t xml:space="preserve">https://doi.org/10.1017/S0959774302000094</w:t>
        </w:r>
      </w:hyperlink>
      <w:r>
        <w:t xml:space="preserve">.</w:t>
      </w:r>
    </w:p>
    <w:bookmarkEnd w:id="149"/>
    <w:bookmarkStart w:id="151"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50">
        <w:r>
          <w:rPr>
            <w:rStyle w:val="Hyperlink"/>
          </w:rPr>
          <w:t xml:space="preserve">https://doi.org/10.1038/d41586-018-05256-0</w:t>
        </w:r>
      </w:hyperlink>
      <w:r>
        <w:t xml:space="preserve">.</w:t>
      </w:r>
    </w:p>
    <w:bookmarkEnd w:id="151"/>
    <w:bookmarkStart w:id="153"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52">
        <w:r>
          <w:rPr>
            <w:rStyle w:val="Hyperlink"/>
          </w:rPr>
          <w:t xml:space="preserve">https://doi.org/10.1371/journal.pone.0067111</w:t>
        </w:r>
      </w:hyperlink>
      <w:r>
        <w:t xml:space="preserve">.</w:t>
      </w:r>
    </w:p>
    <w:bookmarkEnd w:id="153"/>
    <w:bookmarkStart w:id="155"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54">
        <w:r>
          <w:rPr>
            <w:rStyle w:val="Hyperlink"/>
          </w:rPr>
          <w:t xml:space="preserve">https://doi.org/10.1515/opar-2017-0019</w:t>
        </w:r>
      </w:hyperlink>
      <w:r>
        <w:t xml:space="preserve">.</w:t>
      </w:r>
    </w:p>
    <w:bookmarkEnd w:id="155"/>
    <w:bookmarkStart w:id="157" w:name="ref-Thieme_2018"/>
    <w:p>
      <w:pPr>
        <w:pStyle w:val="BodyText"/>
      </w:pPr>
      <w:r>
        <w:t xml:space="preserve">Thieme, N 2018 R generation,</w:t>
      </w:r>
      <w:r>
        <w:t xml:space="preserve"> </w:t>
      </w:r>
      <w:r>
        <w:rPr>
          <w:i/>
        </w:rPr>
        <w:t xml:space="preserve">Significance</w:t>
      </w:r>
      <w:r>
        <w:t xml:space="preserve">, 15(4): 14–19. DOI:</w:t>
      </w:r>
      <w:r>
        <w:t xml:space="preserve"> </w:t>
      </w:r>
      <w:hyperlink r:id="rId156">
        <w:r>
          <w:rPr>
            <w:rStyle w:val="Hyperlink"/>
          </w:rPr>
          <w:t xml:space="preserve">https://doi.org/10.1111/j.1740-9713.2018.01169.x</w:t>
        </w:r>
      </w:hyperlink>
      <w:r>
        <w:t xml:space="preserve">.</w:t>
      </w:r>
    </w:p>
    <w:bookmarkEnd w:id="157"/>
    <w:bookmarkStart w:id="159"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8">
        <w:r>
          <w:rPr>
            <w:rStyle w:val="Hyperlink"/>
          </w:rPr>
          <w:t xml:space="preserve">https://doi.org/10.1038/517109a</w:t>
        </w:r>
      </w:hyperlink>
      <w:r>
        <w:t xml:space="preserve">.</w:t>
      </w:r>
    </w:p>
    <w:bookmarkEnd w:id="159"/>
    <w:bookmarkStart w:id="161"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60">
        <w:r>
          <w:rPr>
            <w:rStyle w:val="Hyperlink"/>
          </w:rPr>
          <w:t xml:space="preserve">https://doi.org/10.1002/ecs2.1394</w:t>
        </w:r>
      </w:hyperlink>
      <w:r>
        <w:t xml:space="preserve">.</w:t>
      </w:r>
    </w:p>
    <w:bookmarkEnd w:id="161"/>
    <w:bookmarkStart w:id="162"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62"/>
    <w:bookmarkStart w:id="163"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63"/>
    <w:bookmarkStart w:id="165"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64">
        <w:r>
          <w:rPr>
            <w:rStyle w:val="Hyperlink"/>
          </w:rPr>
          <w:t xml:space="preserve">https://doi.org/10.1177/2378023116669726</w:t>
        </w:r>
      </w:hyperlink>
      <w:r>
        <w:t xml:space="preserve">.</w:t>
      </w:r>
    </w:p>
    <w:bookmarkEnd w:id="165"/>
    <w:bookmarkStart w:id="166"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66"/>
    <w:bookmarkStart w:id="167"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7"/>
    <w:bookmarkStart w:id="168"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8"/>
    <w:bookmarkStart w:id="170"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9">
        <w:r>
          <w:rPr>
            <w:rStyle w:val="Hyperlink"/>
          </w:rPr>
          <w:t xml:space="preserve">https://doi.org/10.1002/bies.950180902</w:t>
        </w:r>
      </w:hyperlink>
      <w:r>
        <w:t xml:space="preserve">.</w:t>
      </w:r>
    </w:p>
    <w:bookmarkEnd w:id="170"/>
    <w:bookmarkStart w:id="172"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71">
        <w:r>
          <w:rPr>
            <w:rStyle w:val="Hyperlink"/>
          </w:rPr>
          <w:t xml:space="preserve">https://doi.org/10.1371/journal.pcbi.1005510</w:t>
        </w:r>
      </w:hyperlink>
      <w:r>
        <w:t xml:space="preserve">.</w:t>
      </w:r>
    </w:p>
    <w:bookmarkEnd w:id="172"/>
    <w:bookmarkStart w:id="173" w:name="ref-xie2018r"/>
    <w:p>
      <w:pPr>
        <w:pStyle w:val="BodyText"/>
      </w:pPr>
      <w:r>
        <w:t xml:space="preserve">Xie, Y, Allaire, J and Grolemund, G 2018</w:t>
      </w:r>
      <w:r>
        <w:t xml:space="preserve"> </w:t>
      </w:r>
      <w:r>
        <w:rPr>
          <w:i/>
        </w:rPr>
        <w:t xml:space="preserve">R markdown: The definitive guide</w:t>
      </w:r>
      <w:r>
        <w:t xml:space="preserve">. CRC Press.</w:t>
      </w:r>
    </w:p>
    <w:bookmarkEnd w:id="173"/>
    <w:bookmarkEnd w:id="174"/>
    <w:p>
      <w:pPr>
        <w:pStyle w:val="Heading5"/>
      </w:pPr>
      <w:bookmarkStart w:id="175" w:name="pagebreak-1"/>
      <w:r>
        <w:t xml:space="preserve">pagebreak</w:t>
      </w:r>
      <w:bookmarkEnd w:id="175"/>
    </w:p>
    <w:p>
      <w:pPr>
        <w:pStyle w:val="Heading3"/>
      </w:pPr>
      <w:bookmarkStart w:id="176" w:name="colophon"/>
      <w:r>
        <w:t xml:space="preserve">Colophon</w:t>
      </w:r>
      <w:bookmarkEnd w:id="176"/>
    </w:p>
    <w:p>
      <w:pPr>
        <w:pStyle w:val="FirstParagraph"/>
      </w:pPr>
      <w:r>
        <w:t xml:space="preserve">This report was generated on 2019-08-12 15:05:41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2019-08-12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0.6.20     2019-07-04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1.24       2019-08-08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lemon          0.4.3      2019-01-08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1.0.2      2019-07-25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1.14       2019-07-12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/Volumes/LittleRugged/My Documents/My Papers/conferences/CAA2018/caa2018-Tubingen</w:t>
      </w:r>
      <w:r>
        <w:br w:type="textWrapping"/>
      </w:r>
      <w:r>
        <w:rPr>
          <w:rStyle w:val="VerbatimChar"/>
        </w:rPr>
        <w:t xml:space="preserve">#&gt; Remote:   master @ origin (https://github.com/benmarwick/caa2018-Tubingen)</w:t>
      </w:r>
      <w:r>
        <w:br w:type="textWrapping"/>
      </w:r>
      <w:r>
        <w:rPr>
          <w:rStyle w:val="VerbatimChar"/>
        </w:rPr>
        <w:t xml:space="preserve">#&gt; Head:     [708b056] 2019-08-12: merge conflict</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9" Target="https://doi.org/10.1002/bies.950180902" TargetMode="External" /><Relationship Type="http://schemas.openxmlformats.org/officeDocument/2006/relationships/hyperlink" Id="rId160"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40" Target="https://doi.org/10.1016/j.tics.2010.12.002" TargetMode="External" /><Relationship Type="http://schemas.openxmlformats.org/officeDocument/2006/relationships/hyperlink" Id="rId148"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8" Target="https://doi.org/10.1038/517109a" TargetMode="External" /><Relationship Type="http://schemas.openxmlformats.org/officeDocument/2006/relationships/hyperlink" Id="rId150"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4"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6"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9"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4"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38" Target="https://doi.org/10.1186/1751-0473-8-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42" Target="https://doi.org/10.1371/journal.pcbi.1003285" TargetMode="External" /><Relationship Type="http://schemas.openxmlformats.org/officeDocument/2006/relationships/hyperlink" Id="rId171" Target="https://doi.org/10.1371/journal.pcbi.1005510" TargetMode="External" /><Relationship Type="http://schemas.openxmlformats.org/officeDocument/2006/relationships/hyperlink" Id="rId152"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4"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10" Target="https://doi.org/10.5334/oq.62" TargetMode="External" /><Relationship Type="http://schemas.openxmlformats.org/officeDocument/2006/relationships/hyperlink" Id="rId146"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9" Target="https://doi.org/10.1002/bies.950180902" TargetMode="External" /><Relationship Type="http://schemas.openxmlformats.org/officeDocument/2006/relationships/hyperlink" Id="rId160"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40" Target="https://doi.org/10.1016/j.tics.2010.12.002" TargetMode="External" /><Relationship Type="http://schemas.openxmlformats.org/officeDocument/2006/relationships/hyperlink" Id="rId148"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8" Target="https://doi.org/10.1038/517109a" TargetMode="External" /><Relationship Type="http://schemas.openxmlformats.org/officeDocument/2006/relationships/hyperlink" Id="rId150"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4"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6"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9"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4"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38" Target="https://doi.org/10.1186/1751-0473-8-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42" Target="https://doi.org/10.1371/journal.pcbi.1003285" TargetMode="External" /><Relationship Type="http://schemas.openxmlformats.org/officeDocument/2006/relationships/hyperlink" Id="rId171" Target="https://doi.org/10.1371/journal.pcbi.1005510" TargetMode="External" /><Relationship Type="http://schemas.openxmlformats.org/officeDocument/2006/relationships/hyperlink" Id="rId152"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4"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10" Target="https://doi.org/10.5334/oq.62" TargetMode="External" /><Relationship Type="http://schemas.openxmlformats.org/officeDocument/2006/relationships/hyperlink" Id="rId146"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2019-08-12T22:05:44Z</dcterms:created>
  <dcterms:modified xsi:type="dcterms:W3CDTF">2019-08-12T22:05:44Z</dcterms:modified>
</cp:coreProperties>
</file>