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29"/>
        <w:gridCol w:w="811"/>
        <w:gridCol w:w="4219"/>
        <w:gridCol w:w="2759"/>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1–4</w:t>
            </w:r>
            <w:r>
              <w:t xml:space="preserve"> </w:t>
            </w:r>
            <w:r>
              <w:t xml:space="preserve">(review/reference)</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5–7</w:t>
            </w:r>
            <w:r>
              <w:t xml:space="preserve"> </w:t>
            </w:r>
            <w:r>
              <w:t xml:space="preserve">(review/reference)</w:t>
            </w:r>
          </w:p>
        </w:tc>
      </w:tr>
      <w:tr>
        <w:tc>
          <w:tcPr/>
          <w:p>
            <w:pPr>
              <w:pStyle w:val="Compact"/>
              <w:jc w:val="right"/>
            </w:pPr>
            <w:r>
              <w:t xml:space="preserve">3</w:t>
            </w:r>
          </w:p>
        </w:tc>
        <w:tc>
          <w:tcPr/>
          <w:p>
            <w:pPr>
              <w:pStyle w:val="Compact"/>
            </w:pPr>
            <w:r>
              <w:t xml:space="preserve">Jan 26, 2026–Feb 01, 2026</w:t>
            </w:r>
          </w:p>
        </w:tc>
        <w:tc>
          <w:tcPr/>
          <w:p>
            <w:pPr>
              <w:pStyle w:val="Compact"/>
            </w:pPr>
            <w:r>
              <w:t xml:space="preserve">“Pythonic objects”</w:t>
            </w:r>
            <w:r>
              <w:t xml:space="preserve"> </w:t>
            </w:r>
            <w:r>
              <w:t xml:space="preserve">mindset: data model,</w:t>
            </w:r>
            <w:r>
              <w:t xml:space="preserve"> </w:t>
            </w:r>
            <w:r>
              <w:rPr>
                <w:rStyle w:val="VerbatimChar"/>
              </w:rPr>
              <w:t xml:space="preserve">__repr__</w:t>
            </w:r>
            <w:r>
              <w:t xml:space="preserve">/</w:t>
            </w:r>
            <w:r>
              <w:rPr>
                <w:rStyle w:val="VerbatimChar"/>
              </w:rPr>
              <w:t xml:space="preserve">__str__</w:t>
            </w:r>
            <w:r>
              <w:t xml:space="preserve">, making objects console-friendly</w:t>
            </w:r>
          </w:p>
        </w:tc>
        <w:tc>
          <w:tcPr/>
          <w:p>
            <w:pPr>
              <w:pStyle w:val="Compact"/>
            </w:pPr>
            <w:r>
              <w:rPr>
                <w:b/>
                <w:bCs/>
              </w:rPr>
              <w:t xml:space="preserve">Fluent Python</w:t>
            </w:r>
            <w:r>
              <w:t xml:space="preserve"> </w:t>
            </w:r>
            <w:r>
              <w:t xml:space="preserve">Ch. 1 (The Python Data Model)</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Sequences as app state: list/tuple patterns, unpacking, slicing; practical container thinking</w:t>
            </w:r>
          </w:p>
        </w:tc>
        <w:tc>
          <w:tcPr/>
          <w:p>
            <w:pPr>
              <w:pStyle w:val="Compact"/>
            </w:pPr>
            <w:r>
              <w:rPr>
                <w:b/>
                <w:bCs/>
              </w:rPr>
              <w:t xml:space="preserve">Fluent Python</w:t>
            </w:r>
            <w:r>
              <w:t xml:space="preserve"> </w:t>
            </w:r>
            <w:r>
              <w:t xml:space="preserve">Ch. 2 (An Array of Sequences)</w:t>
            </w:r>
            <w:r>
              <w:t xml:space="preserve"> </w:t>
            </w:r>
            <w:r>
              <w:rPr>
                <w:i/>
                <w:iCs/>
              </w:rPr>
              <w:t xml:space="preserve">(selected sections as needed)</w:t>
            </w:r>
          </w:p>
        </w:tc>
      </w:tr>
      <w:tr>
        <w:tc>
          <w:tcPr/>
          <w:p>
            <w:pPr>
              <w:pStyle w:val="Compact"/>
              <w:jc w:val="right"/>
            </w:pPr>
            <w:r>
              <w:t xml:space="preserve">5</w:t>
            </w:r>
          </w:p>
        </w:tc>
        <w:tc>
          <w:tcPr/>
          <w:p>
            <w:pPr>
              <w:pStyle w:val="Compact"/>
            </w:pPr>
            <w:r>
              <w:t xml:space="preserve">Feb 09, 2026–Feb 15, 2026</w:t>
            </w:r>
          </w:p>
        </w:tc>
        <w:tc>
          <w:tcPr/>
          <w:p>
            <w:pPr>
              <w:pStyle w:val="Compact"/>
            </w:pPr>
            <w:r>
              <w:t xml:space="preserve">Dictionaries/sets for state + menus: mapping commands to actions; clean updates; defaults/missing keys</w:t>
            </w:r>
          </w:p>
        </w:tc>
        <w:tc>
          <w:tcPr/>
          <w:p>
            <w:pPr>
              <w:pStyle w:val="Compact"/>
            </w:pPr>
            <w:r>
              <w:rPr>
                <w:b/>
                <w:bCs/>
              </w:rPr>
              <w:t xml:space="preserve">Fluent Python</w:t>
            </w:r>
            <w:r>
              <w:t xml:space="preserve"> </w:t>
            </w:r>
            <w:r>
              <w:t xml:space="preserve">Ch. 3 (Dictionaries and Sets)</w:t>
            </w:r>
          </w:p>
        </w:tc>
      </w:tr>
      <w:tr>
        <w:tc>
          <w:tcPr/>
          <w:p>
            <w:pPr>
              <w:pStyle w:val="Compact"/>
              <w:jc w:val="right"/>
            </w:pPr>
            <w:r>
              <w:t xml:space="preserve">6</w:t>
            </w:r>
          </w:p>
        </w:tc>
        <w:tc>
          <w:tcPr/>
          <w:p>
            <w:pPr>
              <w:pStyle w:val="Compact"/>
            </w:pPr>
            <w:r>
              <w:t xml:space="preserve">Feb 16, 2026–Feb 22, 2026</w:t>
            </w:r>
          </w:p>
        </w:tc>
        <w:tc>
          <w:tcPr/>
          <w:p>
            <w:pPr>
              <w:pStyle w:val="Compact"/>
            </w:pPr>
            <w:r>
              <w:t xml:space="preserve">Type hints (light/practical): clearer interfaces for larger CLI apps;</w:t>
            </w:r>
            <w:r>
              <w:t xml:space="preserve"> </w:t>
            </w:r>
            <w:r>
              <w:t xml:space="preserve">“hint what matters”</w:t>
            </w:r>
          </w:p>
        </w:tc>
        <w:tc>
          <w:tcPr/>
          <w:p>
            <w:pPr>
              <w:pStyle w:val="Compact"/>
            </w:pPr>
            <w:r>
              <w:rPr>
                <w:b/>
                <w:bCs/>
              </w:rPr>
              <w:t xml:space="preserve">Fluent Python</w:t>
            </w:r>
            <w:r>
              <w:t xml:space="preserve"> </w:t>
            </w:r>
            <w:r>
              <w:t xml:space="preserve">Ch. 8 (Type Hints in Functions)</w:t>
            </w:r>
            <w:r>
              <w:t xml:space="preserve"> </w:t>
            </w:r>
            <w:r>
              <w:rPr>
                <w:i/>
                <w:iCs/>
              </w:rPr>
              <w:t xml:space="preserve">(selected sections)</w:t>
            </w:r>
          </w:p>
        </w:tc>
      </w:tr>
      <w:tr>
        <w:tc>
          <w:tcPr/>
          <w:p>
            <w:pPr>
              <w:pStyle w:val="Compact"/>
              <w:jc w:val="right"/>
            </w:pPr>
            <w:r>
              <w:t xml:space="preserve">7</w:t>
            </w:r>
          </w:p>
        </w:tc>
        <w:tc>
          <w:tcPr/>
          <w:p>
            <w:pPr>
              <w:pStyle w:val="Compact"/>
            </w:pPr>
            <w:r>
              <w:t xml:space="preserve">Feb 23, 2026–Mar 01, 2026</w:t>
            </w:r>
          </w:p>
        </w:tc>
        <w:tc>
          <w:tcPr/>
          <w:p>
            <w:pPr>
              <w:pStyle w:val="Compact"/>
            </w:pPr>
            <w:r>
              <w:t xml:space="preserve">Functions as design tool: command dispatch tables; refactor repetition; improve structure (</w:t>
            </w:r>
            <w:r>
              <w:rPr>
                <w:b/>
                <w:bCs/>
              </w:rPr>
              <w:t xml:space="preserve">Virtual Pet v2</w:t>
            </w:r>
            <w:r>
              <w:t xml:space="preserve">)</w:t>
            </w:r>
          </w:p>
        </w:tc>
        <w:tc>
          <w:tcPr/>
          <w:p>
            <w:pPr>
              <w:pStyle w:val="Compact"/>
            </w:pPr>
            <w:r>
              <w:rPr>
                <w:b/>
                <w:bCs/>
              </w:rPr>
              <w:t xml:space="preserve">Fluent Python</w:t>
            </w:r>
            <w:r>
              <w:t xml:space="preserve"> </w:t>
            </w:r>
            <w:r>
              <w:t xml:space="preserve">Ch. 7 (Functions as First-Class Objects)</w:t>
            </w:r>
          </w:p>
        </w:tc>
      </w:tr>
      <w:tr>
        <w:tc>
          <w:tcPr/>
          <w:p>
            <w:pPr>
              <w:pStyle w:val="Compact"/>
              <w:jc w:val="right"/>
            </w:pPr>
            <w:r>
              <w:t xml:space="preserve">8</w:t>
            </w:r>
          </w:p>
        </w:tc>
        <w:tc>
          <w:tcPr/>
          <w:p>
            <w:pPr>
              <w:pStyle w:val="Compact"/>
            </w:pPr>
            <w:r>
              <w:t xml:space="preserve">Mar 02, 2026–Mar 08, 2026</w:t>
            </w:r>
          </w:p>
        </w:tc>
        <w:tc>
          <w:tcPr/>
          <w:p>
            <w:pPr>
              <w:pStyle w:val="Compact"/>
            </w:pPr>
            <w:r>
              <w:t xml:space="preserve">Decorators/closures (optional depth): command registration</w:t>
            </w:r>
            <w:r>
              <w:t xml:space="preserve"> </w:t>
            </w:r>
            <w:r>
              <w:rPr>
                <w:i/>
                <w:iCs/>
              </w:rPr>
              <w:t xml:space="preserve">or</w:t>
            </w:r>
            <w:r>
              <w:t xml:space="preserve"> </w:t>
            </w:r>
            <w:r>
              <w:t xml:space="preserve">keep dict dispatch; focus on readable design</w:t>
            </w:r>
          </w:p>
        </w:tc>
        <w:tc>
          <w:tcPr/>
          <w:p>
            <w:pPr>
              <w:pStyle w:val="Compact"/>
            </w:pPr>
            <w:r>
              <w:rPr>
                <w:b/>
                <w:bCs/>
              </w:rPr>
              <w:t xml:space="preserve">Fluent Python</w:t>
            </w:r>
            <w:r>
              <w:t xml:space="preserve"> </w:t>
            </w:r>
            <w:r>
              <w:t xml:space="preserve">Ch. 9 (Decorators and Closures)</w:t>
            </w:r>
            <w:r>
              <w:t xml:space="preserve"> </w:t>
            </w:r>
            <w:r>
              <w:rPr>
                <w:i/>
                <w:iCs/>
              </w:rPr>
              <w:t xml:space="preserve">(targeted)</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rPr>
                <w:b/>
                <w:bCs/>
              </w:rPr>
              <w:t xml:space="preserve">Reliability week:</w:t>
            </w:r>
            <w:r>
              <w:t xml:space="preserve"> </w:t>
            </w:r>
            <w:r>
              <w:t xml:space="preserve">safe persistence +</w:t>
            </w:r>
            <w:r>
              <w:t xml:space="preserve"> </w:t>
            </w:r>
            <w:r>
              <w:rPr>
                <w:rStyle w:val="VerbatimChar"/>
              </w:rPr>
              <w:t xml:space="preserve">pathlib</w:t>
            </w:r>
            <w:r>
              <w:t xml:space="preserve"> </w:t>
            </w:r>
            <w:r>
              <w:t xml:space="preserve">conventions + friendly failures; context managers (</w:t>
            </w:r>
            <w:r>
              <w:rPr>
                <w:rStyle w:val="VerbatimChar"/>
              </w:rPr>
              <w:t xml:space="preserve">with</w:t>
            </w:r>
            <w:r>
              <w:t xml:space="preserve">) (</w:t>
            </w:r>
            <w:r>
              <w:rPr>
                <w:b/>
                <w:bCs/>
              </w:rPr>
              <w:t xml:space="preserve">Virtual Pet v3</w:t>
            </w:r>
            <w:r>
              <w:t xml:space="preserve">)</w:t>
            </w:r>
          </w:p>
        </w:tc>
        <w:tc>
          <w:tcPr/>
          <w:p>
            <w:pPr>
              <w:pStyle w:val="Compact"/>
            </w:pPr>
            <w:r>
              <w:rPr>
                <w:b/>
                <w:bCs/>
              </w:rPr>
              <w:t xml:space="preserve">Fluent Python</w:t>
            </w:r>
            <w:r>
              <w:t xml:space="preserve"> </w:t>
            </w:r>
            <w:r>
              <w:t xml:space="preserve">Ch. 18 (with / context managers focus)</w:t>
            </w:r>
          </w:p>
        </w:tc>
      </w:tr>
      <w:tr>
        <w:tc>
          <w:tcPr/>
          <w:p>
            <w:pPr>
              <w:pStyle w:val="Compact"/>
              <w:jc w:val="right"/>
            </w:pPr>
            <w:r>
              <w:t xml:space="preserve">11</w:t>
            </w:r>
          </w:p>
        </w:tc>
        <w:tc>
          <w:tcPr/>
          <w:p>
            <w:pPr>
              <w:pStyle w:val="Compact"/>
            </w:pPr>
            <w:r>
              <w:t xml:space="preserve">Mar 23, 2026–Mar 29, 2026</w:t>
            </w:r>
          </w:p>
        </w:tc>
        <w:tc>
          <w:tcPr/>
          <w:p>
            <w:pPr>
              <w:pStyle w:val="Compact"/>
            </w:pPr>
            <w:r>
              <w:rPr>
                <w:b/>
                <w:bCs/>
              </w:rPr>
              <w:t xml:space="preserve">Architecture week:</w:t>
            </w:r>
            <w:r>
              <w:t xml:space="preserve"> </w:t>
            </w:r>
            <w:r>
              <w:t xml:space="preserve">interfaces/protocols/ABCs as design contracts; clean boundaries (UI vs logic vs storage)</w:t>
            </w:r>
          </w:p>
        </w:tc>
        <w:tc>
          <w:tcPr/>
          <w:p>
            <w:pPr>
              <w:pStyle w:val="Compact"/>
            </w:pPr>
            <w:r>
              <w:rPr>
                <w:b/>
                <w:bCs/>
              </w:rPr>
              <w:t xml:space="preserve">Fluent Python</w:t>
            </w:r>
            <w:r>
              <w:t xml:space="preserve"> </w:t>
            </w:r>
            <w:r>
              <w:t xml:space="preserve">Ch. 13 (Interfaces, Protocols, and ABCs)</w:t>
            </w:r>
          </w:p>
        </w:tc>
      </w:tr>
      <w:tr>
        <w:tc>
          <w:tcPr/>
          <w:p>
            <w:pPr>
              <w:pStyle w:val="Compact"/>
              <w:jc w:val="right"/>
            </w:pPr>
            <w:r>
              <w:t xml:space="preserve">12</w:t>
            </w:r>
          </w:p>
        </w:tc>
        <w:tc>
          <w:tcPr/>
          <w:p>
            <w:pPr>
              <w:pStyle w:val="Compact"/>
            </w:pPr>
            <w:r>
              <w:t xml:space="preserve">Mar 30, 2026–Apr 05, 2026</w:t>
            </w:r>
          </w:p>
        </w:tc>
        <w:tc>
          <w:tcPr/>
          <w:p>
            <w:pPr>
              <w:pStyle w:val="Compact"/>
            </w:pPr>
            <w:r>
              <w:rPr>
                <w:b/>
                <w:bCs/>
              </w:rPr>
              <w:t xml:space="preserve">Extension strategy:</w:t>
            </w:r>
            <w:r>
              <w:t xml:space="preserve"> </w:t>
            </w:r>
            <w:r>
              <w:t xml:space="preserve">inheritance vs composition; mixins carefully;</w:t>
            </w:r>
            <w:r>
              <w:t xml:space="preserve"> </w:t>
            </w:r>
            <w:r>
              <w:t xml:space="preserve">“how to grow without breaking”</w:t>
            </w:r>
          </w:p>
        </w:tc>
        <w:tc>
          <w:tcPr/>
          <w:p>
            <w:pPr>
              <w:pStyle w:val="Compact"/>
            </w:pPr>
            <w:r>
              <w:rPr>
                <w:b/>
                <w:bCs/>
              </w:rPr>
              <w:t xml:space="preserve">Fluent Python</w:t>
            </w:r>
            <w:r>
              <w:t xml:space="preserve"> </w:t>
            </w:r>
            <w:r>
              <w:t xml:space="preserve">Ch. 14 (Inheritance: For Better or for Worse)</w:t>
            </w:r>
          </w:p>
        </w:tc>
      </w:tr>
      <w:tr>
        <w:tc>
          <w:tcPr/>
          <w:p>
            <w:pPr>
              <w:pStyle w:val="Compact"/>
              <w:jc w:val="right"/>
            </w:pPr>
            <w:r>
              <w:t xml:space="preserve">13</w:t>
            </w:r>
          </w:p>
        </w:tc>
        <w:tc>
          <w:tcPr/>
          <w:p>
            <w:pPr>
              <w:pStyle w:val="Compact"/>
            </w:pPr>
            <w:r>
              <w:t xml:space="preserve">Apr 06, 2026–Apr 12, 2026</w:t>
            </w:r>
          </w:p>
        </w:tc>
        <w:tc>
          <w:tcPr/>
          <w:p>
            <w:pPr>
              <w:pStyle w:val="Compact"/>
            </w:pPr>
            <w:r>
              <w:rPr>
                <w:b/>
                <w:bCs/>
              </w:rPr>
              <w:t xml:space="preserve">Richer objects:</w:t>
            </w:r>
            <w:r>
              <w:t xml:space="preserve"> </w:t>
            </w:r>
            <w:r>
              <w:t xml:space="preserve">special methods for nicer domain models (custom containers/logs/history); polish without overengineering</w:t>
            </w:r>
          </w:p>
        </w:tc>
        <w:tc>
          <w:tcPr/>
          <w:p>
            <w:pPr>
              <w:pStyle w:val="Compact"/>
            </w:pPr>
            <w:r>
              <w:rPr>
                <w:b/>
                <w:bCs/>
              </w:rPr>
              <w:t xml:space="preserve">Fluent Python</w:t>
            </w:r>
            <w:r>
              <w:t xml:space="preserve"> </w:t>
            </w:r>
            <w:r>
              <w:t xml:space="preserve">Ch. 12 (Special Methods for Sequences)</w:t>
            </w:r>
            <w:r>
              <w:t xml:space="preserve"> </w:t>
            </w:r>
            <w:r>
              <w:rPr>
                <w:i/>
                <w:iCs/>
              </w:rPr>
              <w:t xml:space="preserve">(selected)</w:t>
            </w:r>
          </w:p>
        </w:tc>
      </w:tr>
      <w:tr>
        <w:tc>
          <w:tcPr/>
          <w:p>
            <w:pPr>
              <w:pStyle w:val="Compact"/>
              <w:jc w:val="right"/>
            </w:pPr>
            <w:r>
              <w:t xml:space="preserve">14</w:t>
            </w:r>
          </w:p>
        </w:tc>
        <w:tc>
          <w:tcPr/>
          <w:p>
            <w:pPr>
              <w:pStyle w:val="Compact"/>
            </w:pPr>
            <w:r>
              <w:t xml:space="preserve">Apr 13, 2026–Apr 19, 2026</w:t>
            </w:r>
          </w:p>
        </w:tc>
        <w:tc>
          <w:tcPr/>
          <w:p>
            <w:pPr>
              <w:pStyle w:val="Compact"/>
            </w:pPr>
            <w:r>
              <w:rPr>
                <w:b/>
                <w:bCs/>
              </w:rPr>
              <w:t xml:space="preserve">Final project proposal week:</w:t>
            </w:r>
            <w:r>
              <w:t xml:space="preserve"> </w:t>
            </w:r>
            <w:r>
              <w:t xml:space="preserve">scope, constraints, milestones, repo plan, feature choices; link plan to course techniques</w:t>
            </w:r>
          </w:p>
        </w:tc>
        <w:tc>
          <w:tcPr/>
          <w:p>
            <w:pPr>
              <w:pStyle w:val="Compact"/>
            </w:pP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 clean</w:t>
            </w:r>
            <w:r>
              <w:t xml:space="preserve"> </w:t>
            </w:r>
            <w:r>
              <w:t xml:space="preserve">“event stream”</w:t>
            </w:r>
            <w:r>
              <w:t xml:space="preserve"> </w:t>
            </w:r>
            <w:r>
              <w:t xml:space="preserve">thinking for CLI apps</w:t>
            </w:r>
          </w:p>
        </w:tc>
        <w:tc>
          <w:tcPr/>
          <w:p>
            <w:pPr>
              <w:pStyle w:val="Compact"/>
            </w:pPr>
            <w:r>
              <w:rPr>
                <w:b/>
                <w:bCs/>
              </w:rPr>
              <w:t xml:space="preserve">Fluent Python</w:t>
            </w:r>
            <w:r>
              <w:t xml:space="preserve"> </w:t>
            </w:r>
            <w:r>
              <w:t xml:space="preserve">Ch. 17 (Iterators, Generators, and Classic Coroutines)</w:t>
            </w:r>
            <w:r>
              <w:t xml:space="preserve"> </w:t>
            </w:r>
            <w:r>
              <w:rPr>
                <w:i/>
                <w:iCs/>
              </w:rPr>
              <w:t xml:space="preserve">(selected)</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2026-01-07T04:42:05Z</dcterms:created>
  <dcterms:modified xsi:type="dcterms:W3CDTF">2026-01-07T04:42:05Z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