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C40D">
      <w:pPr>
        <w:jc w:val="right"/>
        <w:rPr>
          <w:rFonts w:ascii="华文行楷" w:eastAsia="华文行楷"/>
          <w:bCs/>
          <w:color w:val="000000" w:themeColor="text1"/>
          <w:sz w:val="84"/>
          <w14:textFill>
            <w14:solidFill>
              <w14:schemeClr w14:val="tx1"/>
            </w14:solidFill>
          </w14:textFill>
        </w:rPr>
      </w:pPr>
      <w:r>
        <w:rPr>
          <w:rFonts w:ascii="宋体" w:hAnsi="宋体"/>
          <w:b/>
          <w:bCs/>
          <w:color w:val="000000" w:themeColor="text1"/>
          <w:sz w:val="52"/>
          <w:szCs w:val="48"/>
          <w14:textFill>
            <w14:solidFill>
              <w14:schemeClr w14:val="tx1"/>
            </w14:solidFill>
          </w14:textFill>
        </w:rPr>
        <w:drawing>
          <wp:inline distT="0" distB="0" distL="0" distR="0">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color w:val="000000" w:themeColor="text1"/>
          <w:sz w:val="84"/>
          <w14:textFill>
            <w14:solidFill>
              <w14:schemeClr w14:val="tx1"/>
            </w14:solidFill>
          </w14:textFill>
        </w:rPr>
        <w:drawing>
          <wp:inline distT="0" distB="0" distL="0" distR="0">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大学生创新训练计划</w:t>
      </w:r>
    </w:p>
    <w:p w14:paraId="0207FBA4">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创新类项目申报书</w:t>
      </w:r>
    </w:p>
    <w:p w14:paraId="1A4F8E3B">
      <w:pPr>
        <w:ind w:left="210" w:firstLine="172" w:firstLineChars="82"/>
        <w:rPr>
          <w:rFonts w:hint="eastAsia" w:ascii="黑体" w:hAnsi="宋体" w:eastAsia="黑体"/>
          <w:color w:val="000000" w:themeColor="text1"/>
          <w14:textFill>
            <w14:solidFill>
              <w14:schemeClr w14:val="tx1"/>
            </w14:solidFill>
          </w14:textFill>
        </w:rPr>
      </w:pPr>
    </w:p>
    <w:p w14:paraId="0806CCC6">
      <w:pPr>
        <w:ind w:left="2244" w:leftChars="304" w:hanging="1606" w:hangingChars="5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项目名称：</w:t>
      </w:r>
      <w:r>
        <w:rPr>
          <w:rFonts w:hint="eastAsia" w:ascii="仿宋_GB2312" w:hAnsi="宋体" w:eastAsia="仿宋_GB2312"/>
          <w:b/>
          <w:bCs/>
          <w:color w:val="000000" w:themeColor="text1"/>
          <w:sz w:val="32"/>
          <w:u w:val="single"/>
          <w14:textFill>
            <w14:solidFill>
              <w14:schemeClr w14:val="tx1"/>
            </w14:solidFill>
          </w14:textFill>
        </w:rPr>
        <w:t xml:space="preserve">基于大模型辅助的多模态委婉有害内容的检测技术研究                                 </w:t>
      </w:r>
    </w:p>
    <w:p w14:paraId="3163572C">
      <w:pPr>
        <w:ind w:firstLine="643" w:firstLineChars="200"/>
        <w:rPr>
          <w:rFonts w:hint="eastAsia" w:ascii="仿宋_GB2312" w:hAnsi="宋体" w:eastAsia="仿宋_GB2312"/>
          <w:b/>
          <w:bCs/>
          <w:color w:val="000000" w:themeColor="text1"/>
          <w:sz w:val="28"/>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项目负责人：</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hint="eastAsia" w:ascii="仿宋_GB2312" w:hAnsi="宋体" w:eastAsia="仿宋_GB2312"/>
          <w:b/>
          <w:bCs/>
          <w:color w:val="000000" w:themeColor="text1"/>
          <w:sz w:val="28"/>
          <w:u w:val="single"/>
          <w14:textFill>
            <w14:solidFill>
              <w14:schemeClr w14:val="tx1"/>
            </w14:solidFill>
          </w14:textFill>
        </w:rPr>
        <w:t xml:space="preserve">    </w:t>
      </w:r>
      <w:r>
        <w:rPr>
          <w:rFonts w:hint="eastAsia" w:ascii="仿宋_GB2312" w:hAnsi="宋体" w:eastAsia="仿宋_GB2312"/>
          <w:b/>
          <w:bCs/>
          <w:color w:val="000000" w:themeColor="text1"/>
          <w:sz w:val="32"/>
          <w:u w:val="single"/>
          <w14:textFill>
            <w14:solidFill>
              <w14:schemeClr w14:val="tx1"/>
            </w14:solidFill>
          </w14:textFill>
        </w:rPr>
        <w:t>郑煬阳</w:t>
      </w:r>
      <w:r>
        <w:rPr>
          <w:rFonts w:hint="eastAsia" w:ascii="仿宋_GB2312" w:hAnsi="宋体" w:eastAsia="仿宋_GB2312"/>
          <w:b/>
          <w:bCs/>
          <w:color w:val="000000" w:themeColor="text1"/>
          <w:sz w:val="28"/>
          <w:u w:val="single"/>
          <w14:textFill>
            <w14:solidFill>
              <w14:schemeClr w14:val="tx1"/>
            </w14:solidFill>
          </w14:textFill>
        </w:rPr>
        <w:t xml:space="preserve">                        </w:t>
      </w:r>
    </w:p>
    <w:p w14:paraId="4D3BE907">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所在学院：</w:t>
      </w:r>
      <w:r>
        <w:rPr>
          <w:rFonts w:hint="eastAsia" w:ascii="仿宋_GB2312" w:hAnsi="宋体" w:eastAsia="仿宋_GB2312"/>
          <w:b/>
          <w:bCs/>
          <w:color w:val="000000" w:themeColor="text1"/>
          <w:sz w:val="32"/>
          <w:u w:val="single"/>
          <w14:textFill>
            <w14:solidFill>
              <w14:schemeClr w14:val="tx1"/>
            </w14:solidFill>
          </w14:textFill>
        </w:rPr>
        <w:t xml:space="preserve">      网络空间安全学院             </w:t>
      </w:r>
    </w:p>
    <w:p w14:paraId="0C2425F1">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专业年级：</w:t>
      </w:r>
      <w:r>
        <w:rPr>
          <w:rFonts w:hint="eastAsia" w:ascii="仿宋_GB2312" w:hAnsi="宋体" w:eastAsia="仿宋_GB2312"/>
          <w:b/>
          <w:bCs/>
          <w:color w:val="000000" w:themeColor="text1"/>
          <w:sz w:val="32"/>
          <w:u w:val="single"/>
          <w14:textFill>
            <w14:solidFill>
              <w14:schemeClr w14:val="tx1"/>
            </w14:solidFill>
          </w14:textFill>
        </w:rPr>
        <w:t xml:space="preserve">       2024级            </w:t>
      </w:r>
      <w:r>
        <w:rPr>
          <w:rFonts w:hint="eastAsia" w:ascii="仿宋_GB2312" w:hAnsi="宋体" w:eastAsia="仿宋_GB2312"/>
          <w:b/>
          <w:color w:val="000000" w:themeColor="text1"/>
          <w:sz w:val="32"/>
          <w:u w:val="single"/>
          <w14:textFill>
            <w14:solidFill>
              <w14:schemeClr w14:val="tx1"/>
            </w14:solidFill>
          </w14:textFill>
        </w:rPr>
        <w:t xml:space="preserve">         </w:t>
      </w:r>
    </w:p>
    <w:p w14:paraId="37E7421D">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学    号：</w:t>
      </w:r>
      <w:r>
        <w:rPr>
          <w:rFonts w:hint="eastAsia" w:ascii="仿宋_GB2312" w:hAnsi="宋体" w:eastAsia="仿宋_GB2312"/>
          <w:b/>
          <w:bCs/>
          <w:color w:val="000000" w:themeColor="text1"/>
          <w:sz w:val="32"/>
          <w:u w:val="single"/>
          <w14:textFill>
            <w14:solidFill>
              <w14:schemeClr w14:val="tx1"/>
            </w14:solidFill>
          </w14:textFill>
        </w:rPr>
        <w:t xml:space="preserve">       2024141530142   </w:t>
      </w:r>
      <w:r>
        <w:rPr>
          <w:rFonts w:hint="eastAsia" w:ascii="仿宋_GB2312" w:hAnsi="宋体" w:eastAsia="仿宋_GB2312"/>
          <w:b/>
          <w:color w:val="000000" w:themeColor="text1"/>
          <w:sz w:val="32"/>
          <w:u w:val="single"/>
          <w14:textFill>
            <w14:solidFill>
              <w14:schemeClr w14:val="tx1"/>
            </w14:solidFill>
          </w14:textFill>
        </w:rPr>
        <w:t xml:space="preserve">           </w:t>
      </w:r>
    </w:p>
    <w:p w14:paraId="7AEE2C4C">
      <w:pPr>
        <w:ind w:firstLine="643" w:firstLineChars="200"/>
        <w:rPr>
          <w:rFonts w:hint="eastAsia" w:ascii="仿宋_GB2312" w:hAnsi="宋体" w:eastAsia="仿宋_GB2312"/>
          <w:b/>
          <w:color w:val="000000" w:themeColor="text1"/>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手    机：</w:t>
      </w:r>
      <w:r>
        <w:rPr>
          <w:rFonts w:hint="eastAsia" w:ascii="仿宋_GB2312" w:hAnsi="宋体" w:eastAsia="仿宋_GB2312"/>
          <w:b/>
          <w:bCs/>
          <w:color w:val="000000" w:themeColor="text1"/>
          <w:sz w:val="32"/>
          <w:u w:val="single"/>
          <w14:textFill>
            <w14:solidFill>
              <w14:schemeClr w14:val="tx1"/>
            </w14:solidFill>
          </w14:textFill>
        </w:rPr>
        <w:t xml:space="preserve">       15808310028          </w:t>
      </w:r>
      <w:r>
        <w:rPr>
          <w:rFonts w:hint="eastAsia" w:ascii="仿宋_GB2312" w:hAnsi="宋体" w:eastAsia="仿宋_GB2312"/>
          <w:b/>
          <w:color w:val="000000" w:themeColor="text1"/>
          <w:u w:val="single"/>
          <w14:textFill>
            <w14:solidFill>
              <w14:schemeClr w14:val="tx1"/>
            </w14:solidFill>
          </w14:textFill>
        </w:rPr>
        <w:t xml:space="preserve">         </w:t>
      </w:r>
    </w:p>
    <w:p w14:paraId="2EAFF49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电子邮箱：</w:t>
      </w:r>
      <w:r>
        <w:rPr>
          <w:rFonts w:hint="eastAsia" w:ascii="仿宋_GB2312" w:hAnsi="宋体" w:eastAsia="仿宋_GB2312"/>
          <w:b/>
          <w:bCs/>
          <w:color w:val="000000" w:themeColor="text1"/>
          <w:sz w:val="32"/>
          <w:u w:val="single"/>
          <w14:textFill>
            <w14:solidFill>
              <w14:schemeClr w14:val="tx1"/>
            </w14:solidFill>
          </w14:textFill>
        </w:rPr>
        <w:t xml:space="preserve">       2053900282@qq.com          </w:t>
      </w:r>
    </w:p>
    <w:p w14:paraId="22E0652C">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指导教师：</w:t>
      </w:r>
      <w:r>
        <w:rPr>
          <w:rFonts w:hint="eastAsia" w:ascii="仿宋_GB2312" w:hAnsi="宋体" w:eastAsia="仿宋_GB2312"/>
          <w:b/>
          <w:bCs/>
          <w:color w:val="000000" w:themeColor="text1"/>
          <w:sz w:val="32"/>
          <w:u w:val="single"/>
          <w14:textFill>
            <w14:solidFill>
              <w14:schemeClr w14:val="tx1"/>
            </w14:solidFill>
          </w14:textFill>
        </w:rPr>
        <w:t xml:space="preserve">       王海舟                     </w:t>
      </w:r>
    </w:p>
    <w:p w14:paraId="08C528F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项目起止年月：</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ascii="仿宋_GB2312" w:hAnsi="宋体" w:eastAsia="仿宋_GB2312"/>
          <w:b/>
          <w:bCs/>
          <w:color w:val="000000" w:themeColor="text1"/>
          <w:sz w:val="32"/>
          <w:u w:val="single"/>
          <w14:textFill>
            <w14:solidFill>
              <w14:schemeClr w14:val="tx1"/>
            </w14:solidFill>
          </w14:textFill>
        </w:rPr>
        <w:t>202</w:t>
      </w:r>
      <w:r>
        <w:rPr>
          <w:rFonts w:hint="eastAsia" w:ascii="仿宋_GB2312" w:hAnsi="宋体" w:eastAsia="仿宋_GB2312"/>
          <w:b/>
          <w:bCs/>
          <w:color w:val="000000" w:themeColor="text1"/>
          <w:sz w:val="32"/>
          <w:u w:val="single"/>
          <w14:textFill>
            <w14:solidFill>
              <w14:schemeClr w14:val="tx1"/>
            </w14:solidFill>
          </w14:textFill>
        </w:rPr>
        <w:t xml:space="preserve">5年11月至2026年10月  </w:t>
      </w:r>
    </w:p>
    <w:p w14:paraId="4B603E79">
      <w:pPr>
        <w:ind w:firstLine="643" w:firstLineChars="200"/>
        <w:rPr>
          <w:rFonts w:ascii="仿宋_GB2312" w:eastAsia="仿宋_GB2312"/>
          <w:b/>
          <w:bCs/>
          <w:color w:val="000000" w:themeColor="text1"/>
          <w:sz w:val="32"/>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项目参与学生人数：</w:t>
      </w:r>
      <w:r>
        <w:rPr>
          <w:rFonts w:hint="eastAsia" w:ascii="仿宋_GB2312" w:hAnsi="宋体" w:eastAsia="仿宋_GB2312"/>
          <w:b/>
          <w:bCs/>
          <w:color w:val="000000" w:themeColor="text1"/>
          <w:sz w:val="32"/>
          <w:u w:val="single"/>
          <w14:textFill>
            <w14:solidFill>
              <w14:schemeClr w14:val="tx1"/>
            </w14:solidFill>
          </w14:textFill>
        </w:rPr>
        <w:t xml:space="preserve">          5人             </w:t>
      </w:r>
    </w:p>
    <w:p w14:paraId="4679FB50">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21F55276">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4CE044EA">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31A29774">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12290FC9">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546CD17B">
      <w:pPr>
        <w:jc w:val="center"/>
        <w:rPr>
          <w:rFonts w:hint="eastAsia" w:ascii="宋体" w:hAnsi="宋体"/>
          <w:b/>
          <w:bCs/>
          <w:color w:val="000000" w:themeColor="text1"/>
          <w:sz w:val="44"/>
          <w14:textFill>
            <w14:solidFill>
              <w14:schemeClr w14:val="tx1"/>
            </w14:solidFill>
          </w14:textFill>
        </w:rPr>
      </w:pPr>
      <w:r>
        <w:rPr>
          <w:rFonts w:hint="eastAsia" w:ascii="宋体" w:hAnsi="宋体"/>
          <w:b/>
          <w:bCs/>
          <w:color w:val="000000" w:themeColor="text1"/>
          <w:sz w:val="44"/>
          <w14:textFill>
            <w14:solidFill>
              <w14:schemeClr w14:val="tx1"/>
            </w14:solidFill>
          </w14:textFill>
        </w:rPr>
        <w:t>四川大学教务处制</w:t>
      </w:r>
    </w:p>
    <w:p w14:paraId="19765D5C">
      <w:pPr>
        <w:jc w:val="center"/>
        <w:rPr>
          <w:rFonts w:hint="eastAsia" w:ascii="宋体" w:hAnsi="宋体"/>
          <w:b/>
          <w:bCs/>
          <w:color w:val="000000" w:themeColor="text1"/>
          <w:sz w:val="44"/>
          <w14:textFill>
            <w14:solidFill>
              <w14:schemeClr w14:val="tx1"/>
            </w14:solidFill>
          </w14:textFill>
        </w:rPr>
      </w:pPr>
    </w:p>
    <w:p w14:paraId="6A693961">
      <w:pPr>
        <w:pStyle w:val="8"/>
        <w:ind w:left="99" w:leftChars="47"/>
        <w:jc w:val="center"/>
        <w:rPr>
          <w:rFonts w:hint="eastAsia"/>
          <w:color w:val="000000" w:themeColor="text1"/>
          <w:sz w:val="36"/>
          <w14:textFill>
            <w14:solidFill>
              <w14:schemeClr w14:val="tx1"/>
            </w14:solidFill>
          </w14:textFill>
        </w:rPr>
      </w:pPr>
      <w:r>
        <w:rPr>
          <w:rFonts w:hint="eastAsia"/>
          <w:color w:val="000000" w:themeColor="text1"/>
          <w:sz w:val="36"/>
          <w14:textFill>
            <w14:solidFill>
              <w14:schemeClr w14:val="tx1"/>
            </w14:solidFill>
          </w14:textFill>
        </w:rPr>
        <w:t>年    月</w:t>
      </w:r>
    </w:p>
    <w:p w14:paraId="6A977A61">
      <w:pPr>
        <w:pStyle w:val="8"/>
        <w:spacing w:line="720" w:lineRule="auto"/>
        <w:ind w:left="99" w:leftChars="47"/>
        <w:jc w:val="center"/>
        <w:rPr>
          <w:rFonts w:hint="eastAsia" w:cs="宋体"/>
          <w:color w:val="000000" w:themeColor="text1"/>
          <w:kern w:val="0"/>
          <w:sz w:val="28"/>
          <w:szCs w:val="24"/>
          <w14:textFill>
            <w14:solidFill>
              <w14:schemeClr w14:val="tx1"/>
            </w14:solidFill>
          </w14:textFill>
        </w:rPr>
      </w:pPr>
      <w:r>
        <w:rPr>
          <w:rFonts w:hint="eastAsia" w:cs="宋体"/>
          <w:color w:val="000000" w:themeColor="text1"/>
          <w:kern w:val="0"/>
          <w:sz w:val="28"/>
          <w:szCs w:val="24"/>
          <w14:textFill>
            <w14:solidFill>
              <w14:schemeClr w14:val="tx1"/>
            </w14:solidFill>
          </w14:textFill>
        </w:rPr>
        <w:t>填写说明</w:t>
      </w:r>
    </w:p>
    <w:p w14:paraId="1C7139C2">
      <w:pPr>
        <w:spacing w:line="360" w:lineRule="auto"/>
        <w:ind w:firstLine="600" w:firstLineChars="250"/>
        <w:rPr>
          <w:rFonts w:hint="eastAsia" w:ascii="仿宋_GB2312" w:hAnsi="宋体" w:eastAsia="仿宋_GB2312" w:cs="宋体"/>
          <w:color w:val="000000" w:themeColor="text1"/>
          <w:kern w:val="0"/>
          <w:sz w:val="30"/>
          <w:szCs w:val="30"/>
          <w14:textFill>
            <w14:solidFill>
              <w14:schemeClr w14:val="tx1"/>
            </w14:solidFill>
          </w14:textFill>
        </w:rPr>
      </w:pPr>
      <w:r>
        <w:rPr>
          <w:rFonts w:hint="eastAsia" w:ascii="宋体" w:hAnsi="宋体"/>
          <w:bCs/>
          <w:color w:val="000000" w:themeColor="text1"/>
          <w:sz w:val="24"/>
          <w14:textFill>
            <w14:solidFill>
              <w14:schemeClr w14:val="tx1"/>
            </w14:solidFill>
          </w14:textFill>
        </w:rPr>
        <w:t>一、凡申报</w:t>
      </w:r>
      <w:r>
        <w:rPr>
          <w:rFonts w:hint="eastAsia" w:ascii="宋体" w:hAnsi="宋体" w:cs="宋体"/>
          <w:b/>
          <w:color w:val="000000" w:themeColor="text1"/>
          <w:kern w:val="0"/>
          <w:sz w:val="24"/>
          <w14:textFill>
            <w14:solidFill>
              <w14:schemeClr w14:val="tx1"/>
            </w14:solidFill>
          </w14:textFill>
        </w:rPr>
        <w:t>四川大学“大学生创新训练计划”</w:t>
      </w:r>
      <w:r>
        <w:rPr>
          <w:rFonts w:hint="eastAsia" w:ascii="宋体" w:hAnsi="宋体"/>
          <w:bCs/>
          <w:color w:val="000000" w:themeColor="text1"/>
          <w:sz w:val="24"/>
          <w14:textFill>
            <w14:solidFill>
              <w14:schemeClr w14:val="tx1"/>
            </w14:solidFill>
          </w14:textFill>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14:textFill>
            <w14:solidFill>
              <w14:schemeClr w14:val="tx1"/>
            </w14:solidFill>
          </w14:textFill>
        </w:rPr>
        <w:t>）</w:t>
      </w:r>
      <w:r>
        <w:rPr>
          <w:rFonts w:hint="eastAsia" w:ascii="宋体" w:hAnsi="宋体"/>
          <w:bCs/>
          <w:color w:val="000000" w:themeColor="text1"/>
          <w:sz w:val="24"/>
          <w14:textFill>
            <w14:solidFill>
              <w14:schemeClr w14:val="tx1"/>
            </w14:solidFill>
          </w14:textFill>
        </w:rPr>
        <w:t>交流等工作。</w:t>
      </w:r>
    </w:p>
    <w:p w14:paraId="5DD927C9">
      <w:pPr>
        <w:spacing w:line="360" w:lineRule="auto"/>
        <w:ind w:firstLine="590" w:firstLineChars="245"/>
        <w:rPr>
          <w:rFonts w:hint="eastAsia" w:ascii="宋体" w:hAnsi="宋体"/>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二、</w:t>
      </w:r>
      <w:r>
        <w:rPr>
          <w:rFonts w:ascii="宋体" w:hAnsi="宋体"/>
          <w:b/>
          <w:bCs/>
          <w:color w:val="000000" w:themeColor="text1"/>
          <w:sz w:val="24"/>
          <w14:textFill>
            <w14:solidFill>
              <w14:schemeClr w14:val="tx1"/>
            </w14:solidFill>
          </w14:textFill>
        </w:rPr>
        <w:t>“项目所属一级学科</w:t>
      </w:r>
      <w:r>
        <w:rPr>
          <w:rFonts w:hint="eastAsia" w:ascii="宋体" w:hAnsi="宋体"/>
          <w:b/>
          <w:bCs/>
          <w:color w:val="000000" w:themeColor="text1"/>
          <w:sz w:val="24"/>
          <w14:textFill>
            <w14:solidFill>
              <w14:schemeClr w14:val="tx1"/>
            </w14:solidFill>
          </w14:textFill>
        </w:rPr>
        <w:t>和</w:t>
      </w:r>
      <w:r>
        <w:rPr>
          <w:rFonts w:ascii="宋体" w:hAnsi="宋体"/>
          <w:b/>
          <w:bCs/>
          <w:color w:val="000000" w:themeColor="text1"/>
          <w:sz w:val="24"/>
          <w14:textFill>
            <w14:solidFill>
              <w14:schemeClr w14:val="tx1"/>
            </w14:solidFill>
          </w14:textFill>
        </w:rPr>
        <w:t>代码”</w:t>
      </w:r>
      <w:r>
        <w:rPr>
          <w:rFonts w:hint="eastAsia" w:ascii="宋体" w:hAnsi="宋体"/>
          <w:bCs/>
          <w:color w:val="000000" w:themeColor="text1"/>
          <w:sz w:val="24"/>
          <w14:textFill>
            <w14:solidFill>
              <w14:schemeClr w14:val="tx1"/>
            </w14:solidFill>
          </w14:textFill>
        </w:rPr>
        <w:t>参考《普通高等学校本科专业目录和专业介绍（2012年）》。</w:t>
      </w:r>
    </w:p>
    <w:p w14:paraId="72176C6E">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三、</w:t>
      </w:r>
      <w:r>
        <w:rPr>
          <w:rFonts w:hint="eastAsia" w:ascii="宋体" w:hAnsi="宋体"/>
          <w:b/>
          <w:color w:val="000000" w:themeColor="text1"/>
          <w:sz w:val="24"/>
          <w14:textFill>
            <w14:solidFill>
              <w14:schemeClr w14:val="tx1"/>
            </w14:solidFill>
          </w14:textFill>
        </w:rPr>
        <w:t>“</w:t>
      </w:r>
      <w:r>
        <w:rPr>
          <w:rFonts w:hint="eastAsia" w:ascii="宋体" w:hAnsi="宋体"/>
          <w:b/>
          <w:bCs/>
          <w:color w:val="000000" w:themeColor="text1"/>
          <w:sz w:val="24"/>
          <w14:textFill>
            <w14:solidFill>
              <w14:schemeClr w14:val="tx1"/>
            </w14:solidFill>
          </w14:textFill>
        </w:rPr>
        <w:t>项目开展支撑平台”</w:t>
      </w:r>
      <w:r>
        <w:rPr>
          <w:rFonts w:hint="eastAsia" w:ascii="宋体" w:hAnsi="宋体"/>
          <w:color w:val="000000" w:themeColor="text1"/>
          <w:sz w:val="24"/>
          <w14:textFill>
            <w14:solidFill>
              <w14:schemeClr w14:val="tx1"/>
            </w14:solidFill>
          </w14:textFill>
        </w:rPr>
        <w:t>指支撑本项目开展的国家级和省部级重点实验室（中心、平台等）、国家双创示范基地平台、教学实验中心（实验室）、企业、事业或其他单位等，表中填写平台名称，可以多个。</w:t>
      </w:r>
    </w:p>
    <w:p w14:paraId="0288FB9B">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四、</w:t>
      </w:r>
      <w:r>
        <w:rPr>
          <w:rFonts w:hint="eastAsia" w:ascii="宋体" w:hAnsi="宋体"/>
          <w:b/>
          <w:color w:val="000000" w:themeColor="text1"/>
          <w:sz w:val="24"/>
          <w14:textFill>
            <w14:solidFill>
              <w14:schemeClr w14:val="tx1"/>
            </w14:solidFill>
          </w14:textFill>
        </w:rPr>
        <w:t>“项目组成员”</w:t>
      </w:r>
      <w:r>
        <w:rPr>
          <w:rFonts w:hint="eastAsia" w:ascii="宋体" w:hAnsi="宋体"/>
          <w:color w:val="000000" w:themeColor="text1"/>
          <w:sz w:val="24"/>
          <w14:textFill>
            <w14:solidFill>
              <w14:schemeClr w14:val="tx1"/>
            </w14:solidFill>
          </w14:textFill>
        </w:rPr>
        <w:t>人数原则上不超过五人，应排序。</w:t>
      </w:r>
    </w:p>
    <w:p w14:paraId="27E83BC1">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五、</w:t>
      </w:r>
      <w:r>
        <w:rPr>
          <w:rFonts w:hint="eastAsia" w:ascii="宋体" w:hAnsi="宋体"/>
          <w:b/>
          <w:color w:val="000000" w:themeColor="text1"/>
          <w:sz w:val="24"/>
          <w14:textFill>
            <w14:solidFill>
              <w14:schemeClr w14:val="tx1"/>
            </w14:solidFill>
          </w14:textFill>
        </w:rPr>
        <w:t>“项目成熟度</w:t>
      </w:r>
      <w:r>
        <w:rPr>
          <w:rFonts w:hint="eastAsia" w:ascii="宋体" w:hAnsi="宋体"/>
          <w:color w:val="000000" w:themeColor="text1"/>
          <w:sz w:val="24"/>
          <w14:textFill>
            <w14:solidFill>
              <w14:schemeClr w14:val="tx1"/>
            </w14:solidFill>
          </w14:textFill>
        </w:rPr>
        <w:t>”请参考附件《项目成熟度量表》。</w:t>
      </w:r>
    </w:p>
    <w:p w14:paraId="5CCBC287">
      <w:pPr>
        <w:spacing w:line="360" w:lineRule="auto"/>
        <w:ind w:firstLine="600" w:firstLineChars="250"/>
        <w:rPr>
          <w:rFonts w:hint="eastAsia" w:ascii="宋体" w:hAnsi="宋体"/>
          <w:bCs/>
          <w:color w:val="000000" w:themeColor="text1"/>
          <w:sz w:val="24"/>
          <w14:textFill>
            <w14:solidFill>
              <w14:schemeClr w14:val="tx1"/>
            </w14:solidFill>
          </w14:textFill>
        </w:rPr>
      </w:pPr>
      <w:bookmarkStart w:id="0" w:name="_Hlk531880973"/>
      <w:r>
        <w:rPr>
          <w:rFonts w:hint="eastAsia" w:ascii="宋体" w:hAnsi="宋体"/>
          <w:bCs/>
          <w:color w:val="000000" w:themeColor="text1"/>
          <w:sz w:val="24"/>
          <w14:textFill>
            <w14:solidFill>
              <w14:schemeClr w14:val="tx1"/>
            </w14:solidFill>
          </w14:textFill>
        </w:rPr>
        <w:t>六、本书应该填写完整、内容详实、表达准确，数字一律填写阿拉伯数字。</w:t>
      </w:r>
    </w:p>
    <w:p w14:paraId="1E771FF3">
      <w:pPr>
        <w:spacing w:line="360" w:lineRule="auto"/>
        <w:ind w:firstLine="600" w:firstLineChars="250"/>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七、报送申报书的电子文档至负责人所在学院。</w:t>
      </w:r>
    </w:p>
    <w:bookmarkEnd w:id="0"/>
    <w:p w14:paraId="47F4B0D7">
      <w:pPr>
        <w:spacing w:line="360" w:lineRule="auto"/>
        <w:ind w:firstLine="480" w:firstLineChars="200"/>
        <w:rPr>
          <w:rFonts w:hint="eastAsia" w:ascii="仿宋_GB2312" w:hAnsi="宋体" w:eastAsia="仿宋_GB2312"/>
          <w:bCs/>
          <w:color w:val="000000" w:themeColor="text1"/>
          <w:sz w:val="24"/>
          <w14:textFill>
            <w14:solidFill>
              <w14:schemeClr w14:val="tx1"/>
            </w14:solidFill>
          </w14:textFill>
        </w:rPr>
      </w:pPr>
      <w:r>
        <w:rPr>
          <w:rFonts w:ascii="仿宋_GB2312" w:hAnsi="宋体" w:eastAsia="仿宋_GB2312"/>
          <w:bCs/>
          <w:color w:val="000000" w:themeColor="text1"/>
          <w:sz w:val="24"/>
          <w14:textFill>
            <w14:solidFill>
              <w14:schemeClr w14:val="tx1"/>
            </w14:solidFill>
          </w14:textFill>
        </w:rPr>
        <w:br w:type="page"/>
      </w:r>
    </w:p>
    <w:tbl>
      <w:tblPr>
        <w:tblStyle w:val="13"/>
        <w:tblW w:w="8295" w:type="dxa"/>
        <w:tblInd w:w="0" w:type="dxa"/>
        <w:tblLayout w:type="fixed"/>
        <w:tblCellMar>
          <w:top w:w="0" w:type="dxa"/>
          <w:left w:w="0" w:type="dxa"/>
          <w:bottom w:w="0" w:type="dxa"/>
          <w:right w:w="0" w:type="dxa"/>
        </w:tblCellMar>
      </w:tblPr>
      <w:tblGrid>
        <w:gridCol w:w="1720"/>
        <w:gridCol w:w="1531"/>
        <w:gridCol w:w="450"/>
        <w:gridCol w:w="967"/>
        <w:gridCol w:w="1701"/>
        <w:gridCol w:w="1843"/>
        <w:gridCol w:w="83"/>
      </w:tblGrid>
      <w:tr w14:paraId="71861F47">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11CB36A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项目名称</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1982F1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基于大模型辅助的多模态委婉有害内容的检测技术研究</w:t>
            </w:r>
          </w:p>
        </w:tc>
      </w:tr>
      <w:tr w14:paraId="4C3928D6">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C3FFDEE">
            <w:pPr>
              <w:jc w:val="center"/>
              <w:rPr>
                <w:rFonts w:hint="eastAsia" w:ascii="仿宋" w:hAnsi="仿宋" w:eastAsia="仿宋" w:cs="仿宋"/>
                <w:color w:val="000000" w:themeColor="text1"/>
                <w:sz w:val="24"/>
                <w14:textFill>
                  <w14:solidFill>
                    <w14:schemeClr w14:val="tx1"/>
                  </w14:solidFill>
                </w14:textFill>
              </w:rPr>
            </w:pPr>
            <w:bookmarkStart w:id="1" w:name="_Hlk531881658"/>
            <w:r>
              <w:rPr>
                <w:rFonts w:hint="eastAsia" w:ascii="仿宋" w:hAnsi="仿宋" w:eastAsia="仿宋" w:cs="仿宋"/>
                <w:color w:val="000000" w:themeColor="text1"/>
                <w:sz w:val="24"/>
                <w14:textFill>
                  <w14:solidFill>
                    <w14:schemeClr w14:val="tx1"/>
                  </w14:solidFill>
                </w14:textFill>
              </w:rPr>
              <w:t>项目属性</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37513FF0">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面上项目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人工智能+新质战略育苗”（含2035特区子计划项目）</w:t>
            </w:r>
          </w:p>
          <w:p w14:paraId="175DEC57">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交叉学科子计划项目</w:t>
            </w:r>
          </w:p>
        </w:tc>
      </w:tr>
      <w:tr w14:paraId="23862094">
        <w:tblPrEx>
          <w:tblCellMar>
            <w:top w:w="0" w:type="dxa"/>
            <w:left w:w="0" w:type="dxa"/>
            <w:bottom w:w="0" w:type="dxa"/>
            <w:right w:w="0" w:type="dxa"/>
          </w:tblCellMar>
        </w:tblPrEx>
        <w:trPr>
          <w:trHeight w:val="1041"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55A8D8BD">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申请类别</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F0D5375">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科学探索与工程技术类 </w:t>
            </w: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 xml:space="preserve">人文艺术与社会科学类 </w:t>
            </w:r>
          </w:p>
          <w:p w14:paraId="3B2B2569">
            <w:pPr>
              <w:rPr>
                <w:rFonts w:hint="eastAsia" w:ascii="仿宋" w:hAnsi="仿宋" w:eastAsia="仿宋" w:cs="仿宋"/>
                <w:color w:val="000000"/>
                <w:sz w:val="24"/>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sz w:val="24"/>
              </w:rPr>
              <w:t xml:space="preserve">软件信息与文创类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 xml:space="preserve">智能装备与医疗器械类  </w:t>
            </w:r>
          </w:p>
          <w:p w14:paraId="6EC8DB0C">
            <w:pPr>
              <w:rPr>
                <w:rFonts w:hint="eastAsia" w:ascii="仿宋" w:hAnsi="仿宋" w:eastAsia="仿宋" w:cs="仿宋"/>
                <w:color w:val="000000"/>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生物医药与新材料类</w:t>
            </w:r>
          </w:p>
        </w:tc>
      </w:tr>
      <w:bookmarkEnd w:id="1"/>
      <w:tr w14:paraId="3F623E12">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84D0A3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申请经费</w:t>
            </w:r>
          </w:p>
        </w:tc>
        <w:tc>
          <w:tcPr>
            <w:tcW w:w="1981"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5BD3381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 xml:space="preserve">      元</w:t>
            </w:r>
          </w:p>
        </w:tc>
        <w:tc>
          <w:tcPr>
            <w:tcW w:w="2668"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7BE29D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起止时间</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14CBDA09">
            <w:pPr>
              <w:ind w:left="360" w:hanging="360" w:hangingChars="15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2024年11月至2025年10月</w:t>
            </w:r>
          </w:p>
        </w:tc>
      </w:tr>
      <w:tr w14:paraId="2DB12EF6">
        <w:tblPrEx>
          <w:tblCellMar>
            <w:top w:w="0" w:type="dxa"/>
            <w:left w:w="0" w:type="dxa"/>
            <w:bottom w:w="0" w:type="dxa"/>
            <w:right w:w="0" w:type="dxa"/>
          </w:tblCellMar>
        </w:tblPrEx>
        <w:trPr>
          <w:trHeight w:val="705"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E3E02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项目所属     一级学科和代码</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44FA3E3B">
            <w:pPr>
              <w:jc w:val="center"/>
              <w:rPr>
                <w:rFonts w:hint="eastAsia" w:ascii="仿宋" w:hAnsi="仿宋" w:eastAsia="仿宋" w:cs="仿宋"/>
                <w:color w:val="000000" w:themeColor="text1"/>
                <w:sz w:val="24"/>
                <w:u w:val="single"/>
                <w14:textFill>
                  <w14:solidFill>
                    <w14:schemeClr w14:val="tx1"/>
                  </w14:solidFill>
                </w14:textFill>
              </w:rPr>
            </w:pPr>
            <w:r>
              <w:rPr>
                <w:rFonts w:hint="eastAsia" w:ascii="仿宋" w:hAnsi="仿宋" w:eastAsia="仿宋" w:cs="仿宋"/>
                <w:color w:val="000000" w:themeColor="text1"/>
                <w:sz w:val="24"/>
                <w:u w:val="single"/>
                <w14:textFill>
                  <w14:solidFill>
                    <w14:schemeClr w14:val="tx1"/>
                  </w14:solidFill>
                </w14:textFill>
              </w:rPr>
              <w:t>工学 08</w:t>
            </w:r>
          </w:p>
        </w:tc>
      </w:tr>
      <w:tr w14:paraId="093EBF10">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B925C1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项目开展                支撑平台</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5A49D32C">
            <w:pPr>
              <w:jc w:val="center"/>
              <w:rPr>
                <w:rFonts w:hint="eastAsia" w:ascii="仿宋" w:hAnsi="仿宋" w:eastAsia="仿宋" w:cs="仿宋"/>
                <w:color w:val="000000" w:themeColor="text1"/>
                <w:sz w:val="24"/>
                <w:u w:val="single"/>
                <w14:textFill>
                  <w14:solidFill>
                    <w14:schemeClr w14:val="tx1"/>
                  </w14:solidFill>
                </w14:textFill>
              </w:rPr>
            </w:pPr>
          </w:p>
        </w:tc>
      </w:tr>
      <w:tr w14:paraId="39C66995">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8" w:space="0"/>
              <w:right w:val="single" w:color="auto" w:sz="4" w:space="0"/>
            </w:tcBorders>
            <w:tcMar>
              <w:top w:w="15" w:type="dxa"/>
              <w:left w:w="15" w:type="dxa"/>
              <w:bottom w:w="0" w:type="dxa"/>
              <w:right w:w="15" w:type="dxa"/>
            </w:tcMar>
            <w:vAlign w:val="center"/>
          </w:tcPr>
          <w:p w14:paraId="50D021C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项目来源</w:t>
            </w:r>
          </w:p>
          <w:p w14:paraId="34339D2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（可多选）</w:t>
            </w:r>
          </w:p>
        </w:tc>
        <w:tc>
          <w:tcPr>
            <w:tcW w:w="6575" w:type="dxa"/>
            <w:gridSpan w:val="6"/>
            <w:tcBorders>
              <w:top w:val="single" w:color="auto" w:sz="8" w:space="0"/>
              <w:left w:val="nil"/>
              <w:bottom w:val="single" w:color="auto" w:sz="8" w:space="0"/>
              <w:right w:val="single" w:color="000000" w:sz="8" w:space="0"/>
            </w:tcBorders>
            <w:tcMar>
              <w:top w:w="15" w:type="dxa"/>
              <w:left w:w="15" w:type="dxa"/>
              <w:bottom w:w="0" w:type="dxa"/>
              <w:right w:w="15" w:type="dxa"/>
            </w:tcMar>
            <w:vAlign w:val="center"/>
          </w:tcPr>
          <w:p w14:paraId="1A2F0FC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十大重点支持领域的项目</w:t>
            </w:r>
          </w:p>
          <w:p w14:paraId="358DD8A1">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进课题组、进实验室、进科研团队参与的项目</w:t>
            </w:r>
          </w:p>
          <w:p w14:paraId="0104C23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国家级和省部级重点实验室（中心、平台等）、国家双创示范基地平台支持申报项目</w:t>
            </w:r>
          </w:p>
          <w:p w14:paraId="7ACF84E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交叉学科创新项目</w:t>
            </w:r>
          </w:p>
          <w:p w14:paraId="5EAB0D0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“青年红色筑梦之旅”计划项目</w:t>
            </w:r>
          </w:p>
          <w:p w14:paraId="39B28AD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基于前期研究实践成果、继续深入研究实践的创新项目</w:t>
            </w:r>
          </w:p>
          <w:p w14:paraId="21C3D07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高水平课题</w:t>
            </w:r>
          </w:p>
          <w:p w14:paraId="0B8AD14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其他</w:t>
            </w:r>
            <w:r>
              <w:rPr>
                <w:rFonts w:hint="eastAsia" w:ascii="仿宋" w:hAnsi="仿宋" w:eastAsia="仿宋" w:cs="仿宋"/>
                <w:color w:val="000000" w:themeColor="text1"/>
                <w:sz w:val="24"/>
                <w:u w:val="single"/>
                <w14:textFill>
                  <w14:solidFill>
                    <w14:schemeClr w14:val="tx1"/>
                  </w14:solidFill>
                </w14:textFill>
              </w:rPr>
              <w:t xml:space="preserve">                </w:t>
            </w:r>
          </w:p>
        </w:tc>
      </w:tr>
      <w:tr w14:paraId="5752D7B2">
        <w:tblPrEx>
          <w:tblCellMar>
            <w:top w:w="0" w:type="dxa"/>
            <w:left w:w="0" w:type="dxa"/>
            <w:bottom w:w="0" w:type="dxa"/>
            <w:right w:w="0" w:type="dxa"/>
          </w:tblCellMar>
        </w:tblPrEx>
        <w:trPr>
          <w:trHeight w:val="632" w:hRule="atLeast"/>
        </w:trPr>
        <w:tc>
          <w:tcPr>
            <w:tcW w:w="1720" w:type="dxa"/>
            <w:vMerge w:val="restart"/>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23F6838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高水平课题名称（非高水平课题可不填）</w:t>
            </w:r>
          </w:p>
        </w:tc>
        <w:tc>
          <w:tcPr>
            <w:tcW w:w="1531"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3FA779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命题名称</w:t>
            </w:r>
          </w:p>
        </w:tc>
        <w:tc>
          <w:tcPr>
            <w:tcW w:w="5044" w:type="dxa"/>
            <w:gridSpan w:val="5"/>
            <w:tcBorders>
              <w:top w:val="single" w:color="auto" w:sz="8" w:space="0"/>
              <w:left w:val="single" w:color="auto" w:sz="8" w:space="0"/>
              <w:bottom w:val="single" w:color="auto" w:sz="8" w:space="0"/>
              <w:right w:val="single" w:color="000000" w:sz="8" w:space="0"/>
            </w:tcBorders>
            <w:vAlign w:val="center"/>
          </w:tcPr>
          <w:p w14:paraId="2BF63823">
            <w:pPr>
              <w:jc w:val="left"/>
              <w:rPr>
                <w:rFonts w:hint="eastAsia" w:ascii="仿宋" w:hAnsi="仿宋" w:eastAsia="仿宋" w:cs="仿宋"/>
                <w:color w:val="000000" w:themeColor="text1"/>
                <w:sz w:val="24"/>
                <w:highlight w:val="yellow"/>
                <w14:textFill>
                  <w14:solidFill>
                    <w14:schemeClr w14:val="tx1"/>
                  </w14:solidFill>
                </w14:textFill>
              </w:rPr>
            </w:pPr>
          </w:p>
        </w:tc>
      </w:tr>
      <w:tr w14:paraId="0E1A5C37">
        <w:tblPrEx>
          <w:tblCellMar>
            <w:top w:w="0" w:type="dxa"/>
            <w:left w:w="0" w:type="dxa"/>
            <w:bottom w:w="0" w:type="dxa"/>
            <w:right w:w="0" w:type="dxa"/>
          </w:tblCellMar>
        </w:tblPrEx>
        <w:trPr>
          <w:trHeight w:val="632" w:hRule="atLeast"/>
        </w:trPr>
        <w:tc>
          <w:tcPr>
            <w:tcW w:w="1720" w:type="dxa"/>
            <w:vMerge w:val="continue"/>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B7A7948">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10A1338F">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校内指导老师姓名</w:t>
            </w:r>
            <w:r>
              <w:rPr>
                <w:rFonts w:hint="eastAsia" w:ascii="仿宋" w:hAnsi="仿宋" w:eastAsia="仿宋" w:cs="仿宋"/>
                <w:color w:val="000000" w:themeColor="text1"/>
                <w:sz w:val="18"/>
                <w:szCs w:val="18"/>
                <w14:textFill>
                  <w14:solidFill>
                    <w14:schemeClr w14:val="tx1"/>
                  </w14:solidFill>
                </w14:textFill>
              </w:rPr>
              <w:t>（非交叉学科子计划项目一般仅允许一位指导老师）</w:t>
            </w:r>
          </w:p>
        </w:tc>
        <w:tc>
          <w:tcPr>
            <w:tcW w:w="5044" w:type="dxa"/>
            <w:gridSpan w:val="5"/>
            <w:tcBorders>
              <w:top w:val="single" w:color="auto" w:sz="8" w:space="0"/>
              <w:left w:val="single" w:color="auto" w:sz="8" w:space="0"/>
              <w:bottom w:val="single" w:color="auto" w:sz="8" w:space="0"/>
              <w:right w:val="single" w:color="000000" w:sz="8" w:space="0"/>
            </w:tcBorders>
            <w:vAlign w:val="center"/>
          </w:tcPr>
          <w:p w14:paraId="58D2D703">
            <w:pPr>
              <w:jc w:val="left"/>
              <w:rPr>
                <w:rFonts w:hint="eastAsia" w:ascii="仿宋" w:hAnsi="仿宋" w:eastAsia="仿宋" w:cs="仿宋"/>
                <w:color w:val="000000" w:themeColor="text1"/>
                <w:sz w:val="24"/>
                <w:highlight w:val="yellow"/>
                <w14:textFill>
                  <w14:solidFill>
                    <w14:schemeClr w14:val="tx1"/>
                  </w14:solidFill>
                </w14:textFill>
              </w:rPr>
            </w:pPr>
          </w:p>
        </w:tc>
      </w:tr>
      <w:tr w14:paraId="6F719799">
        <w:tblPrEx>
          <w:tblCellMar>
            <w:top w:w="0" w:type="dxa"/>
            <w:left w:w="0" w:type="dxa"/>
            <w:bottom w:w="0" w:type="dxa"/>
            <w:right w:w="0" w:type="dxa"/>
          </w:tblCellMar>
        </w:tblPrEx>
        <w:trPr>
          <w:trHeight w:val="632"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10193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所属重点支持领域（可不选）</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857DE2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选择1项：E</w:t>
            </w:r>
          </w:p>
          <w:p w14:paraId="049FC0C2">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A.不填</w:t>
            </w:r>
          </w:p>
          <w:p w14:paraId="49C717DC">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B.泛终端芯片及操作系统应用开发</w:t>
            </w:r>
          </w:p>
          <w:p w14:paraId="3780A0B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C.重大应用关键软件</w:t>
            </w:r>
          </w:p>
          <w:p w14:paraId="1CDDB61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D.云计算和大数据</w:t>
            </w:r>
          </w:p>
          <w:p w14:paraId="0F49403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E.人工智能</w:t>
            </w:r>
          </w:p>
          <w:p w14:paraId="436142C4">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F.无人驾驶</w:t>
            </w:r>
          </w:p>
          <w:p w14:paraId="092E1EA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G.新能源与储能技术</w:t>
            </w:r>
          </w:p>
          <w:p w14:paraId="3EB7D0B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H.生物技术与生物育种</w:t>
            </w:r>
          </w:p>
          <w:p w14:paraId="41938B7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I.绿色环保与固废资源化</w:t>
            </w:r>
          </w:p>
          <w:p w14:paraId="00C7113B">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J.第五代通信技术和新一代IP网络通信技术</w:t>
            </w:r>
          </w:p>
          <w:p w14:paraId="7CA0A44F">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K.社会事业与文化传承</w:t>
            </w:r>
          </w:p>
        </w:tc>
      </w:tr>
      <w:tr w14:paraId="5D559CCB">
        <w:tblPrEx>
          <w:tblCellMar>
            <w:top w:w="0" w:type="dxa"/>
            <w:left w:w="0" w:type="dxa"/>
            <w:bottom w:w="0" w:type="dxa"/>
            <w:right w:w="0" w:type="dxa"/>
          </w:tblCellMar>
        </w:tblPrEx>
        <w:trPr>
          <w:trHeight w:val="632" w:hRule="atLeast"/>
        </w:trPr>
        <w:tc>
          <w:tcPr>
            <w:tcW w:w="1720"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14:paraId="4E5ED1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负责人之前参与大创项目情况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2C624973">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格式如下，有则填，不限条目：</w:t>
            </w:r>
          </w:p>
          <w:p w14:paraId="2EE0898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负责人/团队成员，项目编号，项目名称，立项级别，项目类别，立项年份，结题成绩；</w:t>
            </w:r>
          </w:p>
          <w:p w14:paraId="7CDFB21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277A3C77">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AFFD0A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项目成员之前参与大创项目情况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64A9F06B">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姓名，负责人/团队成员，项目编号，项目名称，立项级别，项目类别，立项年份，结题成绩；</w:t>
            </w:r>
          </w:p>
          <w:p w14:paraId="2958B88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68DA064E">
        <w:tblPrEx>
          <w:tblCellMar>
            <w:top w:w="0" w:type="dxa"/>
            <w:left w:w="0" w:type="dxa"/>
            <w:bottom w:w="0" w:type="dxa"/>
            <w:right w:w="0" w:type="dxa"/>
          </w:tblCellMar>
        </w:tblPrEx>
        <w:trPr>
          <w:trHeight w:val="462" w:hRule="atLeast"/>
        </w:trPr>
        <w:tc>
          <w:tcPr>
            <w:tcW w:w="8295" w:type="dxa"/>
            <w:gridSpan w:val="7"/>
            <w:tcBorders>
              <w:top w:val="single" w:color="auto" w:sz="4" w:space="0"/>
              <w:left w:val="single" w:color="auto" w:sz="4" w:space="0"/>
              <w:bottom w:val="single" w:color="auto" w:sz="6" w:space="0"/>
              <w:right w:val="single" w:color="auto" w:sz="4" w:space="0"/>
            </w:tcBorders>
            <w:tcMar>
              <w:top w:w="15" w:type="dxa"/>
              <w:left w:w="15" w:type="dxa"/>
              <w:bottom w:w="0" w:type="dxa"/>
              <w:right w:w="15" w:type="dxa"/>
            </w:tcMar>
            <w:vAlign w:val="center"/>
          </w:tcPr>
          <w:p w14:paraId="610461D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项目负责人基本信息</w:t>
            </w:r>
          </w:p>
        </w:tc>
      </w:tr>
      <w:tr w14:paraId="70AC6A6A">
        <w:tblPrEx>
          <w:tblCellMar>
            <w:top w:w="0" w:type="dxa"/>
            <w:left w:w="0" w:type="dxa"/>
            <w:bottom w:w="0" w:type="dxa"/>
            <w:right w:w="0" w:type="dxa"/>
          </w:tblCellMar>
        </w:tblPrEx>
        <w:trPr>
          <w:trHeight w:val="401"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39FB919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531"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7411603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3118"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1D7DB5D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62A5FEB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r>
      <w:tr w14:paraId="50597767">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44DDB871">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52A0B55D">
            <w:pPr>
              <w:jc w:val="center"/>
              <w:rPr>
                <w:rFonts w:hint="eastAsia" w:ascii="仿宋" w:hAnsi="仿宋" w:eastAsia="仿宋" w:cs="仿宋"/>
                <w:color w:val="000000" w:themeColor="text1"/>
                <w:sz w:val="24"/>
                <w14:textFill>
                  <w14:solidFill>
                    <w14:schemeClr w14:val="tx1"/>
                  </w14:solidFill>
                </w14:textFill>
              </w:rPr>
            </w:pPr>
          </w:p>
        </w:tc>
        <w:tc>
          <w:tcPr>
            <w:tcW w:w="3118"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10F4FF07">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35FC3793">
            <w:pPr>
              <w:jc w:val="center"/>
              <w:rPr>
                <w:rFonts w:hint="eastAsia" w:ascii="仿宋" w:hAnsi="仿宋" w:eastAsia="仿宋" w:cs="仿宋"/>
                <w:color w:val="000000" w:themeColor="text1"/>
                <w:sz w:val="24"/>
                <w14:textFill>
                  <w14:solidFill>
                    <w14:schemeClr w14:val="tx1"/>
                  </w14:solidFill>
                </w14:textFill>
              </w:rPr>
            </w:pPr>
          </w:p>
        </w:tc>
      </w:tr>
      <w:tr w14:paraId="4A938806">
        <w:tblPrEx>
          <w:tblCellMar>
            <w:top w:w="0" w:type="dxa"/>
            <w:left w:w="0" w:type="dxa"/>
            <w:bottom w:w="0" w:type="dxa"/>
            <w:right w:w="0" w:type="dxa"/>
          </w:tblCellMar>
        </w:tblPrEx>
        <w:trPr>
          <w:trHeight w:val="287"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5ECAC5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w:t>
            </w:r>
          </w:p>
        </w:tc>
        <w:tc>
          <w:tcPr>
            <w:tcW w:w="1531"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2C5EA8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118"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3375E5A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4433F7F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r>
      <w:tr w14:paraId="6A317063">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4" w:space="0"/>
              <w:right w:val="single" w:color="auto" w:sz="6" w:space="0"/>
            </w:tcBorders>
            <w:tcMar>
              <w:top w:w="15" w:type="dxa"/>
              <w:left w:w="15" w:type="dxa"/>
              <w:bottom w:w="0" w:type="dxa"/>
              <w:right w:w="15" w:type="dxa"/>
            </w:tcMar>
            <w:vAlign w:val="center"/>
          </w:tcPr>
          <w:p w14:paraId="3682DA62">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73B7A046">
            <w:pPr>
              <w:jc w:val="center"/>
              <w:rPr>
                <w:rFonts w:hint="eastAsia" w:ascii="仿宋" w:hAnsi="仿宋" w:eastAsia="仿宋" w:cs="仿宋"/>
                <w:color w:val="000000" w:themeColor="text1"/>
                <w:sz w:val="24"/>
                <w14:textFill>
                  <w14:solidFill>
                    <w14:schemeClr w14:val="tx1"/>
                  </w14:solidFill>
                </w14:textFill>
              </w:rPr>
            </w:pPr>
          </w:p>
        </w:tc>
        <w:tc>
          <w:tcPr>
            <w:tcW w:w="3118" w:type="dxa"/>
            <w:gridSpan w:val="3"/>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0F291B83">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single" w:color="auto" w:sz="6" w:space="0"/>
              <w:left w:val="single" w:color="auto" w:sz="6" w:space="0"/>
              <w:bottom w:val="single" w:color="auto" w:sz="4" w:space="0"/>
              <w:right w:val="single" w:color="auto" w:sz="4" w:space="0"/>
            </w:tcBorders>
            <w:noWrap/>
            <w:tcMar>
              <w:top w:w="15" w:type="dxa"/>
              <w:left w:w="15" w:type="dxa"/>
              <w:bottom w:w="0" w:type="dxa"/>
              <w:right w:w="15" w:type="dxa"/>
            </w:tcMar>
            <w:vAlign w:val="center"/>
          </w:tcPr>
          <w:p w14:paraId="5A8B8FA3">
            <w:pPr>
              <w:jc w:val="center"/>
              <w:rPr>
                <w:rFonts w:hint="eastAsia" w:ascii="仿宋" w:hAnsi="仿宋" w:eastAsia="仿宋" w:cs="仿宋"/>
                <w:color w:val="000000" w:themeColor="text1"/>
                <w:sz w:val="24"/>
                <w14:textFill>
                  <w14:solidFill>
                    <w14:schemeClr w14:val="tx1"/>
                  </w14:solidFill>
                </w14:textFill>
              </w:rPr>
            </w:pPr>
          </w:p>
        </w:tc>
      </w:tr>
      <w:tr w14:paraId="35F96332">
        <w:tblPrEx>
          <w:tblCellMar>
            <w:top w:w="0" w:type="dxa"/>
            <w:left w:w="0" w:type="dxa"/>
            <w:bottom w:w="0" w:type="dxa"/>
            <w:right w:w="0" w:type="dxa"/>
          </w:tblCellMar>
        </w:tblPrEx>
        <w:trPr>
          <w:trHeight w:val="390" w:hRule="atLeast"/>
        </w:trPr>
        <w:tc>
          <w:tcPr>
            <w:tcW w:w="8295" w:type="dxa"/>
            <w:gridSpan w:val="7"/>
            <w:tcBorders>
              <w:top w:val="single" w:color="auto" w:sz="4" w:space="0"/>
              <w:left w:val="single" w:color="auto" w:sz="8" w:space="0"/>
              <w:bottom w:val="single" w:color="auto" w:sz="4" w:space="0"/>
              <w:right w:val="single" w:color="000000" w:sz="8" w:space="0"/>
            </w:tcBorders>
            <w:tcMar>
              <w:top w:w="15" w:type="dxa"/>
              <w:left w:w="15" w:type="dxa"/>
              <w:bottom w:w="0" w:type="dxa"/>
              <w:right w:w="15" w:type="dxa"/>
            </w:tcMar>
            <w:vAlign w:val="center"/>
          </w:tcPr>
          <w:p w14:paraId="7884F83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项目组成员基本信息</w:t>
            </w:r>
          </w:p>
        </w:tc>
      </w:tr>
      <w:tr w14:paraId="3222DE3B">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C72715">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序号（含排序）</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4896F77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w:t>
            </w:r>
          </w:p>
        </w:tc>
        <w:tc>
          <w:tcPr>
            <w:tcW w:w="1417"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553F10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222F958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3</w:t>
            </w:r>
          </w:p>
        </w:tc>
        <w:tc>
          <w:tcPr>
            <w:tcW w:w="1843" w:type="dxa"/>
            <w:tcBorders>
              <w:top w:val="nil"/>
              <w:left w:val="single" w:color="auto" w:sz="4" w:space="0"/>
              <w:bottom w:val="single" w:color="auto" w:sz="4" w:space="0"/>
              <w:right w:val="single" w:color="auto" w:sz="8" w:space="0"/>
            </w:tcBorders>
            <w:vAlign w:val="center"/>
          </w:tcPr>
          <w:p w14:paraId="6F736F5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4</w:t>
            </w:r>
          </w:p>
        </w:tc>
      </w:tr>
      <w:tr w14:paraId="67A9262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75419E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姓名/性别</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E6A7FD4">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孙浩哲</w:t>
            </w:r>
            <w:r>
              <w:rPr>
                <w:rFonts w:eastAsia="仿宋"/>
                <w:color w:val="000000" w:themeColor="text1"/>
                <w:sz w:val="24"/>
                <w14:textFill>
                  <w14:solidFill>
                    <w14:schemeClr w14:val="tx1"/>
                  </w14:solidFill>
                </w14:textFill>
              </w:rPr>
              <w:t>/男</w:t>
            </w: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D98049A">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彭实</w:t>
            </w:r>
            <w:r>
              <w:rPr>
                <w:rFonts w:eastAsia="仿宋"/>
                <w:color w:val="000000" w:themeColor="text1"/>
                <w:sz w:val="24"/>
                <w14:textFill>
                  <w14:solidFill>
                    <w14:schemeClr w14:val="tx1"/>
                  </w14:solidFill>
                </w14:textFill>
              </w:rPr>
              <w:t>/男</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D960CDD">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匡家辉</w:t>
            </w:r>
            <w:r>
              <w:rPr>
                <w:rFonts w:eastAsia="仿宋"/>
                <w:color w:val="000000" w:themeColor="text1"/>
                <w:sz w:val="24"/>
                <w14:textFill>
                  <w14:solidFill>
                    <w14:schemeClr w14:val="tx1"/>
                  </w14:solidFill>
                </w14:textFill>
              </w:rPr>
              <w:t>/男</w:t>
            </w:r>
          </w:p>
        </w:tc>
        <w:tc>
          <w:tcPr>
            <w:tcW w:w="1843" w:type="dxa"/>
            <w:tcBorders>
              <w:top w:val="nil"/>
              <w:left w:val="single" w:color="auto" w:sz="4" w:space="0"/>
              <w:bottom w:val="single" w:color="auto" w:sz="4" w:space="0"/>
              <w:right w:val="single" w:color="auto" w:sz="8" w:space="0"/>
            </w:tcBorders>
            <w:vAlign w:val="center"/>
          </w:tcPr>
          <w:p w14:paraId="2981BA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李佳玥/女</w:t>
            </w:r>
          </w:p>
        </w:tc>
      </w:tr>
      <w:tr w14:paraId="3CA6E6D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5AB0EE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448D171A">
            <w:pPr>
              <w:jc w:val="center"/>
              <w:rPr>
                <w:rFonts w:eastAsia="仿宋"/>
                <w:color w:val="000000" w:themeColor="text1"/>
                <w:szCs w:val="21"/>
                <w14:textFill>
                  <w14:solidFill>
                    <w14:schemeClr w14:val="tx1"/>
                  </w14:solidFill>
                </w14:textFill>
              </w:rPr>
            </w:pP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7E8002E1">
            <w:pPr>
              <w:jc w:val="center"/>
              <w:rPr>
                <w:rFonts w:eastAsia="仿宋"/>
                <w:color w:val="000000" w:themeColor="text1"/>
                <w:szCs w:val="21"/>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AFADAED">
            <w:pPr>
              <w:jc w:val="center"/>
              <w:rPr>
                <w:rFonts w:eastAsia="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5286484B">
            <w:pPr>
              <w:jc w:val="center"/>
              <w:rPr>
                <w:rFonts w:hint="eastAsia" w:ascii="仿宋" w:hAnsi="仿宋" w:eastAsia="仿宋" w:cs="仿宋"/>
                <w:color w:val="000000" w:themeColor="text1"/>
                <w:sz w:val="24"/>
                <w14:textFill>
                  <w14:solidFill>
                    <w14:schemeClr w14:val="tx1"/>
                  </w14:solidFill>
                </w14:textFill>
              </w:rPr>
            </w:pPr>
          </w:p>
        </w:tc>
      </w:tr>
      <w:tr w14:paraId="6B36CB9F">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5919943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5E2193D3">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6CF1558D">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2D13C46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843" w:type="dxa"/>
            <w:tcBorders>
              <w:top w:val="nil"/>
              <w:left w:val="single" w:color="auto" w:sz="4" w:space="0"/>
              <w:bottom w:val="single" w:color="auto" w:sz="4" w:space="0"/>
              <w:right w:val="single" w:color="auto" w:sz="8" w:space="0"/>
            </w:tcBorders>
            <w:vAlign w:val="center"/>
          </w:tcPr>
          <w:p w14:paraId="7B1D1CD7">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r>
      <w:tr w14:paraId="354452F5">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26BBAC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6DE574B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417"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1BA9EFD8">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70350181">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843" w:type="dxa"/>
            <w:tcBorders>
              <w:top w:val="nil"/>
              <w:left w:val="single" w:color="auto" w:sz="4" w:space="0"/>
              <w:bottom w:val="single" w:color="auto" w:sz="4" w:space="0"/>
              <w:right w:val="single" w:color="auto" w:sz="8" w:space="0"/>
            </w:tcBorders>
            <w:vAlign w:val="center"/>
          </w:tcPr>
          <w:p w14:paraId="237748C2">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r>
      <w:tr w14:paraId="14360C1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0606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09B515B0">
            <w:pPr>
              <w:jc w:val="center"/>
              <w:rPr>
                <w:rFonts w:eastAsia="仿宋"/>
                <w:color w:val="000000" w:themeColor="text1"/>
                <w:sz w:val="24"/>
                <w14:textFill>
                  <w14:solidFill>
                    <w14:schemeClr w14:val="tx1"/>
                  </w14:solidFill>
                </w14:textFill>
              </w:rPr>
            </w:pPr>
          </w:p>
        </w:tc>
        <w:tc>
          <w:tcPr>
            <w:tcW w:w="1417"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2BED7EE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FD0BAF2">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6C7D72B6">
            <w:pPr>
              <w:jc w:val="center"/>
              <w:rPr>
                <w:rFonts w:hint="eastAsia" w:ascii="仿宋" w:hAnsi="仿宋" w:eastAsia="仿宋" w:cs="仿宋"/>
                <w:color w:val="000000" w:themeColor="text1"/>
                <w:sz w:val="24"/>
                <w14:textFill>
                  <w14:solidFill>
                    <w14:schemeClr w14:val="tx1"/>
                  </w14:solidFill>
                </w14:textFill>
              </w:rPr>
            </w:pPr>
          </w:p>
        </w:tc>
      </w:tr>
      <w:tr w14:paraId="36DD977D">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AF9980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FFB6D98">
            <w:pPr>
              <w:jc w:val="center"/>
              <w:rPr>
                <w:rFonts w:eastAsia="仿宋"/>
                <w:color w:val="000000" w:themeColor="text1"/>
                <w:szCs w:val="21"/>
                <w14:textFill>
                  <w14:solidFill>
                    <w14:schemeClr w14:val="tx1"/>
                  </w14:solidFill>
                </w14:textFill>
              </w:rPr>
            </w:pP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B0853C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6966AA9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47F049B9">
            <w:pPr>
              <w:jc w:val="center"/>
              <w:rPr>
                <w:rFonts w:hint="eastAsia" w:ascii="仿宋" w:hAnsi="仿宋" w:eastAsia="仿宋" w:cs="仿宋"/>
                <w:color w:val="000000" w:themeColor="text1"/>
                <w:sz w:val="24"/>
                <w14:textFill>
                  <w14:solidFill>
                    <w14:schemeClr w14:val="tx1"/>
                  </w14:solidFill>
                </w14:textFill>
              </w:rPr>
            </w:pPr>
          </w:p>
        </w:tc>
      </w:tr>
      <w:tr w14:paraId="767BAD13">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3D4C800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9EAF262">
            <w:pPr>
              <w:jc w:val="center"/>
              <w:rPr>
                <w:rFonts w:eastAsia="仿宋"/>
                <w:color w:val="000000" w:themeColor="text1"/>
                <w:sz w:val="24"/>
                <w14:textFill>
                  <w14:solidFill>
                    <w14:schemeClr w14:val="tx1"/>
                  </w14:solidFill>
                </w14:textFill>
              </w:rPr>
            </w:pPr>
          </w:p>
        </w:tc>
        <w:tc>
          <w:tcPr>
            <w:tcW w:w="1417"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4C1EA9BC">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2FC96DD">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02E15834">
            <w:pPr>
              <w:jc w:val="center"/>
              <w:rPr>
                <w:rFonts w:hint="eastAsia" w:ascii="仿宋" w:hAnsi="仿宋" w:eastAsia="仿宋" w:cs="仿宋"/>
                <w:color w:val="000000" w:themeColor="text1"/>
                <w:sz w:val="24"/>
                <w14:textFill>
                  <w14:solidFill>
                    <w14:schemeClr w14:val="tx1"/>
                  </w14:solidFill>
                </w14:textFill>
              </w:rPr>
            </w:pPr>
          </w:p>
        </w:tc>
      </w:tr>
      <w:tr w14:paraId="7119CC7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B4E484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c>
          <w:tcPr>
            <w:tcW w:w="1531" w:type="dxa"/>
            <w:tcBorders>
              <w:top w:val="nil"/>
              <w:left w:val="nil"/>
              <w:bottom w:val="single" w:color="auto" w:sz="8" w:space="0"/>
              <w:right w:val="single" w:color="auto" w:sz="4" w:space="0"/>
            </w:tcBorders>
            <w:tcMar>
              <w:top w:w="15" w:type="dxa"/>
              <w:left w:w="15" w:type="dxa"/>
              <w:bottom w:w="0" w:type="dxa"/>
              <w:right w:w="15" w:type="dxa"/>
            </w:tcMar>
            <w:vAlign w:val="center"/>
          </w:tcPr>
          <w:p w14:paraId="7416FFC4">
            <w:pPr>
              <w:jc w:val="center"/>
              <w:rPr>
                <w:rFonts w:eastAsia="仿宋"/>
                <w:color w:val="000000" w:themeColor="text1"/>
                <w:sz w:val="24"/>
                <w14:textFill>
                  <w14:solidFill>
                    <w14:schemeClr w14:val="tx1"/>
                  </w14:solidFill>
                </w14:textFill>
              </w:rPr>
            </w:pPr>
          </w:p>
        </w:tc>
        <w:tc>
          <w:tcPr>
            <w:tcW w:w="1417" w:type="dxa"/>
            <w:gridSpan w:val="2"/>
            <w:tcBorders>
              <w:top w:val="nil"/>
              <w:left w:val="nil"/>
              <w:bottom w:val="single" w:color="auto" w:sz="8" w:space="0"/>
              <w:right w:val="single" w:color="auto" w:sz="4" w:space="0"/>
            </w:tcBorders>
            <w:tcMar>
              <w:top w:w="15" w:type="dxa"/>
              <w:left w:w="15" w:type="dxa"/>
              <w:bottom w:w="0" w:type="dxa"/>
              <w:right w:w="15" w:type="dxa"/>
            </w:tcMar>
            <w:vAlign w:val="center"/>
          </w:tcPr>
          <w:p w14:paraId="572BCE73">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8" w:space="0"/>
              <w:right w:val="single" w:color="auto" w:sz="4" w:space="0"/>
            </w:tcBorders>
            <w:tcMar>
              <w:top w:w="15" w:type="dxa"/>
              <w:left w:w="15" w:type="dxa"/>
              <w:bottom w:w="0" w:type="dxa"/>
              <w:right w:w="15" w:type="dxa"/>
            </w:tcMar>
            <w:vAlign w:val="center"/>
          </w:tcPr>
          <w:p w14:paraId="6E96FDC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8" w:space="0"/>
              <w:right w:val="single" w:color="auto" w:sz="8" w:space="0"/>
            </w:tcBorders>
            <w:vAlign w:val="center"/>
          </w:tcPr>
          <w:p w14:paraId="05378A0C">
            <w:pPr>
              <w:jc w:val="center"/>
              <w:rPr>
                <w:rFonts w:hint="eastAsia" w:ascii="仿宋" w:hAnsi="仿宋" w:eastAsia="仿宋" w:cs="仿宋"/>
                <w:color w:val="000000" w:themeColor="text1"/>
                <w:sz w:val="24"/>
                <w14:textFill>
                  <w14:solidFill>
                    <w14:schemeClr w14:val="tx1"/>
                  </w14:solidFill>
                </w14:textFill>
              </w:rPr>
            </w:pPr>
          </w:p>
        </w:tc>
      </w:tr>
      <w:tr w14:paraId="2B819B49">
        <w:tblPrEx>
          <w:tblCellMar>
            <w:top w:w="0" w:type="dxa"/>
            <w:left w:w="0" w:type="dxa"/>
            <w:bottom w:w="0" w:type="dxa"/>
            <w:right w:w="0" w:type="dxa"/>
          </w:tblCellMar>
        </w:tblPrEx>
        <w:trPr>
          <w:trHeight w:val="501" w:hRule="atLeast"/>
        </w:trPr>
        <w:tc>
          <w:tcPr>
            <w:tcW w:w="8295" w:type="dxa"/>
            <w:gridSpan w:val="7"/>
            <w:tcBorders>
              <w:top w:val="nil"/>
              <w:left w:val="single" w:color="auto" w:sz="8" w:space="0"/>
              <w:bottom w:val="single" w:color="auto" w:sz="4" w:space="0"/>
              <w:right w:val="single" w:color="000000" w:sz="8" w:space="0"/>
            </w:tcBorders>
            <w:tcMar>
              <w:top w:w="15" w:type="dxa"/>
              <w:left w:w="15" w:type="dxa"/>
              <w:bottom w:w="0" w:type="dxa"/>
              <w:right w:w="15" w:type="dxa"/>
            </w:tcMar>
            <w:vAlign w:val="center"/>
          </w:tcPr>
          <w:p w14:paraId="5F5E5B5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指导教师1 基本信息</w:t>
            </w:r>
          </w:p>
          <w:p w14:paraId="0548C1A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（非交叉学科子计划项目一般仅允许一位指导老师）</w:t>
            </w:r>
          </w:p>
        </w:tc>
      </w:tr>
      <w:tr w14:paraId="55F7FB0D">
        <w:tblPrEx>
          <w:tblCellMar>
            <w:top w:w="0" w:type="dxa"/>
            <w:left w:w="0" w:type="dxa"/>
            <w:bottom w:w="0" w:type="dxa"/>
            <w:right w:w="0" w:type="dxa"/>
          </w:tblCellMar>
        </w:tblPrEx>
        <w:trPr>
          <w:trHeight w:val="38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3995D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53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1B7D33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所在学院或单位</w:t>
            </w:r>
          </w:p>
        </w:tc>
        <w:tc>
          <w:tcPr>
            <w:tcW w:w="311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2F854399">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研究方向</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26F67EE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职称/职务</w:t>
            </w:r>
          </w:p>
        </w:tc>
      </w:tr>
      <w:tr w14:paraId="5D1417E4">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B98E7">
            <w:pPr>
              <w:jc w:val="center"/>
              <w:rPr>
                <w:rFonts w:hint="eastAsia" w:ascii="仿宋" w:hAnsi="仿宋" w:eastAsia="仿宋" w:cs="仿宋"/>
                <w:color w:val="000000" w:themeColor="text1"/>
                <w:sz w:val="24"/>
                <w14:textFill>
                  <w14:solidFill>
                    <w14:schemeClr w14:val="tx1"/>
                  </w14:solidFill>
                </w14:textFill>
              </w:rPr>
            </w:pP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279A22A4">
            <w:pPr>
              <w:jc w:val="center"/>
              <w:rPr>
                <w:rFonts w:hint="eastAsia" w:ascii="仿宋" w:hAnsi="仿宋" w:eastAsia="仿宋" w:cs="仿宋"/>
                <w:color w:val="000000" w:themeColor="text1"/>
                <w:sz w:val="24"/>
                <w14:textFill>
                  <w14:solidFill>
                    <w14:schemeClr w14:val="tx1"/>
                  </w14:solidFill>
                </w14:textFill>
              </w:rPr>
            </w:pPr>
          </w:p>
        </w:tc>
        <w:tc>
          <w:tcPr>
            <w:tcW w:w="311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8E7B909">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028045D2">
            <w:pPr>
              <w:jc w:val="center"/>
              <w:rPr>
                <w:rFonts w:hint="eastAsia" w:ascii="仿宋" w:hAnsi="仿宋" w:eastAsia="仿宋" w:cs="仿宋"/>
                <w:color w:val="000000" w:themeColor="text1"/>
                <w:sz w:val="24"/>
                <w14:textFill>
                  <w14:solidFill>
                    <w14:schemeClr w14:val="tx1"/>
                  </w14:solidFill>
                </w14:textFill>
              </w:rPr>
            </w:pPr>
          </w:p>
        </w:tc>
      </w:tr>
      <w:tr w14:paraId="2B375D2A">
        <w:tblPrEx>
          <w:tblCellMar>
            <w:top w:w="0" w:type="dxa"/>
            <w:left w:w="0" w:type="dxa"/>
            <w:bottom w:w="0" w:type="dxa"/>
            <w:right w:w="0" w:type="dxa"/>
          </w:tblCellMar>
        </w:tblPrEx>
        <w:trPr>
          <w:trHeight w:val="44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5618BE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性别/年龄</w:t>
            </w:r>
          </w:p>
        </w:tc>
        <w:tc>
          <w:tcPr>
            <w:tcW w:w="1531" w:type="dxa"/>
            <w:tcBorders>
              <w:top w:val="nil"/>
              <w:left w:val="nil"/>
              <w:bottom w:val="single" w:color="auto" w:sz="4" w:space="0"/>
              <w:right w:val="single" w:color="auto" w:sz="4" w:space="0"/>
            </w:tcBorders>
            <w:tcMar>
              <w:top w:w="15" w:type="dxa"/>
              <w:left w:w="15" w:type="dxa"/>
              <w:bottom w:w="0" w:type="dxa"/>
              <w:right w:w="15" w:type="dxa"/>
            </w:tcMar>
            <w:vAlign w:val="center"/>
          </w:tcPr>
          <w:p w14:paraId="6743341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118"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B8832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nil"/>
              <w:left w:val="nil"/>
              <w:bottom w:val="single" w:color="auto" w:sz="4" w:space="0"/>
              <w:right w:val="single" w:color="auto" w:sz="8" w:space="0"/>
            </w:tcBorders>
            <w:noWrap/>
            <w:tcMar>
              <w:top w:w="15" w:type="dxa"/>
              <w:left w:w="15" w:type="dxa"/>
              <w:bottom w:w="0" w:type="dxa"/>
              <w:right w:w="15" w:type="dxa"/>
            </w:tcMar>
            <w:vAlign w:val="center"/>
          </w:tcPr>
          <w:p w14:paraId="33711F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r>
    </w:tbl>
    <w:tbl>
      <w:tblPr>
        <w:tblStyle w:val="13"/>
        <w:tblpPr w:leftFromText="180" w:rightFromText="180" w:vertAnchor="text" w:tblpY="1"/>
        <w:tblOverlap w:val="never"/>
        <w:tblW w:w="8295" w:type="dxa"/>
        <w:tblInd w:w="0" w:type="dxa"/>
        <w:tblLayout w:type="fixed"/>
        <w:tblCellMar>
          <w:top w:w="0" w:type="dxa"/>
          <w:left w:w="0" w:type="dxa"/>
          <w:bottom w:w="0" w:type="dxa"/>
          <w:right w:w="0" w:type="dxa"/>
        </w:tblCellMar>
      </w:tblPr>
      <w:tblGrid>
        <w:gridCol w:w="1720"/>
        <w:gridCol w:w="2260"/>
        <w:gridCol w:w="1975"/>
        <w:gridCol w:w="2340"/>
      </w:tblGrid>
      <w:tr w14:paraId="2B081408">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08701F6D">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4" w:space="0"/>
              <w:right w:val="single" w:color="auto" w:sz="4" w:space="0"/>
            </w:tcBorders>
            <w:tcMar>
              <w:top w:w="15" w:type="dxa"/>
              <w:left w:w="15" w:type="dxa"/>
              <w:bottom w:w="0" w:type="dxa"/>
              <w:right w:w="15" w:type="dxa"/>
            </w:tcMar>
            <w:vAlign w:val="center"/>
          </w:tcPr>
          <w:p w14:paraId="13AB14D1">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4" w:space="0"/>
              <w:right w:val="single" w:color="auto" w:sz="4" w:space="0"/>
            </w:tcBorders>
            <w:tcMar>
              <w:top w:w="15" w:type="dxa"/>
              <w:left w:w="15" w:type="dxa"/>
              <w:bottom w:w="0" w:type="dxa"/>
              <w:right w:w="15" w:type="dxa"/>
            </w:tcMar>
            <w:vAlign w:val="center"/>
          </w:tcPr>
          <w:p w14:paraId="286C6216">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4" w:space="0"/>
              <w:right w:val="single" w:color="auto" w:sz="8" w:space="0"/>
            </w:tcBorders>
            <w:tcMar>
              <w:top w:w="15" w:type="dxa"/>
              <w:left w:w="15" w:type="dxa"/>
              <w:bottom w:w="0" w:type="dxa"/>
              <w:right w:w="15" w:type="dxa"/>
            </w:tcMar>
            <w:vAlign w:val="center"/>
          </w:tcPr>
          <w:p w14:paraId="43DC6D7D">
            <w:pPr>
              <w:jc w:val="center"/>
              <w:rPr>
                <w:rFonts w:hint="eastAsia" w:ascii="仿宋_GB2312" w:hAnsi="宋体" w:eastAsia="仿宋_GB2312"/>
                <w:color w:val="000000" w:themeColor="text1"/>
                <w:sz w:val="24"/>
                <w14:textFill>
                  <w14:solidFill>
                    <w14:schemeClr w14:val="tx1"/>
                  </w14:solidFill>
                </w14:textFill>
              </w:rPr>
            </w:pPr>
          </w:p>
        </w:tc>
      </w:tr>
      <w:tr w14:paraId="0EB92BFC">
        <w:tblPrEx>
          <w:tblCellMar>
            <w:top w:w="0" w:type="dxa"/>
            <w:left w:w="0" w:type="dxa"/>
            <w:bottom w:w="0" w:type="dxa"/>
            <w:right w:w="0" w:type="dxa"/>
          </w:tblCellMar>
        </w:tblPrEx>
        <w:trPr>
          <w:trHeight w:val="510" w:hRule="atLeast"/>
        </w:trPr>
        <w:tc>
          <w:tcPr>
            <w:tcW w:w="8295" w:type="dxa"/>
            <w:gridSpan w:val="4"/>
            <w:tcBorders>
              <w:top w:val="single" w:color="auto" w:sz="4" w:space="0"/>
              <w:left w:val="single" w:color="auto" w:sz="8" w:space="0"/>
              <w:bottom w:val="single" w:color="auto" w:sz="8" w:space="0"/>
              <w:right w:val="single" w:color="auto" w:sz="8" w:space="0"/>
            </w:tcBorders>
            <w:noWrap/>
            <w:tcMar>
              <w:top w:w="15" w:type="dxa"/>
              <w:left w:w="15" w:type="dxa"/>
              <w:bottom w:w="0" w:type="dxa"/>
              <w:right w:w="15" w:type="dxa"/>
            </w:tcMar>
            <w:vAlign w:val="center"/>
          </w:tcPr>
          <w:p w14:paraId="69CEB3F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hAnsi="宋体" w:eastAsia="仿宋_GB2312"/>
                <w:color w:val="000000" w:themeColor="text1"/>
                <w:sz w:val="24"/>
                <w14:textFill>
                  <w14:solidFill>
                    <w14:schemeClr w14:val="tx1"/>
                  </w14:solidFill>
                </w14:textFill>
              </w:rPr>
              <w:t>指导</w:t>
            </w:r>
            <w:r>
              <w:rPr>
                <w:rFonts w:ascii="仿宋_GB2312" w:hAnsi="宋体" w:eastAsia="仿宋_GB2312"/>
                <w:color w:val="000000" w:themeColor="text1"/>
                <w:sz w:val="24"/>
                <w14:textFill>
                  <w14:solidFill>
                    <w14:schemeClr w14:val="tx1"/>
                  </w14:solidFill>
                </w14:textFill>
              </w:rPr>
              <w:t>教师</w:t>
            </w:r>
            <w:r>
              <w:rPr>
                <w:rFonts w:hint="eastAsia" w:ascii="仿宋_GB2312" w:hAnsi="宋体" w:eastAsia="仿宋_GB2312"/>
                <w:color w:val="000000" w:themeColor="text1"/>
                <w:sz w:val="24"/>
                <w14:textFill>
                  <w14:solidFill>
                    <w14:schemeClr w14:val="tx1"/>
                  </w14:solidFill>
                </w14:textFill>
              </w:rPr>
              <w:t>2  基本</w:t>
            </w:r>
            <w:r>
              <w:rPr>
                <w:rFonts w:ascii="仿宋_GB2312" w:hAnsi="宋体" w:eastAsia="仿宋_GB2312"/>
                <w:color w:val="000000" w:themeColor="text1"/>
                <w:sz w:val="24"/>
                <w14:textFill>
                  <w14:solidFill>
                    <w14:schemeClr w14:val="tx1"/>
                  </w14:solidFill>
                </w14:textFill>
              </w:rPr>
              <w:t>信息</w:t>
            </w:r>
          </w:p>
          <w:p w14:paraId="4A78969B">
            <w:pPr>
              <w:jc w:val="center"/>
              <w:rPr>
                <w:rFonts w:hint="eastAsia" w:ascii="仿宋_GB2312" w:hAnsi="宋体" w:eastAsia="仿宋_GB2312"/>
                <w:color w:val="000000" w:themeColor="text1"/>
                <w:sz w:val="24"/>
                <w14:textFill>
                  <w14:solidFill>
                    <w14:schemeClr w14:val="tx1"/>
                  </w14:solidFill>
                </w14:textFill>
              </w:rPr>
            </w:pPr>
            <w:r>
              <w:rPr>
                <w:rFonts w:ascii="仿宋_GB2312" w:hAnsi="宋体" w:eastAsia="仿宋_GB2312"/>
                <w:color w:val="000000" w:themeColor="text1"/>
                <w:sz w:val="24"/>
                <w14:textFill>
                  <w14:solidFill>
                    <w14:schemeClr w14:val="tx1"/>
                  </w14:solidFill>
                </w14:textFill>
              </w:rPr>
              <w:t>（</w:t>
            </w:r>
            <w:r>
              <w:rPr>
                <w:rFonts w:hint="eastAsia" w:ascii="仿宋_GB2312" w:hAnsi="宋体" w:eastAsia="仿宋_GB2312"/>
                <w:color w:val="000000" w:themeColor="text1"/>
                <w:sz w:val="24"/>
                <w14:textFill>
                  <w14:solidFill>
                    <w14:schemeClr w14:val="tx1"/>
                  </w14:solidFill>
                </w14:textFill>
              </w:rPr>
              <w:t>交叉</w:t>
            </w:r>
            <w:r>
              <w:rPr>
                <w:rFonts w:ascii="仿宋_GB2312" w:hAnsi="宋体" w:eastAsia="仿宋_GB2312"/>
                <w:color w:val="000000" w:themeColor="text1"/>
                <w:sz w:val="24"/>
                <w14:textFill>
                  <w14:solidFill>
                    <w14:schemeClr w14:val="tx1"/>
                  </w14:solidFill>
                </w14:textFill>
              </w:rPr>
              <w:t>学科</w:t>
            </w:r>
            <w:r>
              <w:rPr>
                <w:rFonts w:hint="eastAsia" w:ascii="仿宋_GB2312" w:hAnsi="宋体" w:eastAsia="仿宋_GB2312"/>
                <w:color w:val="000000" w:themeColor="text1"/>
                <w:sz w:val="24"/>
                <w14:textFill>
                  <w14:solidFill>
                    <w14:schemeClr w14:val="tx1"/>
                  </w14:solidFill>
                </w14:textFill>
              </w:rPr>
              <w:t>子计划</w:t>
            </w:r>
            <w:r>
              <w:rPr>
                <w:rFonts w:ascii="仿宋_GB2312" w:hAnsi="宋体" w:eastAsia="仿宋_GB2312"/>
                <w:color w:val="000000" w:themeColor="text1"/>
                <w:sz w:val="24"/>
                <w14:textFill>
                  <w14:solidFill>
                    <w14:schemeClr w14:val="tx1"/>
                  </w14:solidFill>
                </w14:textFill>
              </w:rPr>
              <w:t>项目</w:t>
            </w:r>
            <w:r>
              <w:rPr>
                <w:rFonts w:hint="eastAsia" w:ascii="仿宋_GB2312" w:hAnsi="宋体" w:eastAsia="仿宋_GB2312"/>
                <w:color w:val="000000" w:themeColor="text1"/>
                <w:sz w:val="24"/>
                <w14:textFill>
                  <w14:solidFill>
                    <w14:schemeClr w14:val="tx1"/>
                  </w14:solidFill>
                </w14:textFill>
              </w:rPr>
              <w:t>需填写第二</w:t>
            </w:r>
            <w:r>
              <w:rPr>
                <w:rFonts w:ascii="仿宋_GB2312" w:hAnsi="宋体" w:eastAsia="仿宋_GB2312"/>
                <w:color w:val="000000" w:themeColor="text1"/>
                <w:sz w:val="24"/>
                <w14:textFill>
                  <w14:solidFill>
                    <w14:schemeClr w14:val="tx1"/>
                  </w14:solidFill>
                </w14:textFill>
              </w:rPr>
              <w:t>指导老师）</w:t>
            </w:r>
          </w:p>
        </w:tc>
      </w:tr>
      <w:tr w14:paraId="01E7C049">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3DB4F379">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姓名</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47A266BD">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所在学院或单位</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28643B5">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研究方向</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7D5E894B">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职称/职务</w:t>
            </w:r>
          </w:p>
        </w:tc>
      </w:tr>
      <w:tr w14:paraId="064D7B3E">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129FDB32">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E8213B6">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F1F7F07">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56720151">
            <w:pPr>
              <w:jc w:val="center"/>
              <w:rPr>
                <w:rFonts w:hint="eastAsia" w:ascii="仿宋_GB2312" w:hAnsi="宋体" w:eastAsia="仿宋_GB2312"/>
                <w:color w:val="000000" w:themeColor="text1"/>
                <w:sz w:val="24"/>
                <w14:textFill>
                  <w14:solidFill>
                    <w14:schemeClr w14:val="tx1"/>
                  </w14:solidFill>
                </w14:textFill>
              </w:rPr>
            </w:pPr>
          </w:p>
        </w:tc>
      </w:tr>
      <w:tr w14:paraId="7EA92CB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1F9F206">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性别/年龄</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76197D3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手机</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4571002">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电子邮箱</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690B70CE">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签名</w:t>
            </w:r>
          </w:p>
        </w:tc>
      </w:tr>
      <w:tr w14:paraId="1ACE7E4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05EB6A85">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926E4A7">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E78D4F4">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2125EF05">
            <w:pPr>
              <w:jc w:val="center"/>
              <w:rPr>
                <w:rFonts w:hint="eastAsia" w:ascii="仿宋_GB2312" w:hAnsi="宋体" w:eastAsia="仿宋_GB2312"/>
                <w:color w:val="000000" w:themeColor="text1"/>
                <w:sz w:val="24"/>
                <w14:textFill>
                  <w14:solidFill>
                    <w14:schemeClr w14:val="tx1"/>
                  </w14:solidFill>
                </w14:textFill>
              </w:rPr>
            </w:pPr>
          </w:p>
        </w:tc>
      </w:tr>
    </w:tbl>
    <w:p w14:paraId="58D8FA16">
      <w:pPr>
        <w:adjustRightInd w:val="0"/>
        <w:snapToGrid w:val="0"/>
        <w:spacing w:after="156" w:afterLines="50" w:line="360" w:lineRule="auto"/>
        <w:rPr>
          <w:rFonts w:eastAsia="仿宋"/>
          <w:sz w:val="24"/>
        </w:rPr>
      </w:pPr>
    </w:p>
    <w:tbl>
      <w:tblPr>
        <w:tblStyle w:val="13"/>
        <w:tblW w:w="0" w:type="auto"/>
        <w:tblInd w:w="0" w:type="dxa"/>
        <w:tblLayout w:type="fixed"/>
        <w:tblCellMar>
          <w:top w:w="0" w:type="dxa"/>
          <w:left w:w="0" w:type="dxa"/>
          <w:bottom w:w="0" w:type="dxa"/>
          <w:right w:w="0" w:type="dxa"/>
        </w:tblCellMar>
      </w:tblPr>
      <w:tblGrid>
        <w:gridCol w:w="8296"/>
      </w:tblGrid>
      <w:tr w14:paraId="2FC8E075">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3FEDE227">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项目摘要</w:t>
            </w:r>
            <w:r>
              <w:rPr>
                <w:rFonts w:ascii="楷体" w:hAnsi="楷体" w:eastAsia="楷体" w:cs="楷体_GB2312"/>
                <w:b/>
                <w:bCs/>
                <w:sz w:val="28"/>
                <w:szCs w:val="28"/>
              </w:rPr>
              <w:t>(限200字以内)</w:t>
            </w:r>
          </w:p>
        </w:tc>
      </w:tr>
      <w:tr w14:paraId="00925060">
        <w:tblPrEx>
          <w:tblCellMar>
            <w:top w:w="0" w:type="dxa"/>
            <w:left w:w="0" w:type="dxa"/>
            <w:bottom w:w="0" w:type="dxa"/>
            <w:right w:w="0" w:type="dxa"/>
          </w:tblCellMar>
        </w:tblPrEx>
        <w:trPr>
          <w:trHeight w:val="4314"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76CCB25">
            <w:pPr>
              <w:spacing w:line="360" w:lineRule="auto"/>
              <w:ind w:firstLine="480" w:firstLineChars="200"/>
              <w:rPr>
                <w:rFonts w:hint="eastAsia" w:ascii="仿宋_GB2312" w:hAnsi="宋体" w:eastAsia="仿宋_GB2312"/>
                <w:bCs/>
                <w:sz w:val="24"/>
                <w:szCs w:val="22"/>
              </w:rPr>
            </w:pPr>
          </w:p>
          <w:p w14:paraId="277C69D8">
            <w:pPr>
              <w:spacing w:line="360" w:lineRule="auto"/>
              <w:ind w:firstLine="480" w:firstLineChars="200"/>
              <w:rPr>
                <w:rFonts w:hint="eastAsia" w:ascii="仿宋_GB2312" w:hAnsi="宋体" w:eastAsia="仿宋_GB2312"/>
                <w:bCs/>
                <w:sz w:val="24"/>
                <w:szCs w:val="22"/>
              </w:rPr>
            </w:pPr>
            <w:r>
              <w:rPr>
                <w:rFonts w:ascii="仿宋_GB2312" w:hAnsi="宋体" w:eastAsia="仿宋_GB2312"/>
                <w:bCs/>
                <w:sz w:val="24"/>
                <w:szCs w:val="22"/>
              </w:rPr>
              <w:t>随着社交媒体发展，</w:t>
            </w:r>
            <w:r>
              <w:rPr>
                <w:rFonts w:hint="eastAsia" w:ascii="仿宋_GB2312" w:hAnsi="宋体" w:eastAsia="仿宋_GB2312"/>
                <w:bCs/>
                <w:sz w:val="24"/>
                <w:szCs w:val="22"/>
              </w:rPr>
              <w:t>有害</w:t>
            </w:r>
            <w:r>
              <w:rPr>
                <w:rFonts w:ascii="仿宋_GB2312" w:hAnsi="宋体" w:eastAsia="仿宋_GB2312"/>
                <w:bCs/>
                <w:sz w:val="24"/>
                <w:szCs w:val="22"/>
              </w:rPr>
              <w:t>内容常以</w:t>
            </w:r>
            <w:r>
              <w:rPr>
                <w:rFonts w:ascii="仿宋_GB2312" w:hAnsi="宋体" w:eastAsia="仿宋_GB2312"/>
                <w:b/>
                <w:sz w:val="24"/>
                <w:szCs w:val="22"/>
              </w:rPr>
              <w:t>委婉语</w:t>
            </w:r>
            <w:r>
              <w:rPr>
                <w:rFonts w:ascii="仿宋_GB2312" w:hAnsi="宋体" w:eastAsia="仿宋_GB2312"/>
                <w:bCs/>
                <w:sz w:val="24"/>
                <w:szCs w:val="22"/>
              </w:rPr>
              <w:t>、</w:t>
            </w:r>
            <w:r>
              <w:rPr>
                <w:rFonts w:ascii="仿宋_GB2312" w:hAnsi="宋体" w:eastAsia="仿宋_GB2312"/>
                <w:b/>
                <w:sz w:val="24"/>
                <w:szCs w:val="22"/>
              </w:rPr>
              <w:t>隐喻图像</w:t>
            </w:r>
            <w:r>
              <w:rPr>
                <w:rFonts w:ascii="仿宋_GB2312" w:hAnsi="宋体" w:eastAsia="仿宋_GB2312"/>
                <w:bCs/>
                <w:sz w:val="24"/>
                <w:szCs w:val="22"/>
              </w:rPr>
              <w:t>、</w:t>
            </w:r>
            <w:r>
              <w:rPr>
                <w:rFonts w:ascii="仿宋_GB2312" w:hAnsi="宋体" w:eastAsia="仿宋_GB2312"/>
                <w:b/>
                <w:sz w:val="24"/>
                <w:szCs w:val="22"/>
              </w:rPr>
              <w:t>音频暗语</w:t>
            </w:r>
            <w:r>
              <w:rPr>
                <w:rFonts w:ascii="仿宋_GB2312" w:hAnsi="宋体" w:eastAsia="仿宋_GB2312"/>
                <w:bCs/>
                <w:sz w:val="24"/>
                <w:szCs w:val="22"/>
              </w:rPr>
              <w:t>等隐蔽形式传播，</w:t>
            </w:r>
            <w:r>
              <w:rPr>
                <w:rFonts w:ascii="仿宋_GB2312" w:hAnsi="宋体" w:eastAsia="仿宋_GB2312"/>
                <w:b/>
                <w:sz w:val="24"/>
                <w:szCs w:val="22"/>
              </w:rPr>
              <w:t>传统单模态审核手段难以应对</w:t>
            </w:r>
            <w:r>
              <w:rPr>
                <w:rFonts w:ascii="仿宋_GB2312" w:hAnsi="宋体" w:eastAsia="仿宋_GB2312"/>
                <w:bCs/>
                <w:sz w:val="24"/>
                <w:szCs w:val="22"/>
              </w:rPr>
              <w:t>，</w:t>
            </w:r>
            <w:r>
              <w:rPr>
                <w:rFonts w:ascii="仿宋_GB2312" w:hAnsi="宋体" w:eastAsia="仿宋_GB2312"/>
                <w:b/>
                <w:sz w:val="24"/>
                <w:szCs w:val="22"/>
              </w:rPr>
              <w:t>多模态协同识别的核心问题尚未有效解决</w:t>
            </w:r>
            <w:r>
              <w:rPr>
                <w:rFonts w:ascii="仿宋_GB2312" w:hAnsi="宋体" w:eastAsia="仿宋_GB2312"/>
                <w:bCs/>
                <w:sz w:val="24"/>
                <w:szCs w:val="22"/>
              </w:rPr>
              <w:t>，严重影响网络环境健康。</w:t>
            </w:r>
          </w:p>
          <w:p w14:paraId="4F0A0403">
            <w:pPr>
              <w:spacing w:line="360" w:lineRule="auto"/>
              <w:ind w:firstLine="480" w:firstLineChars="200"/>
              <w:rPr>
                <w:rFonts w:hint="eastAsia" w:ascii="仿宋_GB2312" w:hAnsi="宋体" w:eastAsia="仿宋_GB2312"/>
                <w:b/>
                <w:sz w:val="24"/>
                <w:szCs w:val="22"/>
              </w:rPr>
            </w:pPr>
            <w:r>
              <w:rPr>
                <w:rFonts w:ascii="仿宋_GB2312" w:hAnsi="宋体" w:eastAsia="仿宋_GB2312"/>
                <w:bCs/>
                <w:sz w:val="24"/>
                <w:szCs w:val="22"/>
              </w:rPr>
              <w:t>本项目聚焦</w:t>
            </w:r>
            <w:r>
              <w:rPr>
                <w:rFonts w:ascii="仿宋_GB2312" w:hAnsi="宋体" w:eastAsia="仿宋_GB2312"/>
                <w:b/>
                <w:sz w:val="24"/>
                <w:szCs w:val="22"/>
              </w:rPr>
              <w:t>多模态检测技术</w:t>
            </w:r>
            <w:r>
              <w:rPr>
                <w:rFonts w:ascii="仿宋_GB2312" w:hAnsi="宋体" w:eastAsia="仿宋_GB2312"/>
                <w:bCs/>
                <w:sz w:val="24"/>
                <w:szCs w:val="22"/>
              </w:rPr>
              <w:t>突破，融合文字、图像与音频</w:t>
            </w:r>
            <w:r>
              <w:rPr>
                <w:rFonts w:hint="eastAsia" w:ascii="仿宋_GB2312" w:hAnsi="宋体" w:eastAsia="仿宋_GB2312"/>
                <w:bCs/>
                <w:sz w:val="24"/>
                <w:szCs w:val="22"/>
              </w:rPr>
              <w:t>的</w:t>
            </w:r>
            <w:r>
              <w:rPr>
                <w:rFonts w:ascii="仿宋_GB2312" w:hAnsi="宋体" w:eastAsia="仿宋_GB2312"/>
                <w:bCs/>
                <w:sz w:val="24"/>
                <w:szCs w:val="22"/>
              </w:rPr>
              <w:t>特征检测，构建</w:t>
            </w:r>
            <w:r>
              <w:rPr>
                <w:rFonts w:ascii="仿宋_GB2312" w:hAnsi="宋体" w:eastAsia="仿宋_GB2312"/>
                <w:b/>
                <w:sz w:val="24"/>
                <w:szCs w:val="22"/>
              </w:rPr>
              <w:t>多模态</w:t>
            </w:r>
            <w:r>
              <w:rPr>
                <w:rFonts w:hint="eastAsia" w:ascii="仿宋_GB2312" w:hAnsi="宋体" w:eastAsia="仿宋_GB2312"/>
                <w:b/>
                <w:sz w:val="24"/>
                <w:szCs w:val="22"/>
              </w:rPr>
              <w:t>检测</w:t>
            </w:r>
            <w:r>
              <w:rPr>
                <w:rFonts w:ascii="仿宋_GB2312" w:hAnsi="宋体" w:eastAsia="仿宋_GB2312"/>
                <w:b/>
                <w:sz w:val="24"/>
                <w:szCs w:val="22"/>
              </w:rPr>
              <w:t>大模型</w:t>
            </w:r>
            <w:r>
              <w:rPr>
                <w:rFonts w:ascii="仿宋_GB2312" w:hAnsi="宋体" w:eastAsia="仿宋_GB2312"/>
                <w:bCs/>
                <w:sz w:val="24"/>
                <w:szCs w:val="22"/>
              </w:rPr>
              <w:t>，深度解析文本隐</w:t>
            </w:r>
            <w:r>
              <w:rPr>
                <w:rFonts w:hint="eastAsia" w:ascii="仿宋_GB2312" w:hAnsi="宋体" w:eastAsia="仿宋_GB2312"/>
                <w:bCs/>
                <w:sz w:val="24"/>
                <w:szCs w:val="22"/>
              </w:rPr>
              <w:t>藏</w:t>
            </w:r>
            <w:r>
              <w:rPr>
                <w:rFonts w:ascii="仿宋_GB2312" w:hAnsi="宋体" w:eastAsia="仿宋_GB2312"/>
                <w:bCs/>
                <w:sz w:val="24"/>
                <w:szCs w:val="22"/>
              </w:rPr>
              <w:t>含义、图像敏感元素及音频违规信息，通过</w:t>
            </w:r>
            <w:r>
              <w:rPr>
                <w:rFonts w:ascii="仿宋_GB2312" w:hAnsi="宋体" w:eastAsia="仿宋_GB2312"/>
                <w:b/>
                <w:sz w:val="24"/>
                <w:szCs w:val="22"/>
              </w:rPr>
              <w:t>跨模态特征融</w:t>
            </w:r>
            <w:r>
              <w:rPr>
                <w:rFonts w:ascii="仿宋_GB2312" w:hAnsi="宋体" w:eastAsia="仿宋_GB2312"/>
                <w:bCs/>
                <w:sz w:val="24"/>
                <w:szCs w:val="22"/>
              </w:rPr>
              <w:t>合实现精准识别，并依托增量学习持续优化模型，为</w:t>
            </w:r>
            <w:r>
              <w:rPr>
                <w:rFonts w:ascii="仿宋_GB2312" w:hAnsi="宋体" w:eastAsia="仿宋_GB2312"/>
                <w:b/>
                <w:sz w:val="24"/>
                <w:szCs w:val="22"/>
              </w:rPr>
              <w:t>营造清朗网络环境</w:t>
            </w:r>
            <w:r>
              <w:rPr>
                <w:rFonts w:ascii="仿宋_GB2312" w:hAnsi="宋体" w:eastAsia="仿宋_GB2312"/>
                <w:bCs/>
                <w:sz w:val="24"/>
                <w:szCs w:val="22"/>
              </w:rPr>
              <w:t>提供关键技术支撑。</w:t>
            </w:r>
          </w:p>
          <w:p w14:paraId="0929F7A8">
            <w:pPr>
              <w:spacing w:line="312" w:lineRule="auto"/>
              <w:jc w:val="left"/>
              <w:outlineLvl w:val="0"/>
              <w:rPr>
                <w:rFonts w:hint="eastAsia" w:ascii="仿宋_GB2312" w:hAnsi="宋体" w:eastAsia="仿宋_GB2312"/>
                <w:b/>
                <w:bCs/>
                <w:color w:val="000000" w:themeColor="text1"/>
                <w:sz w:val="28"/>
                <w14:textFill>
                  <w14:solidFill>
                    <w14:schemeClr w14:val="tx1"/>
                  </w14:solidFill>
                </w14:textFill>
              </w:rPr>
            </w:pPr>
          </w:p>
        </w:tc>
      </w:tr>
      <w:tr w14:paraId="1A08EBD9">
        <w:tblPrEx>
          <w:tblCellMar>
            <w:top w:w="0" w:type="dxa"/>
            <w:left w:w="0" w:type="dxa"/>
            <w:bottom w:w="0" w:type="dxa"/>
            <w:right w:w="0" w:type="dxa"/>
          </w:tblCellMar>
        </w:tblPrEx>
        <w:trPr>
          <w:trHeight w:val="283" w:hRule="atLeast"/>
        </w:trPr>
        <w:tc>
          <w:tcPr>
            <w:tcW w:w="8296" w:type="dxa"/>
            <w:tcBorders>
              <w:top w:val="single" w:color="auto" w:sz="4" w:space="0"/>
            </w:tcBorders>
            <w:tcMar>
              <w:top w:w="15" w:type="dxa"/>
              <w:left w:w="15" w:type="dxa"/>
              <w:bottom w:w="0" w:type="dxa"/>
              <w:right w:w="15" w:type="dxa"/>
            </w:tcMar>
          </w:tcPr>
          <w:p w14:paraId="5F3EFE68">
            <w:pPr>
              <w:snapToGrid w:val="0"/>
              <w:spacing w:after="156" w:afterLines="50" w:line="440" w:lineRule="exact"/>
              <w:rPr>
                <w:rFonts w:hint="eastAsia" w:ascii="楷体" w:hAnsi="楷体" w:eastAsia="楷体" w:cs="楷体_GB2312"/>
                <w:b/>
                <w:bCs/>
                <w:sz w:val="28"/>
                <w:szCs w:val="28"/>
              </w:rPr>
            </w:pPr>
          </w:p>
        </w:tc>
      </w:tr>
      <w:tr w14:paraId="7D26FF12">
        <w:tblPrEx>
          <w:tblCellMar>
            <w:top w:w="0" w:type="dxa"/>
            <w:left w:w="0" w:type="dxa"/>
            <w:bottom w:w="0" w:type="dxa"/>
            <w:right w:w="0" w:type="dxa"/>
          </w:tblCellMar>
        </w:tblPrEx>
        <w:trPr>
          <w:trHeight w:val="283" w:hRule="atLeast"/>
        </w:trPr>
        <w:tc>
          <w:tcPr>
            <w:tcW w:w="8296" w:type="dxa"/>
            <w:tcMar>
              <w:top w:w="15" w:type="dxa"/>
              <w:left w:w="15" w:type="dxa"/>
              <w:bottom w:w="0" w:type="dxa"/>
              <w:right w:w="15" w:type="dxa"/>
            </w:tcMar>
          </w:tcPr>
          <w:p w14:paraId="7105D550">
            <w:pPr>
              <w:snapToGrid w:val="0"/>
              <w:spacing w:after="156" w:afterLines="50" w:line="440" w:lineRule="exact"/>
              <w:rPr>
                <w:rFonts w:hint="eastAsia" w:ascii="楷体" w:hAnsi="楷体" w:eastAsia="楷体" w:cs="楷体_GB2312"/>
                <w:b/>
                <w:bCs/>
                <w:sz w:val="28"/>
                <w:szCs w:val="28"/>
              </w:rPr>
            </w:pPr>
          </w:p>
        </w:tc>
      </w:tr>
      <w:tr w14:paraId="739C2EC9">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469BBA88">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特色创新点（限</w:t>
            </w:r>
            <w:r>
              <w:rPr>
                <w:rFonts w:ascii="楷体" w:hAnsi="楷体" w:eastAsia="楷体" w:cs="楷体_GB2312"/>
                <w:b/>
                <w:bCs/>
                <w:sz w:val="28"/>
                <w:szCs w:val="28"/>
              </w:rPr>
              <w:t>100字以内</w:t>
            </w:r>
            <w:r>
              <w:rPr>
                <w:rFonts w:hint="eastAsia" w:ascii="楷体" w:hAnsi="楷体" w:eastAsia="楷体" w:cs="楷体_GB2312"/>
                <w:b/>
                <w:bCs/>
                <w:sz w:val="28"/>
                <w:szCs w:val="28"/>
              </w:rPr>
              <w:t>，建议2-3点</w:t>
            </w:r>
            <w:r>
              <w:rPr>
                <w:rFonts w:ascii="楷体" w:hAnsi="楷体" w:eastAsia="楷体" w:cs="楷体_GB2312"/>
                <w:b/>
                <w:bCs/>
                <w:sz w:val="28"/>
                <w:szCs w:val="28"/>
              </w:rPr>
              <w:t>）</w:t>
            </w:r>
          </w:p>
        </w:tc>
      </w:tr>
      <w:tr w14:paraId="72A6777C">
        <w:tblPrEx>
          <w:tblCellMar>
            <w:top w:w="0" w:type="dxa"/>
            <w:left w:w="0" w:type="dxa"/>
            <w:bottom w:w="0" w:type="dxa"/>
            <w:right w:w="0" w:type="dxa"/>
          </w:tblCellMar>
        </w:tblPrEx>
        <w:trPr>
          <w:trHeight w:val="3969"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06369908">
            <w:pPr>
              <w:spacing w:line="360" w:lineRule="auto"/>
              <w:ind w:firstLine="480" w:firstLineChars="200"/>
              <w:rPr>
                <w:rFonts w:hint="eastAsia" w:ascii="仿宋_GB2312" w:hAnsi="宋体" w:eastAsia="仿宋_GB2312"/>
                <w:sz w:val="24"/>
                <w:szCs w:val="22"/>
              </w:rPr>
            </w:pPr>
            <w:r>
              <w:rPr>
                <w:rFonts w:hint="eastAsia" w:ascii="仿宋_GB2312" w:hAnsi="宋体" w:eastAsia="仿宋_GB2312"/>
                <w:sz w:val="24"/>
                <w:szCs w:val="22"/>
              </w:rPr>
              <w:t>1.对</w:t>
            </w:r>
            <w:r>
              <w:rPr>
                <w:rFonts w:ascii="仿宋_GB2312" w:hAnsi="宋体" w:eastAsia="仿宋_GB2312"/>
                <w:b/>
                <w:sz w:val="24"/>
                <w:szCs w:val="22"/>
              </w:rPr>
              <w:t>全球最大的中文社交网络平台</w:t>
            </w:r>
            <w:r>
              <w:rPr>
                <w:rFonts w:ascii="仿宋_GB2312" w:hAnsi="宋体" w:eastAsia="仿宋_GB2312"/>
                <w:sz w:val="24"/>
                <w:szCs w:val="22"/>
              </w:rPr>
              <w:t>开展</w:t>
            </w:r>
            <w:r>
              <w:rPr>
                <w:rFonts w:hint="eastAsia" w:ascii="仿宋_GB2312" w:hAnsi="宋体" w:eastAsia="仿宋_GB2312"/>
                <w:b/>
                <w:sz w:val="24"/>
                <w:szCs w:val="22"/>
              </w:rPr>
              <w:t>委婉语违规内容检测研究</w:t>
            </w:r>
            <w:r>
              <w:rPr>
                <w:rFonts w:hint="eastAsia" w:ascii="仿宋_GB2312" w:hAnsi="宋体" w:eastAsia="仿宋_GB2312"/>
                <w:sz w:val="24"/>
                <w:szCs w:val="22"/>
              </w:rPr>
              <w:t>，</w:t>
            </w:r>
            <w:r>
              <w:rPr>
                <w:rFonts w:ascii="仿宋_GB2312" w:hAnsi="宋体" w:eastAsia="仿宋_GB2312"/>
                <w:sz w:val="24"/>
                <w:szCs w:val="22"/>
              </w:rPr>
              <w:t>构建</w:t>
            </w:r>
            <w:r>
              <w:rPr>
                <w:rFonts w:hint="eastAsia" w:ascii="仿宋_GB2312" w:hAnsi="宋体" w:eastAsia="仿宋_GB2312"/>
                <w:sz w:val="24"/>
                <w:szCs w:val="22"/>
              </w:rPr>
              <w:t>和训练</w:t>
            </w:r>
            <w:r>
              <w:rPr>
                <w:rFonts w:ascii="仿宋_GB2312" w:hAnsi="宋体" w:eastAsia="仿宋_GB2312"/>
                <w:sz w:val="24"/>
                <w:szCs w:val="22"/>
              </w:rPr>
              <w:t>基于</w:t>
            </w:r>
            <w:r>
              <w:rPr>
                <w:rFonts w:hint="eastAsia" w:ascii="仿宋_GB2312" w:hAnsi="宋体" w:eastAsia="仿宋_GB2312"/>
                <w:b/>
                <w:sz w:val="24"/>
                <w:szCs w:val="22"/>
              </w:rPr>
              <w:t>多模态数据处理技术对于文字、图片、音频</w:t>
            </w:r>
            <w:r>
              <w:rPr>
                <w:rFonts w:hint="eastAsia" w:ascii="仿宋_GB2312" w:hAnsi="宋体" w:eastAsia="仿宋_GB2312"/>
                <w:sz w:val="24"/>
                <w:szCs w:val="22"/>
              </w:rPr>
              <w:t>的</w:t>
            </w:r>
            <w:r>
              <w:rPr>
                <w:rFonts w:ascii="仿宋_GB2312" w:hAnsi="宋体" w:eastAsia="仿宋_GB2312"/>
                <w:sz w:val="24"/>
                <w:szCs w:val="22"/>
              </w:rPr>
              <w:t>多维</w:t>
            </w:r>
            <w:r>
              <w:rPr>
                <w:rFonts w:hint="eastAsia" w:ascii="仿宋_GB2312" w:hAnsi="宋体" w:eastAsia="仿宋_GB2312"/>
                <w:sz w:val="24"/>
                <w:szCs w:val="22"/>
              </w:rPr>
              <w:t>违规委婉语检测技术模型；</w:t>
            </w:r>
          </w:p>
          <w:p w14:paraId="753BAC72">
            <w:pPr>
              <w:spacing w:line="360" w:lineRule="auto"/>
              <w:ind w:firstLine="480" w:firstLineChars="200"/>
              <w:rPr>
                <w:rFonts w:hint="eastAsia" w:ascii="楷体" w:hAnsi="楷体" w:eastAsia="仿宋_GB2312" w:cs="楷体_GB2312"/>
                <w:b/>
                <w:bCs/>
                <w:color w:val="0070C0"/>
                <w:sz w:val="28"/>
                <w:szCs w:val="28"/>
              </w:rPr>
            </w:pPr>
            <w:r>
              <w:rPr>
                <w:rFonts w:ascii="仿宋_GB2312" w:hAnsi="宋体" w:eastAsia="仿宋_GB2312"/>
                <w:bCs/>
                <w:sz w:val="24"/>
                <w:szCs w:val="22"/>
              </w:rPr>
              <w:t>2.“</w:t>
            </w:r>
            <w:r>
              <w:rPr>
                <w:rFonts w:hint="eastAsia" w:ascii="仿宋_GB2312" w:hAnsi="宋体" w:eastAsia="仿宋_GB2312"/>
                <w:bCs/>
                <w:sz w:val="24"/>
                <w:szCs w:val="22"/>
              </w:rPr>
              <w:t>三</w:t>
            </w:r>
            <w:r>
              <w:rPr>
                <w:rFonts w:ascii="仿宋_GB2312" w:hAnsi="宋体" w:eastAsia="仿宋_GB2312"/>
                <w:b/>
                <w:sz w:val="24"/>
                <w:szCs w:val="22"/>
              </w:rPr>
              <w:t>模型协同</w:t>
            </w:r>
            <w:r>
              <w:rPr>
                <w:rFonts w:ascii="仿宋_GB2312" w:hAnsi="宋体" w:eastAsia="仿宋_GB2312"/>
                <w:bCs/>
                <w:sz w:val="24"/>
                <w:szCs w:val="22"/>
              </w:rPr>
              <w:t>” 的多模态数据处理与标注方案，</w:t>
            </w:r>
            <w:r>
              <w:rPr>
                <w:rFonts w:ascii="仿宋_GB2312" w:hAnsi="宋体" w:eastAsia="仿宋_GB2312"/>
                <w:b/>
                <w:sz w:val="24"/>
                <w:szCs w:val="22"/>
              </w:rPr>
              <w:t>突破传统单模态局限</w:t>
            </w:r>
            <w:r>
              <w:rPr>
                <w:rFonts w:ascii="仿宋_GB2312" w:hAnsi="宋体" w:eastAsia="仿宋_GB2312"/>
                <w:bCs/>
                <w:sz w:val="24"/>
                <w:szCs w:val="22"/>
              </w:rPr>
              <w:t>，实现</w:t>
            </w:r>
            <w:r>
              <w:rPr>
                <w:rFonts w:hint="eastAsia" w:ascii="仿宋_GB2312" w:hAnsi="宋体" w:eastAsia="仿宋_GB2312"/>
                <w:bCs/>
                <w:sz w:val="24"/>
                <w:szCs w:val="22"/>
              </w:rPr>
              <w:t>更加准确</w:t>
            </w:r>
            <w:r>
              <w:rPr>
                <w:rFonts w:ascii="仿宋_GB2312" w:hAnsi="宋体" w:eastAsia="仿宋_GB2312"/>
                <w:bCs/>
                <w:sz w:val="24"/>
                <w:szCs w:val="22"/>
              </w:rPr>
              <w:t>的检测</w:t>
            </w:r>
            <w:r>
              <w:rPr>
                <w:rFonts w:hint="eastAsia" w:ascii="仿宋_GB2312" w:hAnsi="宋体" w:eastAsia="仿宋_GB2312"/>
                <w:bCs/>
                <w:sz w:val="24"/>
                <w:szCs w:val="22"/>
              </w:rPr>
              <w:t>。</w:t>
            </w:r>
          </w:p>
        </w:tc>
      </w:tr>
    </w:tbl>
    <w:p w14:paraId="7BBF9FD3">
      <w:pPr>
        <w:snapToGrid w:val="0"/>
        <w:spacing w:after="156" w:afterLines="50" w:line="440" w:lineRule="exact"/>
        <w:rPr>
          <w:rFonts w:hint="eastAsia" w:ascii="楷体" w:hAnsi="楷体" w:eastAsia="楷体" w:cs="楷体_GB2312"/>
          <w:b/>
          <w:bCs/>
          <w:sz w:val="44"/>
          <w:szCs w:val="44"/>
        </w:rPr>
      </w:pPr>
    </w:p>
    <w:p w14:paraId="11554617">
      <w:pPr>
        <w:snapToGrid w:val="0"/>
        <w:spacing w:after="156" w:afterLines="50" w:line="440" w:lineRule="exact"/>
        <w:jc w:val="center"/>
        <w:rPr>
          <w:rFonts w:hint="eastAsia" w:ascii="楷体" w:hAnsi="楷体" w:eastAsia="楷体" w:cs="楷体_GB2312"/>
          <w:b/>
          <w:bCs/>
          <w:sz w:val="44"/>
          <w:szCs w:val="44"/>
        </w:rPr>
      </w:pPr>
      <w:r>
        <w:rPr>
          <w:rFonts w:hint="eastAsia" w:ascii="楷体" w:hAnsi="楷体" w:eastAsia="楷体" w:cs="楷体_GB2312"/>
          <w:b/>
          <w:bCs/>
          <w:sz w:val="44"/>
          <w:szCs w:val="44"/>
        </w:rPr>
        <w:t>报告正文</w:t>
      </w:r>
    </w:p>
    <w:tbl>
      <w:tblPr>
        <w:tblStyle w:val="13"/>
        <w:tblW w:w="0" w:type="auto"/>
        <w:tblInd w:w="0" w:type="dxa"/>
        <w:tblLayout w:type="autofit"/>
        <w:tblCellMar>
          <w:top w:w="0" w:type="dxa"/>
          <w:left w:w="0" w:type="dxa"/>
          <w:bottom w:w="0" w:type="dxa"/>
          <w:right w:w="0" w:type="dxa"/>
        </w:tblCellMar>
      </w:tblPr>
      <w:tblGrid>
        <w:gridCol w:w="8336"/>
      </w:tblGrid>
      <w:tr w14:paraId="0FAAE821">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7D875946">
            <w:pPr>
              <w:pStyle w:val="21"/>
              <w:numPr>
                <w:ilvl w:val="0"/>
                <w:numId w:val="1"/>
              </w:numPr>
              <w:snapToGrid w:val="0"/>
              <w:spacing w:line="440" w:lineRule="exact"/>
              <w:ind w:firstLineChars="0"/>
              <w:rPr>
                <w:rFonts w:hint="eastAsia" w:ascii="楷体" w:hAnsi="楷体" w:eastAsia="楷体" w:cs="楷体_GB2312"/>
                <w:sz w:val="28"/>
                <w:szCs w:val="28"/>
              </w:rPr>
            </w:pPr>
            <w:bookmarkStart w:id="2" w:name="_Hlk149639061"/>
            <w:r>
              <w:rPr>
                <w:rFonts w:hint="eastAsia" w:ascii="楷体" w:hAnsi="楷体" w:eastAsia="楷体" w:cs="楷体_GB2312"/>
                <w:b/>
                <w:bCs/>
                <w:sz w:val="28"/>
                <w:szCs w:val="28"/>
              </w:rPr>
              <w:t>立项依据与研究内容</w:t>
            </w:r>
            <w:r>
              <w:rPr>
                <w:rFonts w:hint="eastAsia" w:ascii="楷体" w:hAnsi="楷体" w:eastAsia="楷体" w:cs="楷体_GB2312"/>
                <w:sz w:val="28"/>
                <w:szCs w:val="28"/>
              </w:rPr>
              <w:t>（</w:t>
            </w:r>
            <w:r>
              <w:rPr>
                <w:rFonts w:hint="eastAsia" w:ascii="楷体" w:hAnsi="楷体" w:eastAsia="楷体" w:cs="楷体_GB2312"/>
                <w:b/>
                <w:bCs/>
                <w:sz w:val="28"/>
                <w:szCs w:val="28"/>
              </w:rPr>
              <w:t>建议</w:t>
            </w:r>
            <w:r>
              <w:rPr>
                <w:rFonts w:ascii="楷体" w:hAnsi="楷体" w:eastAsia="楷体" w:cs="楷体_GB2312"/>
                <w:b/>
                <w:bCs/>
                <w:sz w:val="28"/>
                <w:szCs w:val="28"/>
              </w:rPr>
              <w:t>8000</w:t>
            </w:r>
            <w:r>
              <w:rPr>
                <w:rFonts w:hint="eastAsia" w:ascii="楷体" w:hAnsi="楷体" w:eastAsia="楷体" w:cs="楷体_GB2312"/>
                <w:b/>
                <w:bCs/>
                <w:sz w:val="28"/>
                <w:szCs w:val="28"/>
              </w:rPr>
              <w:t>字以下</w:t>
            </w:r>
            <w:r>
              <w:rPr>
                <w:rFonts w:hint="eastAsia" w:ascii="楷体" w:hAnsi="楷体" w:eastAsia="楷体" w:cs="楷体_GB2312"/>
                <w:bCs/>
                <w:sz w:val="22"/>
                <w:szCs w:val="28"/>
              </w:rPr>
              <w:t>（不包括文献）</w:t>
            </w:r>
            <w:r>
              <w:rPr>
                <w:rFonts w:hint="eastAsia" w:ascii="楷体" w:hAnsi="楷体" w:eastAsia="楷体" w:cs="楷体_GB2312"/>
                <w:sz w:val="28"/>
                <w:szCs w:val="28"/>
              </w:rPr>
              <w:t>）</w:t>
            </w:r>
            <w:bookmarkEnd w:id="2"/>
          </w:p>
        </w:tc>
      </w:tr>
      <w:tr w14:paraId="06450FED">
        <w:tblPrEx>
          <w:tblCellMar>
            <w:top w:w="0" w:type="dxa"/>
            <w:left w:w="0" w:type="dxa"/>
            <w:bottom w:w="0" w:type="dxa"/>
            <w:right w:w="0" w:type="dxa"/>
          </w:tblCellMar>
        </w:tblPrEx>
        <w:trPr>
          <w:trHeight w:val="2835" w:hRule="atLeast"/>
        </w:trPr>
        <w:tc>
          <w:tcPr>
            <w:tcW w:w="8336" w:type="dxa"/>
            <w:tcBorders>
              <w:bottom w:val="single" w:color="auto" w:sz="4" w:space="0"/>
            </w:tcBorders>
            <w:tcMar>
              <w:top w:w="15" w:type="dxa"/>
              <w:left w:w="15" w:type="dxa"/>
              <w:bottom w:w="0" w:type="dxa"/>
              <w:right w:w="15" w:type="dxa"/>
            </w:tcMar>
            <w:vAlign w:val="center"/>
          </w:tcPr>
          <w:p w14:paraId="6B57035B">
            <w:pPr>
              <w:snapToGrid w:val="0"/>
              <w:spacing w:line="440" w:lineRule="exact"/>
              <w:rPr>
                <w:rFonts w:hint="eastAsia" w:ascii="楷体" w:hAnsi="楷体" w:eastAsia="楷体" w:cs="楷体_GB2312"/>
                <w:color w:val="0070C0"/>
                <w:sz w:val="28"/>
                <w:szCs w:val="28"/>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bCs/>
                <w:sz w:val="28"/>
                <w:szCs w:val="28"/>
              </w:rPr>
              <w:t>项目的立项依据</w:t>
            </w:r>
            <w:r>
              <w:rPr>
                <w:rFonts w:hint="eastAsia" w:ascii="楷体" w:hAnsi="楷体" w:eastAsia="楷体" w:cs="楷体_GB2312"/>
                <w:sz w:val="28"/>
                <w:szCs w:val="28"/>
              </w:rPr>
              <w:t>（【理工医科】研究意义、国内外研究现状及发展动态分析，需结合科学研究发展趋势来论述科学意义；或结合国民经济和社会发展中迫切需要解决的关键科技问题来论述其应用前景。附主要参考文献目录【哲学社会学科】国内外相关研究的学术史梳理及研究动态;本课题相对于已有研究的独到学术价值和应用价值等。附主要参考文献目录）</w:t>
            </w:r>
          </w:p>
        </w:tc>
      </w:tr>
      <w:tr w14:paraId="4776209D">
        <w:tblPrEx>
          <w:tblCellMar>
            <w:top w:w="0" w:type="dxa"/>
            <w:left w:w="0" w:type="dxa"/>
            <w:bottom w:w="0" w:type="dxa"/>
            <w:right w:w="0" w:type="dxa"/>
          </w:tblCellMar>
        </w:tblPrEx>
        <w:trPr>
          <w:trHeight w:val="13297"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3F5DE49A">
            <w:pPr>
              <w:adjustRightInd w:val="0"/>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1.1研究背景</w:t>
            </w:r>
          </w:p>
          <w:p w14:paraId="7DA1BA79">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1.1.1背景综述</w:t>
            </w:r>
          </w:p>
          <w:p w14:paraId="56D8C210">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在人工智能技术与互联网应用深度融合的当下，以生成式 AI 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与此同时，生成式 AI 技术的低门槛化与多模态内容的隐蔽性特征，为“委婉有害内容”的滋生与传播提供了温床。不同于传统直白的有害信息，委婉有害内容通过语义替换、符号隐喻、多模态转译等手段，规避现有审核机制的检测，呈现出“形式合规化、含义隐蔽化、传播扩散化”的新特征：在文本层面，利用谐音、拼音缩写、语义联想等方式，将侮辱性、攻击性含义包裹在日常化表述中；在图像层面，通过“文本 - 图像转译”策略，先将敏感词汇谐音化或隐喻化，再以该表述作为提示词驱动生成式 AI生成看似无害的图像，实现有害含义的视觉化隐藏；在音频与视频层面，谐音辱骂、节奏变形、画面隐喻等手段普遍存在，甚至出现“多模态协同规避”现象 —— 例如视频中画面展示隐喻图像、音频使用谐音话术、字幕嵌入语义替换文本，形成跨模态的有害信息传播闭环</w:t>
            </w:r>
            <w:r>
              <w:rPr>
                <w:rFonts w:hint="eastAsia" w:ascii="仿宋_GB2312" w:hAnsi="仿宋" w:eastAsia="仿宋_GB2312" w:cs="仿宋"/>
                <w:sz w:val="24"/>
              </w:rPr>
              <w:t>。</w:t>
            </w:r>
          </w:p>
          <w:p w14:paraId="53BF051F">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 AI 技术在网络空间治理领域合规应用、服务国家级网络安全保障体系建设的重要举措。</w:t>
            </w:r>
          </w:p>
          <w:p w14:paraId="274ED82A">
            <w:pPr>
              <w:spacing w:before="260" w:after="260" w:line="360" w:lineRule="auto"/>
              <w:ind w:firstLine="482" w:firstLineChars="200"/>
              <w:rPr>
                <w:rFonts w:eastAsia="仿宋_GB2312"/>
                <w:b/>
                <w:bCs/>
                <w:color w:val="000000" w:themeColor="text1"/>
                <w:sz w:val="24"/>
                <w:highlight w:val="yellow"/>
                <w14:textFill>
                  <w14:solidFill>
                    <w14:schemeClr w14:val="tx1"/>
                  </w14:solidFill>
                </w14:textFill>
              </w:rPr>
            </w:pPr>
            <w:r>
              <w:rPr>
                <w:rFonts w:eastAsia="仿宋_GB2312"/>
                <w:b/>
                <w:bCs/>
                <w:color w:val="000000" w:themeColor="text1"/>
                <w:sz w:val="24"/>
                <w14:textFill>
                  <w14:solidFill>
                    <w14:schemeClr w14:val="tx1"/>
                  </w14:solidFill>
                </w14:textFill>
              </w:rPr>
              <w:t>1.1.2</w:t>
            </w:r>
            <w:r>
              <w:rPr>
                <w:rFonts w:eastAsia="仿宋_GB2312"/>
                <w:b/>
                <w:bCs/>
                <w:color w:val="000000" w:themeColor="text1"/>
                <w:sz w:val="24"/>
                <w:highlight w:val="yellow"/>
                <w14:textFill>
                  <w14:solidFill>
                    <w14:schemeClr w14:val="tx1"/>
                  </w14:solidFill>
                </w14:textFill>
              </w:rPr>
              <w:t>存在问题</w:t>
            </w:r>
          </w:p>
          <w:p w14:paraId="654DAEF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近年来，</w:t>
            </w:r>
            <w:r>
              <w:rPr>
                <w:rFonts w:hint="eastAsia" w:eastAsia="仿宋_GB2312"/>
                <w:color w:val="000000" w:themeColor="text1"/>
                <w:sz w:val="24"/>
                <w14:textFill>
                  <w14:solidFill>
                    <w14:schemeClr w14:val="tx1"/>
                  </w14:solidFill>
                </w14:textFill>
              </w:rPr>
              <w:t>违规内容多以委婉语的形式出现以逃避平台捕捉</w:t>
            </w:r>
            <w:r>
              <w:rPr>
                <w:rFonts w:eastAsia="仿宋_GB2312"/>
                <w:color w:val="000000" w:themeColor="text1"/>
                <w:sz w:val="24"/>
                <w14:textFill>
                  <w14:solidFill>
                    <w14:schemeClr w14:val="tx1"/>
                  </w14:solidFill>
                </w14:textFill>
              </w:rPr>
              <w:t>，尤其是在各种社交</w:t>
            </w:r>
            <w:r>
              <w:rPr>
                <w:rFonts w:hint="eastAsia" w:eastAsia="仿宋_GB2312"/>
                <w:color w:val="000000" w:themeColor="text1"/>
                <w:sz w:val="24"/>
                <w14:textFill>
                  <w14:solidFill>
                    <w14:schemeClr w14:val="tx1"/>
                  </w14:solidFill>
                </w14:textFill>
              </w:rPr>
              <w:t>平台上</w:t>
            </w:r>
            <w:r>
              <w:rPr>
                <w:rFonts w:eastAsia="仿宋_GB2312"/>
                <w:color w:val="000000" w:themeColor="text1"/>
                <w:sz w:val="24"/>
                <w14:textFill>
                  <w14:solidFill>
                    <w14:schemeClr w14:val="tx1"/>
                  </w14:solidFill>
                </w14:textFill>
              </w:rPr>
              <w:t>，如</w:t>
            </w:r>
            <w:r>
              <w:rPr>
                <w:rFonts w:hint="eastAsia" w:eastAsia="仿宋_GB2312"/>
                <w:color w:val="000000" w:themeColor="text1"/>
                <w:sz w:val="24"/>
                <w14:textFill>
                  <w14:solidFill>
                    <w14:schemeClr w14:val="tx1"/>
                  </w14:solidFill>
                </w14:textFill>
              </w:rPr>
              <w:t>抖音、微博、小红书等社交</w:t>
            </w:r>
            <w:r>
              <w:rPr>
                <w:rFonts w:eastAsia="仿宋_GB2312"/>
                <w:color w:val="000000" w:themeColor="text1"/>
                <w:sz w:val="24"/>
                <w14:textFill>
                  <w14:solidFill>
                    <w14:schemeClr w14:val="tx1"/>
                  </w14:solidFill>
                </w14:textFill>
              </w:rPr>
              <w:t>应用。这种</w:t>
            </w:r>
            <w:r>
              <w:rPr>
                <w:rFonts w:hint="eastAsia" w:eastAsia="仿宋_GB2312"/>
                <w:color w:val="000000" w:themeColor="text1"/>
                <w:sz w:val="24"/>
                <w14:textFill>
                  <w14:solidFill>
                    <w14:schemeClr w14:val="tx1"/>
                  </w14:solidFill>
                </w14:textFill>
              </w:rPr>
              <w:t>违规委婉语的出现形式</w:t>
            </w:r>
            <w:r>
              <w:rPr>
                <w:rFonts w:eastAsia="仿宋_GB2312"/>
                <w:color w:val="000000" w:themeColor="text1"/>
                <w:sz w:val="24"/>
                <w14:textFill>
                  <w14:solidFill>
                    <w14:schemeClr w14:val="tx1"/>
                  </w14:solidFill>
                </w14:textFill>
              </w:rPr>
              <w:t>多样，通常利用</w:t>
            </w:r>
            <w:r>
              <w:rPr>
                <w:rFonts w:hint="eastAsia" w:eastAsia="仿宋_GB2312"/>
                <w:color w:val="000000" w:themeColor="text1"/>
                <w:sz w:val="24"/>
                <w14:textFill>
                  <w14:solidFill>
                    <w14:schemeClr w14:val="tx1"/>
                  </w14:solidFill>
                </w14:textFill>
              </w:rPr>
              <w:t>文字的语言歧义、文字中穿插大量乱码或者带有侮辱信息的图片来传达违规内容</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导致应用平台内社交矛盾激化</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不利于营造清朗的网络环境</w:t>
            </w:r>
            <w:r>
              <w:rPr>
                <w:rFonts w:eastAsia="仿宋_GB2312"/>
                <w:color w:val="000000" w:themeColor="text1"/>
                <w:sz w:val="24"/>
                <w14:textFill>
                  <w14:solidFill>
                    <w14:schemeClr w14:val="tx1"/>
                  </w14:solidFill>
                </w14:textFill>
              </w:rPr>
              <w:t>。</w:t>
            </w:r>
          </w:p>
          <w:p w14:paraId="1F1926C8">
            <w:pPr>
              <w:spacing w:before="260" w:after="260" w:line="360" w:lineRule="auto"/>
              <w:ind w:left="-3" w:leftChars="-6" w:hanging="10" w:hangingChars="5"/>
              <w:jc w:val="center"/>
              <w:rPr>
                <w:rFonts w:eastAsia="仿宋_GB2312"/>
                <w:color w:val="000000" w:themeColor="text1"/>
                <w:sz w:val="24"/>
                <w14:textFill>
                  <w14:solidFill>
                    <w14:schemeClr w14:val="tx1"/>
                  </w14:solidFill>
                </w14:textFill>
              </w:rPr>
            </w:pPr>
            <w:r>
              <w:drawing>
                <wp:inline distT="0" distB="0" distL="0" distR="0">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drawing>
                <wp:inline distT="0" distB="0" distL="0" distR="0">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pPr>
              <w:spacing w:before="260" w:after="260" w:line="360" w:lineRule="auto"/>
              <w:ind w:leftChars="-6" w:hanging="12" w:hangingChars="6"/>
              <w:jc w:val="center"/>
              <w:rPr>
                <w:rFonts w:eastAsia="黑体"/>
                <w:color w:val="000000" w:themeColor="text1"/>
                <w:szCs w:val="21"/>
                <w14:textFill>
                  <w14:solidFill>
                    <w14:schemeClr w14:val="tx1"/>
                  </w14:solidFill>
                </w14:textFill>
              </w:rPr>
            </w:pPr>
            <w:r>
              <w:rPr>
                <w:rFonts w:eastAsia="黑体"/>
                <w:color w:val="000000" w:themeColor="text1"/>
                <w:szCs w:val="21"/>
                <w14:textFill>
                  <w14:solidFill>
                    <w14:schemeClr w14:val="tx1"/>
                  </w14:solidFill>
                </w14:textFill>
              </w:rPr>
              <w:t>图1-</w:t>
            </w:r>
            <w:r>
              <w:rPr>
                <w:rFonts w:hint="eastAsia" w:eastAsia="黑体"/>
                <w:color w:val="000000" w:themeColor="text1"/>
                <w:szCs w:val="21"/>
                <w14:textFill>
                  <w14:solidFill>
                    <w14:schemeClr w14:val="tx1"/>
                  </w14:solidFill>
                </w14:textFill>
              </w:rPr>
              <w:t>2</w:t>
            </w:r>
            <w:r>
              <w:rPr>
                <w:rFonts w:eastAsia="黑体"/>
                <w:color w:val="000000" w:themeColor="text1"/>
                <w:szCs w:val="21"/>
                <w14:textFill>
                  <w14:solidFill>
                    <w14:schemeClr w14:val="tx1"/>
                  </w14:solidFill>
                </w14:textFill>
              </w:rPr>
              <w:t xml:space="preserve"> </w:t>
            </w:r>
            <w:r>
              <w:rPr>
                <w:rFonts w:hint="eastAsia" w:eastAsia="黑体"/>
                <w:color w:val="000000" w:themeColor="text1"/>
                <w:szCs w:val="21"/>
                <w14:textFill>
                  <w14:solidFill>
                    <w14:schemeClr w14:val="tx1"/>
                  </w14:solidFill>
                </w14:textFill>
              </w:rPr>
              <w:t>利用文字与图片在抖音私信发表违规内容</w:t>
            </w:r>
          </w:p>
          <w:p w14:paraId="36D2421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进行</w:t>
            </w:r>
            <w:r>
              <w:rPr>
                <w:rFonts w:hint="eastAsia" w:eastAsia="仿宋_GB2312"/>
                <w:color w:val="000000" w:themeColor="text1"/>
                <w:sz w:val="24"/>
                <w14:textFill>
                  <w14:solidFill>
                    <w14:schemeClr w14:val="tx1"/>
                  </w14:solidFill>
                </w14:textFill>
              </w:rPr>
              <w:t>多模态违规委婉语</w:t>
            </w:r>
            <w:r>
              <w:rPr>
                <w:rFonts w:eastAsia="仿宋_GB2312"/>
                <w:color w:val="000000" w:themeColor="text1"/>
                <w:sz w:val="24"/>
                <w14:textFill>
                  <w14:solidFill>
                    <w14:schemeClr w14:val="tx1"/>
                  </w14:solidFill>
                </w14:textFill>
              </w:rPr>
              <w:t>检测主要涉及以下技术难题：</w:t>
            </w:r>
          </w:p>
          <w:p w14:paraId="2C9A09F2">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动态演变特征导致检测滞后</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跨模态语义融合与对齐难题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违规内容常将文字委婉语与图片、表情包、视频片段等非文本信息结合，单一模态的语义解读无法完整还原违规意图，跨模态信息的融合对齐成为关键障碍。语义碎片化分布：违规信息可能拆分在不同模态中，例如文字用</w:t>
            </w:r>
            <w:commentRangeStart w:id="0"/>
            <w:r>
              <w:rPr>
                <w:rFonts w:eastAsia="仿宋_GB2312"/>
                <w:color w:val="000000" w:themeColor="text1"/>
                <w:sz w:val="24"/>
                <w14:textFill>
                  <w14:solidFill>
                    <w14:schemeClr w14:val="tx1"/>
                  </w14:solidFill>
                </w14:textFill>
              </w:rPr>
              <w:t xml:space="preserve"> “懂得都懂” 配合一张带有侮辱性元素的表情包，文字本身无违规性，需结合图像语义才能判断，而不同模态的语义关联缺乏明确规律。模态间语义冲突与补充：部分场景下，图像与文字语义存在矛盾或补充，例如文字描述 “可爱的小天使”，搭配的却是丑化、歧视特定群体的图片，系统需区分这种 “正话反说” 的跨模态讽刺，难度极大。</w:t>
            </w:r>
            <w:commentRangeEnd w:id="0"/>
            <w:r>
              <w:commentReference w:id="0"/>
            </w:r>
          </w:p>
          <w:p w14:paraId="7629B48E">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对抗性规避手段的动态升级</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为逃避检测，违规内容发布者会主动研究平台检测规则，不断升级规避手段，形成 “检测 - 规避 - 再检测” 的对抗循环，使检测系统难以应对。文字层面的对抗变异：除了基础的谐音、拆分，还会通过生僻字替换（如用 “砼” 替代 “同” 组成侮辱性词汇）、拼音首字母 + 特殊符号组合、方言谐音转写（用方言发音的文字替代违规词汇）等方式规避文字检测。多模态联合对抗：将违规信息隐藏在多模态内容的细节中，</w:t>
            </w:r>
            <w:commentRangeStart w:id="1"/>
            <w:r>
              <w:rPr>
                <w:rFonts w:eastAsia="仿宋_GB2312"/>
                <w:color w:val="000000" w:themeColor="text1"/>
                <w:sz w:val="24"/>
                <w14:textFill>
                  <w14:solidFill>
                    <w14:schemeClr w14:val="tx1"/>
                  </w14:solidFill>
                </w14:textFill>
              </w:rPr>
              <w:t>例如在视频背景角落嵌入微小的侮辱性文字图片、用特定节奏的音乐配合模糊的文字暗示违规内容，或通过 “图文错位”（文字描述 A，图片细节隐含 B 类违规信息）的方式降低检测概率。</w:t>
            </w:r>
            <w:commentRangeEnd w:id="1"/>
            <w:r>
              <w:commentReference w:id="1"/>
            </w:r>
          </w:p>
          <w:p w14:paraId="35FFA158">
            <w:pPr>
              <w:spacing w:before="260" w:after="260" w:line="360" w:lineRule="auto"/>
              <w:ind w:firstLine="480" w:firstLineChars="200"/>
              <w:rPr>
                <w:rFonts w:eastAsia="仿宋_GB2312"/>
                <w:color w:val="000000" w:themeColor="text1"/>
                <w:sz w:val="28"/>
                <w:szCs w:val="28"/>
                <w14:textFill>
                  <w14:solidFill>
                    <w14:schemeClr w14:val="tx1"/>
                  </w14:solidFill>
                </w14:textFill>
              </w:rPr>
            </w:pPr>
            <w:r>
              <w:rPr>
                <w:rFonts w:eastAsia="仿宋_GB2312"/>
                <w:color w:val="000000" w:themeColor="text1"/>
                <w:sz w:val="24"/>
                <w14:textFill>
                  <w14:solidFill>
                    <w14:schemeClr w14:val="tx1"/>
                  </w14:solidFill>
                </w14:textFill>
              </w:rPr>
              <w:t>随着</w:t>
            </w:r>
            <w:r>
              <w:rPr>
                <w:rFonts w:hint="eastAsia" w:eastAsia="仿宋_GB2312"/>
                <w:color w:val="000000" w:themeColor="text1"/>
                <w:sz w:val="24"/>
                <w14:textFill>
                  <w14:solidFill>
                    <w14:schemeClr w14:val="tx1"/>
                  </w14:solidFill>
                </w14:textFill>
              </w:rPr>
              <w:t>人们聊天模式的不断迭代</w:t>
            </w:r>
            <w:r>
              <w:rPr>
                <w:rFonts w:eastAsia="仿宋_GB2312"/>
                <w:color w:val="000000" w:themeColor="text1"/>
                <w:sz w:val="24"/>
                <w14:textFill>
                  <w14:solidFill>
                    <w14:schemeClr w14:val="tx1"/>
                  </w14:solidFill>
                </w14:textFill>
              </w:rPr>
              <w:t>，传统的</w:t>
            </w:r>
            <w:r>
              <w:rPr>
                <w:rFonts w:hint="eastAsia" w:eastAsia="仿宋_GB2312"/>
                <w:color w:val="000000" w:themeColor="text1"/>
                <w:sz w:val="24"/>
                <w14:textFill>
                  <w14:solidFill>
                    <w14:schemeClr w14:val="tx1"/>
                  </w14:solidFill>
                </w14:textFill>
              </w:rPr>
              <w:t>平台审核模式</w:t>
            </w:r>
            <w:r>
              <w:rPr>
                <w:rFonts w:eastAsia="仿宋_GB2312"/>
                <w:color w:val="000000" w:themeColor="text1"/>
                <w:sz w:val="24"/>
                <w14:textFill>
                  <w14:solidFill>
                    <w14:schemeClr w14:val="tx1"/>
                  </w14:solidFill>
                </w14:textFill>
              </w:rPr>
              <w:t>已不足以应对这些新兴的威胁。未来的研究应聚焦于提升</w:t>
            </w:r>
            <w:r>
              <w:rPr>
                <w:rFonts w:hint="eastAsia" w:eastAsia="仿宋_GB2312"/>
                <w:color w:val="000000" w:themeColor="text1"/>
                <w:sz w:val="24"/>
                <w14:textFill>
                  <w14:solidFill>
                    <w14:schemeClr w14:val="tx1"/>
                  </w14:solidFill>
                </w14:textFill>
              </w:rPr>
              <w:t>违规委婉语内容</w:t>
            </w:r>
            <w:r>
              <w:rPr>
                <w:rFonts w:eastAsia="仿宋_GB2312"/>
                <w:color w:val="000000" w:themeColor="text1"/>
                <w:sz w:val="24"/>
                <w14:textFill>
                  <w14:solidFill>
                    <w14:schemeClr w14:val="tx1"/>
                  </w14:solidFill>
                </w14:textFill>
              </w:rPr>
              <w:t>检测</w:t>
            </w:r>
            <w:r>
              <w:rPr>
                <w:rFonts w:hint="eastAsia" w:eastAsia="仿宋_GB2312"/>
                <w:color w:val="000000" w:themeColor="text1"/>
                <w:sz w:val="24"/>
                <w14:textFill>
                  <w14:solidFill>
                    <w14:schemeClr w14:val="tx1"/>
                  </w14:solidFill>
                </w14:textFill>
              </w:rPr>
              <w:t>的</w:t>
            </w:r>
            <w:r>
              <w:rPr>
                <w:rFonts w:eastAsia="仿宋_GB2312"/>
                <w:color w:val="000000" w:themeColor="text1"/>
                <w:sz w:val="24"/>
                <w14:textFill>
                  <w14:solidFill>
                    <w14:schemeClr w14:val="tx1"/>
                  </w14:solidFill>
                </w14:textFill>
              </w:rPr>
              <w:t>准确性和实时性，并通过多模态融合</w:t>
            </w:r>
            <w:r>
              <w:rPr>
                <w:rFonts w:hint="eastAsia" w:eastAsia="仿宋_GB2312"/>
                <w:color w:val="000000" w:themeColor="text1"/>
                <w:sz w:val="24"/>
                <w14:textFill>
                  <w14:solidFill>
                    <w14:schemeClr w14:val="tx1"/>
                  </w14:solidFill>
                </w14:textFill>
              </w:rPr>
              <w:t>、并借助大模型，</w:t>
            </w:r>
            <w:r>
              <w:rPr>
                <w:rFonts w:eastAsia="仿宋_GB2312"/>
                <w:color w:val="000000" w:themeColor="text1"/>
                <w:sz w:val="24"/>
                <w14:textFill>
                  <w14:solidFill>
                    <w14:schemeClr w14:val="tx1"/>
                  </w14:solidFill>
                </w14:textFill>
              </w:rPr>
              <w:t>从而</w:t>
            </w:r>
            <w:r>
              <w:rPr>
                <w:rFonts w:hint="eastAsia" w:eastAsia="仿宋_GB2312"/>
                <w:color w:val="000000" w:themeColor="text1"/>
                <w:sz w:val="24"/>
                <w14:textFill>
                  <w14:solidFill>
                    <w14:schemeClr w14:val="tx1"/>
                  </w14:solidFill>
                </w14:textFill>
              </w:rPr>
              <w:t>营造清朗的网络环境</w:t>
            </w:r>
            <w:r>
              <w:rPr>
                <w:rFonts w:eastAsia="仿宋_GB2312"/>
                <w:color w:val="000000" w:themeColor="text1"/>
                <w:sz w:val="24"/>
                <w14:textFill>
                  <w14:solidFill>
                    <w14:schemeClr w14:val="tx1"/>
                  </w14:solidFill>
                </w14:textFill>
              </w:rPr>
              <w:t>。</w:t>
            </w:r>
          </w:p>
          <w:p w14:paraId="6D621AB6">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1.2研究意义</w:t>
            </w:r>
          </w:p>
          <w:p w14:paraId="5943003D">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1.2.1学习意义</w:t>
            </w:r>
          </w:p>
          <w:p w14:paraId="3082F06C">
            <w:pPr>
              <w:spacing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本项目组成员通过此次项目实践，可以拓展在计算机领域内的知识范围，很大程度提高了个人综合能力水平：</w:t>
            </w:r>
          </w:p>
          <w:p w14:paraId="438C35DE">
            <w:pPr>
              <w:spacing w:line="360" w:lineRule="auto"/>
              <w:ind w:firstLine="480" w:firstLineChars="200"/>
              <w:rPr>
                <w:rFonts w:hint="eastAsia" w:ascii="仿宋_GB2312" w:hAnsi="仿宋" w:eastAsia="仿宋_GB2312" w:cs="仿宋"/>
                <w:sz w:val="24"/>
                <w:lang w:bidi="ar"/>
              </w:rPr>
            </w:pPr>
            <w:r>
              <w:rPr>
                <w:rFonts w:hint="eastAsia" w:ascii="仿宋_GB2312" w:hAnsi="仿宋" w:eastAsia="仿宋_GB2312" w:cs="仿宋"/>
                <w:bCs/>
                <w:sz w:val="24"/>
                <w:lang w:bidi="ar"/>
              </w:rPr>
              <w:t>1）</w:t>
            </w:r>
            <w:r>
              <w:rPr>
                <w:rFonts w:hint="eastAsia" w:ascii="仿宋_GB2312" w:hAnsi="仿宋" w:eastAsia="仿宋_GB2312" w:cs="仿宋"/>
                <w:sz w:val="24"/>
                <w:lang w:bidi="ar"/>
              </w:rPr>
              <w:t>通过本次项目，项目组成员可以培养团队协作的精神，通过将项目细分为不同模块，分工合作，提高项目进展速度，为以后在工作中分配以及完成任务打下良好的基础；</w:t>
            </w:r>
          </w:p>
          <w:p w14:paraId="5B400C16">
            <w:pPr>
              <w:spacing w:line="360" w:lineRule="auto"/>
              <w:ind w:firstLine="480" w:firstLineChars="200"/>
              <w:rPr>
                <w:rFonts w:hint="eastAsia" w:ascii="仿宋_GB2312" w:hAnsi="仿宋" w:eastAsia="仿宋_GB2312" w:cs="仿宋"/>
                <w:sz w:val="24"/>
              </w:rPr>
            </w:pPr>
            <w:r>
              <w:rPr>
                <w:rFonts w:hint="eastAsia" w:ascii="仿宋_GB2312" w:hAnsi="仿宋" w:eastAsia="仿宋_GB2312" w:cs="仿宋"/>
                <w:bCs/>
                <w:sz w:val="24"/>
                <w:lang w:bidi="ar"/>
              </w:rPr>
              <w:t>2）</w:t>
            </w:r>
            <w:r>
              <w:rPr>
                <w:rFonts w:hint="eastAsia" w:ascii="仿宋_GB2312" w:hAnsi="仿宋" w:eastAsia="仿宋_GB2312" w:cs="仿宋"/>
                <w:sz w:val="24"/>
                <w:lang w:bidi="ar"/>
              </w:rPr>
              <w:t>通过本次项目，项目组成员可以学习到计算机领域的深层次知识与前沿知识，学习到多模态特征提取和卷积神经网络等本科教学阶段不常接触的知识，为以后的专业深造提供入门与过渡；</w:t>
            </w:r>
          </w:p>
          <w:p w14:paraId="493569C8">
            <w:pPr>
              <w:spacing w:before="260" w:after="260" w:line="360" w:lineRule="auto"/>
              <w:ind w:firstLine="480" w:firstLineChars="200"/>
              <w:rPr>
                <w:rFonts w:hint="eastAsia" w:ascii="仿宋_GB2312" w:hAnsi="仿宋" w:eastAsia="仿宋_GB2312" w:cs="仿宋"/>
                <w:sz w:val="24"/>
              </w:rPr>
            </w:pPr>
            <w:r>
              <w:rPr>
                <w:rFonts w:hint="eastAsia" w:ascii="仿宋_GB2312" w:hAnsi="仿宋" w:eastAsia="仿宋_GB2312" w:cs="仿宋"/>
                <w:bCs/>
                <w:sz w:val="24"/>
              </w:rPr>
              <w:t>3）</w:t>
            </w:r>
            <w:r>
              <w:rPr>
                <w:rFonts w:hint="eastAsia" w:ascii="仿宋_GB2312" w:hAnsi="仿宋" w:eastAsia="仿宋_GB2312" w:cs="仿宋"/>
                <w:sz w:val="24"/>
              </w:rPr>
              <w:t>在实现算法阶段，算法的微调和对抗训练实现十分困难，在此阶段项目组成员的编程能力与计算思维能力得到了很大的提升，专业素养有了很大提升，为未来工作打下了良好的基础。</w:t>
            </w:r>
          </w:p>
          <w:p w14:paraId="6C01B1DF">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1.2.2科学意义</w:t>
            </w:r>
          </w:p>
          <w:p w14:paraId="4E017E2F">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1.2.3社会意义</w:t>
            </w:r>
          </w:p>
          <w:p w14:paraId="08D10869">
            <w:pPr>
              <w:spacing w:before="260" w:after="260" w:line="360" w:lineRule="auto"/>
              <w:ind w:firstLine="480" w:firstLineChars="200"/>
              <w:rPr>
                <w:rFonts w:ascii="仿宋_GB2312" w:hAnsi="Calibri" w:eastAsia="仿宋_GB2312" w:cs="仿宋"/>
                <w:bCs/>
                <w:sz w:val="24"/>
                <w:lang w:bidi="ar"/>
              </w:rPr>
            </w:pPr>
            <w:r>
              <w:rPr>
                <w:rFonts w:hint="eastAsia" w:ascii="仿宋_GB2312" w:hAnsi="仿宋" w:eastAsia="仿宋_GB2312" w:cs="仿宋"/>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hint="eastAsia" w:ascii="仿宋_GB2312" w:hAnsi="Calibri" w:eastAsia="仿宋_GB2312" w:cs="仿宋"/>
                <w:bCs/>
                <w:sz w:val="24"/>
                <w:lang w:bidi="ar"/>
              </w:rPr>
              <w:t>设计研究出高效、准确的多模态委婉语检测系统，对捕捉有害信息、促进文明发言的与社会的稳定、提升用户体验有着十分重要的意义。</w:t>
            </w:r>
          </w:p>
          <w:p w14:paraId="6B872F87">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1.3</w:t>
            </w:r>
            <w:r>
              <w:rPr>
                <w:rFonts w:eastAsia="仿宋"/>
                <w:b/>
                <w:bCs/>
                <w:color w:val="000000" w:themeColor="text1"/>
                <w:sz w:val="28"/>
                <w:highlight w:val="yellow"/>
                <w14:textFill>
                  <w14:solidFill>
                    <w14:schemeClr w14:val="tx1"/>
                  </w14:solidFill>
                </w14:textFill>
              </w:rPr>
              <w:t>国内外研究现状</w:t>
            </w:r>
          </w:p>
          <w:p w14:paraId="3CBB4FC2">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梗伪装、视觉隐喻暗示、多模态协同隐晦表达等），使得跨模态特征的有效融合和用于检测系统训练的标注样本获取面临巨大挑战。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害内容检测技术的研究现状。</w:t>
            </w:r>
          </w:p>
          <w:p w14:paraId="6B1223EE">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1.3.1单个模态检测研究</w:t>
            </w:r>
          </w:p>
          <w:p w14:paraId="65D8DD4F">
            <w:pPr>
              <w:numPr>
                <w:ilvl w:val="0"/>
                <w:numId w:val="3"/>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文本</w:t>
            </w:r>
          </w:p>
          <w:p w14:paraId="3532399C">
            <w:pPr>
              <w:spacing w:before="260" w:after="260" w:line="360" w:lineRule="auto"/>
              <w:ind w:firstLine="465"/>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大语言模型（LLMs）的长上下文处理效率与性能优化</w:t>
            </w:r>
          </w:p>
          <w:p w14:paraId="095B13C9">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Yaniv等人</w:t>
            </w:r>
            <w:r>
              <w:rPr>
                <w:rFonts w:hint="eastAsia" w:ascii="仿宋_GB2312" w:hAnsi="仿宋" w:eastAsia="仿宋_GB2312" w:cs="仿宋"/>
                <w:bCs/>
                <w:sz w:val="24"/>
                <w:vertAlign w:val="superscript"/>
                <w:lang w:bidi="ar"/>
              </w:rPr>
              <w:t>[1]</w:t>
            </w:r>
            <w:r>
              <w:rPr>
                <w:rFonts w:ascii="仿宋_GB2312" w:hAnsi="仿宋" w:eastAsia="仿宋_GB2312" w:cs="仿宋"/>
                <w:bCs/>
                <w:sz w:val="24"/>
                <w:lang w:bidi="ar"/>
              </w:rPr>
              <w:t>提出无参数、轻量级的注意力机制改进方案，核心逻辑是“让 tokens 动态屏蔽无关历史 tokens，减少后续注意力计算的冗余”</w:t>
            </w:r>
            <w:r>
              <w:rPr>
                <w:rFonts w:hint="eastAsia" w:ascii="仿宋_GB2312" w:hAnsi="仿宋" w:eastAsia="仿宋_GB2312" w:cs="仿宋"/>
                <w:bCs/>
                <w:sz w:val="24"/>
                <w:lang w:bidi="ar"/>
              </w:rPr>
              <w:t>。</w:t>
            </w:r>
            <w:r>
              <w:rPr>
                <w:rFonts w:ascii="仿宋_GB2312" w:hAnsi="仿宋" w:eastAsia="仿宋_GB2312" w:cs="仿宋"/>
                <w:bCs/>
                <w:sz w:val="24"/>
                <w:lang w:bidi="ar"/>
              </w:rPr>
              <w:t>在 C4 数据集上，带选择性注意力的 Transformer 语言建模性能显著优于标准 Transformer，且模型规模越大、上下文越长，提升越明显</w:t>
            </w:r>
            <w:r>
              <w:rPr>
                <w:rFonts w:hint="eastAsia" w:ascii="仿宋_GB2312" w:hAnsi="仿宋" w:eastAsia="仿宋_GB2312" w:cs="仿宋"/>
                <w:bCs/>
                <w:sz w:val="24"/>
                <w:lang w:bidi="ar"/>
              </w:rPr>
              <w:t>。</w:t>
            </w:r>
          </w:p>
          <w:p w14:paraId="43D1FA73">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Xu等人</w:t>
            </w:r>
            <w:r>
              <w:rPr>
                <w:rFonts w:hint="eastAsia" w:ascii="仿宋_GB2312" w:hAnsi="仿宋" w:eastAsia="仿宋_GB2312" w:cs="仿宋"/>
                <w:bCs/>
                <w:sz w:val="24"/>
                <w:vertAlign w:val="superscript"/>
                <w:lang w:bidi="ar"/>
              </w:rPr>
              <w:t>[2]</w:t>
            </w:r>
            <w:r>
              <w:rPr>
                <w:rFonts w:ascii="仿宋_GB2312" w:hAnsi="仿宋" w:eastAsia="仿宋_GB2312" w:cs="仿宋"/>
                <w:bCs/>
                <w:sz w:val="24"/>
                <w:lang w:bidi="ar"/>
              </w:rPr>
              <w:t>首次提出“距离感知的渐进式位置复用”策略，解决了训练 - free 方法的静态映射缺陷，在无额外训练成本的前提下，实现 LLM 上下文窗口的高效扩展，尤其适用于资源受限场景。</w:t>
            </w:r>
          </w:p>
          <w:p w14:paraId="44ED1AFC">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w:t>
            </w:r>
            <w:r>
              <w:rPr>
                <w:rFonts w:hint="eastAsia" w:eastAsia="仿宋_GB2312"/>
                <w:b/>
                <w:bCs/>
                <w:color w:val="000000" w:themeColor="text1"/>
                <w:sz w:val="24"/>
                <w14:textFill>
                  <w14:solidFill>
                    <w14:schemeClr w14:val="tx1"/>
                  </w14:solidFill>
                </w14:textFill>
              </w:rPr>
              <w:t>图像</w:t>
            </w:r>
          </w:p>
          <w:p w14:paraId="518B38F1">
            <w:pPr>
              <w:spacing w:before="260" w:after="260"/>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基于Transformer和CNN的视觉处理模型</w:t>
            </w:r>
          </w:p>
          <w:p w14:paraId="2ECA60C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ETH Zurich的Liang等人</w:t>
            </w:r>
            <w:r>
              <w:rPr>
                <w:rFonts w:hint="eastAsia" w:ascii="仿宋_GB2312" w:hAnsi="仿宋" w:eastAsia="仿宋_GB2312" w:cs="仿宋"/>
                <w:bCs/>
                <w:sz w:val="24"/>
                <w:vertAlign w:val="superscript"/>
                <w:lang w:bidi="ar"/>
              </w:rPr>
              <w:t>[3]</w:t>
            </w:r>
            <w:r>
              <w:rPr>
                <w:rFonts w:ascii="仿宋_GB2312" w:hAnsi="仿宋" w:eastAsia="仿宋_GB2312" w:cs="仿宋"/>
                <w:bCs/>
                <w:sz w:val="24"/>
                <w:lang w:bidi="ar"/>
              </w:rPr>
              <w:t>为了解决图像复原任务中CNN模型在长距离依赖建模和内容自适应处理上的不足，提出了一种基于Swin Transformer的模型SwinIR，该方法在超分、去噪、去JPEG伪影等多个任务上以更少的参数量取得了当时的最高性能，但其主要不足在于计算复杂度依然较高，且对JPEG压缩任务中的窗口大小敏感。</w:t>
            </w:r>
          </w:p>
          <w:p w14:paraId="5F8AED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微软亚洲研究院的Liu等人</w:t>
            </w:r>
            <w:r>
              <w:rPr>
                <w:rFonts w:hint="eastAsia" w:ascii="仿宋_GB2312" w:hAnsi="仿宋" w:eastAsia="仿宋_GB2312" w:cs="仿宋"/>
                <w:bCs/>
                <w:sz w:val="24"/>
                <w:vertAlign w:val="superscript"/>
                <w:lang w:bidi="ar"/>
              </w:rPr>
              <w:t>[4]</w:t>
            </w:r>
            <w:r>
              <w:rPr>
                <w:rFonts w:ascii="仿宋_GB2312" w:hAnsi="仿宋" w:eastAsia="仿宋_GB2312"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其移位窗口的高效实现需要复杂的掩码机制。</w:t>
            </w:r>
          </w:p>
          <w:p w14:paraId="20CC6899">
            <w:pPr>
              <w:numPr>
                <w:ilvl w:val="0"/>
                <w:numId w:val="4"/>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音频</w:t>
            </w:r>
          </w:p>
          <w:p w14:paraId="16A7809E">
            <w:pPr>
              <w:spacing w:before="260" w:after="260" w:line="360" w:lineRule="auto"/>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 xml:space="preserve">     MFCC</w:t>
            </w:r>
          </w:p>
          <w:p w14:paraId="136EB200">
            <w:pPr>
              <w:spacing w:before="260" w:after="260" w:line="360" w:lineRule="auto"/>
              <w:ind w:firstLine="422" w:firstLineChars="200"/>
              <w:rPr>
                <w:rFonts w:hint="eastAsia" w:ascii="仿宋_GB2312" w:hAnsi="仿宋" w:eastAsia="仿宋_GB2312" w:cs="仿宋"/>
                <w:bCs/>
                <w:sz w:val="24"/>
                <w:lang w:bidi="ar"/>
              </w:rPr>
            </w:pPr>
            <w:r>
              <w:rPr>
                <w:rFonts w:hint="eastAsia" w:eastAsia="仿宋_GB2312"/>
                <w:b/>
                <w:bCs/>
                <w:color w:val="000000" w:themeColor="text1"/>
                <w14:textFill>
                  <w14:solidFill>
                    <w14:schemeClr w14:val="tx1"/>
                  </w14:solidFill>
                </w14:textFill>
              </w:rPr>
              <w:t xml:space="preserve"> </w:t>
            </w:r>
            <w:r>
              <w:rPr>
                <w:rFonts w:hint="eastAsia"/>
              </w:rPr>
              <w:t xml:space="preserve"> </w:t>
            </w:r>
            <w:r>
              <w:rPr>
                <w:rFonts w:ascii="仿宋_GB2312" w:hAnsi="仿宋" w:eastAsia="仿宋_GB2312" w:cs="仿宋"/>
                <w:bCs/>
                <w:sz w:val="24"/>
                <w:lang w:bidi="ar"/>
              </w:rPr>
              <w:t>Mithun Das</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[5]</w:t>
            </w:r>
            <w:r>
              <w:rPr>
                <w:rFonts w:ascii="仿宋_GB2312" w:hAnsi="仿宋" w:eastAsia="仿宋_GB2312" w:cs="仿宋"/>
                <w:bCs/>
                <w:sz w:val="24"/>
                <w:lang w:bidi="ar"/>
              </w:rPr>
              <w:t>以“针对性特征提取 + 模态协同验证”为核心，通过适配仇恨视频音频特性的特征选择与多模态互补设计，提升音频对仇恨内容的识别能力</w:t>
            </w:r>
            <w:r>
              <w:rPr>
                <w:rFonts w:hint="eastAsia" w:ascii="仿宋_GB2312" w:hAnsi="仿宋" w:eastAsia="仿宋_GB2312" w:cs="仿宋"/>
                <w:bCs/>
                <w:sz w:val="24"/>
                <w:lang w:bidi="ar"/>
              </w:rPr>
              <w:t>。</w:t>
            </w:r>
            <w:r>
              <w:rPr>
                <w:rFonts w:ascii="仿宋_GB2312" w:hAnsi="仿宋" w:eastAsia="仿宋_GB2312" w:cs="仿宋"/>
                <w:bCs/>
                <w:sz w:val="24"/>
                <w:lang w:bidi="ar"/>
              </w:rPr>
              <w:t>针对仇恨视频中“喊叫、攻击性语气”等典型音频特征，选择 MFCC（梅尔频率倒谱系数）和预训练 AudioVGG19 作为音频模态的核心特征提取方案 ——MFCC 能有效捕捉音频的频谱纹理（如喊叫时的高频变化），通过 Librosa 工具构建 40 维特征向量，经 3 层全连接层实现分类（模型 A1）；AudioVGG19 则通过预训练网络将音频波形转换为 1000 维高维特征，同样结合 3 层全连接层完成预测（模型 A2），两种方案分别适配不同复杂度的音频场景，助力模型实现 0.790 的宏 F1，比单模态音频最优模型提升 12.1%</w:t>
            </w:r>
            <w:r>
              <w:rPr>
                <w:rFonts w:hint="eastAsia" w:ascii="仿宋_GB2312" w:hAnsi="仿宋" w:eastAsia="仿宋_GB2312" w:cs="仿宋"/>
                <w:bCs/>
                <w:sz w:val="24"/>
                <w:lang w:bidi="ar"/>
              </w:rPr>
              <w:t>。</w:t>
            </w:r>
          </w:p>
          <w:p w14:paraId="0EE5A2F7">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1.3.2</w:t>
            </w:r>
            <w:r>
              <w:rPr>
                <w:rFonts w:eastAsia="仿宋_GB2312"/>
                <w:b/>
                <w:bCs/>
                <w:color w:val="000000" w:themeColor="text1"/>
                <w:sz w:val="24"/>
                <w14:textFill>
                  <w14:solidFill>
                    <w14:schemeClr w14:val="tx1"/>
                  </w14:solidFill>
                </w14:textFill>
              </w:rPr>
              <w:t>多模态特征对齐与融合技术</w:t>
            </w:r>
          </w:p>
          <w:p w14:paraId="0CF69B0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多模态特征对齐与融合技术作为连接异构模态、还原完整违规意图的 “核心桥梁”，直接决定检测模型的精度、鲁棒性与场景适配能力</w:t>
            </w:r>
            <w:r>
              <w:rPr>
                <w:rFonts w:hint="eastAsia" w:ascii="仿宋_GB2312" w:hAnsi="仿宋" w:eastAsia="仿宋_GB2312" w:cs="仿宋"/>
                <w:bCs/>
                <w:sz w:val="24"/>
                <w:lang w:bidi="ar"/>
              </w:rPr>
              <w:t>。</w:t>
            </w:r>
            <w:r>
              <w:rPr>
                <w:rFonts w:ascii="仿宋_GB2312" w:hAnsi="仿宋" w:eastAsia="仿宋_GB2312" w:cs="仿宋"/>
                <w:bCs/>
                <w:sz w:val="24"/>
                <w:lang w:bidi="ar"/>
              </w:rPr>
              <w:t>现有研究主要通过注意力机制、模态交互模块等创新设计，实现跨模态信息的精准关联，为后续委婉语义判定奠定基础。</w:t>
            </w:r>
          </w:p>
          <w:p w14:paraId="2BA200ED">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注意力导向的跨模态对齐</w:t>
            </w:r>
          </w:p>
          <w:p w14:paraId="7F64263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注意力机制凭借“动态加权关键特征”的能力，成为多模态对齐的主流技术。Eftekhar等人</w:t>
            </w:r>
            <w:r>
              <w:rPr>
                <w:rFonts w:hint="eastAsia" w:ascii="仿宋_GB2312" w:hAnsi="仿宋" w:eastAsia="仿宋_GB2312" w:cs="仿宋"/>
                <w:bCs/>
                <w:sz w:val="24"/>
                <w:vertAlign w:val="superscript"/>
                <w:lang w:bidi="ar"/>
              </w:rPr>
              <w:t>[6]</w:t>
            </w:r>
            <w:r>
              <w:rPr>
                <w:rFonts w:ascii="仿宋_GB2312" w:hAnsi="仿宋" w:eastAsia="仿宋_GB2312" w:cs="仿宋"/>
                <w:bCs/>
                <w:sz w:val="24"/>
                <w:lang w:bidi="ar"/>
              </w:rPr>
              <w:t>在EACL 2024提出 “MCA-SCF（Multimodal Context Aware - Skip Connected Fusion）”</w:t>
            </w:r>
            <w:r>
              <w:rPr>
                <w:rFonts w:hint="eastAsia" w:ascii="仿宋_GB2312" w:hAnsi="仿宋" w:eastAsia="仿宋_GB2312" w:cs="仿宋"/>
                <w:bCs/>
                <w:sz w:val="24"/>
                <w:lang w:bidi="ar"/>
              </w:rPr>
              <w:t>框架</w:t>
            </w:r>
            <w:r>
              <w:rPr>
                <w:rFonts w:ascii="仿宋_GB2312" w:hAnsi="仿宋" w:eastAsia="仿宋_GB2312" w:cs="仿宋"/>
                <w:bCs/>
                <w:sz w:val="24"/>
                <w:lang w:bidi="ar"/>
              </w:rPr>
              <w:t>，核心逻辑是“在融合前通过注意力机制对齐视觉与文本特征</w:t>
            </w:r>
            <w:r>
              <w:rPr>
                <w:rFonts w:hint="eastAsia" w:ascii="仿宋_GB2312" w:hAnsi="仿宋" w:eastAsia="仿宋_GB2312" w:cs="仿宋"/>
                <w:bCs/>
                <w:sz w:val="24"/>
                <w:lang w:bidi="ar"/>
              </w:rPr>
              <w:t>”，在特征对齐时</w:t>
            </w:r>
            <w:r>
              <w:rPr>
                <w:rFonts w:ascii="仿宋_GB2312" w:hAnsi="仿宋" w:eastAsia="仿宋_GB2312" w:cs="仿宋"/>
                <w:bCs/>
                <w:sz w:val="24"/>
                <w:lang w:bidi="ar"/>
              </w:rPr>
              <w:t>引入加性注意力机制（Bahdanau 注意力）计算视觉特征 V</w:t>
            </w:r>
            <w:r>
              <w:rPr>
                <w:rFonts w:ascii="仿宋_GB2312" w:hAnsi="仿宋" w:eastAsia="仿宋_GB2312" w:cs="仿宋"/>
                <w:bCs/>
                <w:sz w:val="24"/>
                <w:vertAlign w:val="subscript"/>
                <w:lang w:bidi="ar"/>
              </w:rPr>
              <w:t>f</w:t>
            </w:r>
            <w:r>
              <w:rPr>
                <w:rFonts w:ascii="仿宋_GB2312" w:hAnsi="仿宋" w:eastAsia="仿宋_GB2312" w:cs="仿宋"/>
                <w:bCs/>
                <w:sz w:val="24"/>
                <w:lang w:bidi="ar"/>
              </w:rPr>
              <w:t>与文本词级特征 h</w:t>
            </w:r>
            <w:r>
              <w:rPr>
                <w:rFonts w:ascii="仿宋_GB2312" w:hAnsi="仿宋" w:eastAsia="仿宋_GB2312" w:cs="仿宋"/>
                <w:bCs/>
                <w:sz w:val="24"/>
                <w:vertAlign w:val="subscript"/>
                <w:lang w:bidi="ar"/>
              </w:rPr>
              <w:t>j</w:t>
            </w:r>
            <w:r>
              <w:rPr>
                <w:rFonts w:ascii="仿宋_GB2312" w:hAnsi="仿宋" w:eastAsia="仿宋_GB2312" w:cs="仿宋"/>
                <w:bCs/>
                <w:sz w:val="24"/>
                <w:lang w:bidi="ar"/>
              </w:rPr>
              <w:t>的对齐权重 α</w:t>
            </w:r>
            <w:r>
              <w:rPr>
                <w:rFonts w:ascii="仿宋_GB2312" w:hAnsi="仿宋" w:eastAsia="仿宋_GB2312" w:cs="仿宋"/>
                <w:bCs/>
                <w:sz w:val="24"/>
                <w:vertAlign w:val="subscript"/>
                <w:lang w:bidi="ar"/>
              </w:rPr>
              <w:t>y,j</w:t>
            </w:r>
            <w:r>
              <w:rPr>
                <w:rFonts w:ascii="仿宋_GB2312" w:hAnsi="仿宋" w:eastAsia="仿宋_GB2312" w:cs="仿宋"/>
                <w:bCs/>
                <w:sz w:val="24"/>
                <w:lang w:bidi="ar"/>
              </w:rPr>
              <w:t>，权重越高表示该特征组合对仇恨检测越关键</w:t>
            </w:r>
            <w:r>
              <w:rPr>
                <w:rFonts w:hint="eastAsia" w:ascii="仿宋_GB2312" w:hAnsi="仿宋" w:eastAsia="仿宋_GB2312" w:cs="仿宋"/>
                <w:bCs/>
                <w:sz w:val="24"/>
                <w:lang w:bidi="ar"/>
              </w:rPr>
              <w:t>。这种</w:t>
            </w:r>
            <w:r>
              <w:rPr>
                <w:rFonts w:ascii="仿宋_GB2312" w:hAnsi="仿宋" w:eastAsia="仿宋_GB2312" w:cs="仿宋"/>
                <w:bCs/>
                <w:sz w:val="24"/>
                <w:lang w:bidi="ar"/>
              </w:rPr>
              <w:t>“特征对齐”使F1提升 3%-5%，残差连接（保留原始模态特征）进一步提升 2%-3%</w:t>
            </w:r>
            <w:r>
              <w:rPr>
                <w:rFonts w:hint="eastAsia" w:ascii="仿宋_GB2312" w:hAnsi="仿宋" w:eastAsia="仿宋_GB2312" w:cs="仿宋"/>
                <w:bCs/>
                <w:sz w:val="24"/>
                <w:lang w:bidi="ar"/>
              </w:rPr>
              <w:t>。</w:t>
            </w:r>
          </w:p>
          <w:p w14:paraId="77F19D6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Lu</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[7]</w:t>
            </w:r>
            <w:r>
              <w:rPr>
                <w:rFonts w:hint="eastAsia" w:ascii="仿宋_GB2312" w:hAnsi="仿宋" w:eastAsia="仿宋_GB2312" w:cs="仿宋"/>
                <w:bCs/>
                <w:sz w:val="24"/>
                <w:lang w:bidi="ar"/>
              </w:rPr>
              <w:t>在避免融合结果过度依赖“外部合理性”时，采用了</w:t>
            </w:r>
            <w:r>
              <w:rPr>
                <w:rFonts w:ascii="仿宋_GB2312" w:hAnsi="仿宋" w:eastAsia="仿宋_GB2312" w:cs="仿宋"/>
                <w:bCs/>
                <w:sz w:val="24"/>
                <w:lang w:bidi="ar"/>
              </w:rPr>
              <w:t>自适应知识交互机制（AKI）</w:t>
            </w:r>
            <w:r>
              <w:rPr>
                <w:rFonts w:hint="eastAsia" w:ascii="仿宋_GB2312" w:hAnsi="仿宋" w:eastAsia="仿宋_GB2312" w:cs="仿宋"/>
                <w:bCs/>
                <w:sz w:val="24"/>
                <w:lang w:bidi="ar"/>
              </w:rPr>
              <w:t>，用 ViT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Atanu等人</w:t>
            </w:r>
            <w:r>
              <w:rPr>
                <w:rFonts w:hint="eastAsia" w:ascii="仿宋_GB2312" w:hAnsi="仿宋" w:eastAsia="仿宋_GB2312" w:cs="仿宋"/>
                <w:bCs/>
                <w:sz w:val="24"/>
                <w:vertAlign w:val="superscript"/>
                <w:lang w:bidi="ar"/>
              </w:rPr>
              <w:t>[8]</w:t>
            </w:r>
            <w:r>
              <w:rPr>
                <w:rFonts w:hint="eastAsia" w:ascii="仿宋_GB2312" w:hAnsi="仿宋" w:eastAsia="仿宋_GB2312" w:cs="仿宋"/>
                <w:bCs/>
                <w:sz w:val="24"/>
                <w:lang w:bidi="ar"/>
              </w:rPr>
              <w:t>在融合“文本+音频”时，用“对数梅尔频谱图”提取音频特征，经卷积层、位置编码器和 LSTM 筛选关键信息；用 Albert Tokenizer 分词提取文本特征，经词嵌入和位置编码器生成时序特征。</w:t>
            </w:r>
            <w:r>
              <w:rPr>
                <w:rFonts w:ascii="仿宋_GB2312" w:hAnsi="仿宋" w:eastAsia="仿宋_GB2312" w:cs="仿宋"/>
                <w:bCs/>
                <w:sz w:val="24"/>
                <w:lang w:bidi="ar"/>
              </w:rPr>
              <w:t>用两个 Transformer 模块，分别让音频指导文本、文本指导音频学习，通过跨模态注意力捕捉语义对应关系</w:t>
            </w:r>
            <w:r>
              <w:rPr>
                <w:rFonts w:hint="eastAsia" w:ascii="仿宋_GB2312" w:hAnsi="仿宋" w:eastAsia="仿宋_GB2312" w:cs="仿宋"/>
                <w:bCs/>
                <w:sz w:val="24"/>
                <w:lang w:bidi="ar"/>
              </w:rPr>
              <w:t>进行双向交互</w:t>
            </w:r>
            <w:r>
              <w:rPr>
                <w:rFonts w:ascii="仿宋_GB2312" w:hAnsi="仿宋" w:eastAsia="仿宋_GB2312" w:cs="仿宋"/>
                <w:bCs/>
                <w:sz w:val="24"/>
                <w:lang w:bidi="ar"/>
              </w:rPr>
              <w:t>。</w:t>
            </w:r>
            <w:r>
              <w:rPr>
                <w:rFonts w:hint="eastAsia" w:ascii="仿宋_GB2312" w:hAnsi="仿宋" w:eastAsia="仿宋_GB2312" w:cs="仿宋"/>
                <w:bCs/>
                <w:sz w:val="24"/>
                <w:lang w:bidi="ar"/>
              </w:rPr>
              <w:t>最后，</w:t>
            </w:r>
            <w:r>
              <w:rPr>
                <w:rFonts w:ascii="仿宋_GB2312" w:hAnsi="仿宋" w:eastAsia="仿宋_GB2312" w:cs="仿宋"/>
                <w:bCs/>
                <w:sz w:val="24"/>
                <w:lang w:bidi="ar"/>
              </w:rPr>
              <w:t>Transformer 输出经 LSTM 强化时序依赖后，用 “Attentive Fusion 层”动态加权融合，最后分类。测试集宏F1达 0.927，超单模态方法</w:t>
            </w:r>
            <w:r>
              <w:rPr>
                <w:rFonts w:hint="eastAsia" w:ascii="仿宋_GB2312" w:hAnsi="仿宋" w:eastAsia="仿宋_GB2312" w:cs="仿宋"/>
                <w:bCs/>
                <w:sz w:val="24"/>
                <w:lang w:bidi="ar"/>
              </w:rPr>
              <w:t>。</w:t>
            </w:r>
          </w:p>
          <w:p w14:paraId="7AE8031E">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其他形式的跨模态对齐</w:t>
            </w:r>
          </w:p>
          <w:p w14:paraId="4983E5A7">
            <w:pPr>
              <w:spacing w:before="260" w:after="260" w:line="360" w:lineRule="auto"/>
              <w:ind w:firstLine="480" w:firstLineChars="200"/>
              <w:rPr>
                <w:rFonts w:hint="eastAsia" w:ascii="仿宋_GB2312" w:hAnsi="仿宋" w:eastAsia="仿宋_GB2312" w:cs="仿宋"/>
                <w:b/>
                <w:sz w:val="24"/>
                <w:lang w:bidi="ar"/>
              </w:rPr>
            </w:pPr>
            <w:r>
              <w:rPr>
                <w:rFonts w:hint="eastAsia" w:ascii="仿宋_GB2312" w:hAnsi="仿宋" w:eastAsia="仿宋_GB2312" w:cs="仿宋"/>
                <w:bCs/>
                <w:sz w:val="24"/>
                <w:lang w:bidi="ar"/>
              </w:rPr>
              <w:t>Jianjian Cao 等人</w:t>
            </w:r>
            <w:r>
              <w:rPr>
                <w:rFonts w:hint="eastAsia" w:ascii="仿宋_GB2312" w:hAnsi="仿宋" w:eastAsia="仿宋_GB2312" w:cs="仿宋"/>
                <w:bCs/>
                <w:sz w:val="24"/>
                <w:vertAlign w:val="superscript"/>
                <w:lang w:bidi="ar"/>
              </w:rPr>
              <w:t>[9]</w:t>
            </w:r>
            <w:r>
              <w:rPr>
                <w:rFonts w:hint="eastAsia" w:ascii="仿宋_GB2312" w:hAnsi="仿宋" w:eastAsia="仿宋_GB2312" w:cs="仿宋"/>
                <w:bCs/>
                <w:sz w:val="24"/>
                <w:lang w:bidi="ar"/>
              </w:rPr>
              <w:t>提出了一种多模态对齐引导的动态令牌剪枝框架 MADTP，通过跨模态对齐和动态剪枝机制加速视觉-语言Transformer，在多个任务上显著降低计算量且性能损失极小，但依赖额外对齐模块且超参数敏感。</w:t>
            </w:r>
          </w:p>
          <w:p w14:paraId="40029C46">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1.3.3</w:t>
            </w:r>
            <w:r>
              <w:rPr>
                <w:rFonts w:eastAsia="仿宋_GB2312"/>
                <w:b/>
                <w:bCs/>
                <w:color w:val="000000" w:themeColor="text1"/>
                <w:sz w:val="24"/>
                <w14:textFill>
                  <w14:solidFill>
                    <w14:schemeClr w14:val="tx1"/>
                  </w14:solidFill>
                </w14:textFill>
              </w:rPr>
              <w:t>委婉语义鉴别与提示优化技术</w:t>
            </w:r>
          </w:p>
          <w:p w14:paraId="045BA64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委婉语义鉴别与提示优化技术作为挖掘多模态内容深层违规意图、提升模型语义理解能力的“关键内核”，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标注</w:t>
            </w:r>
            <w:r>
              <w:rPr>
                <w:rFonts w:hint="eastAsia" w:ascii="仿宋_GB2312" w:hAnsi="仿宋" w:eastAsia="仿宋_GB2312" w:cs="仿宋"/>
                <w:b/>
                <w:sz w:val="24"/>
                <w:lang w:bidi="ar"/>
              </w:rPr>
              <w:t>方法</w:t>
            </w:r>
          </w:p>
          <w:p w14:paraId="54A3E18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高质量标注数据是委婉语义鉴别的基础，现有研究通过多维度标注与语义增强，提升模型对隐晦语义的捕捉能力。</w:t>
            </w:r>
            <w:r>
              <w:rPr>
                <w:rFonts w:hint="eastAsia" w:ascii="仿宋_GB2312" w:hAnsi="仿宋" w:eastAsia="仿宋_GB2312" w:cs="仿宋"/>
                <w:bCs/>
                <w:sz w:val="24"/>
                <w:lang w:bidi="ar"/>
              </w:rPr>
              <w:t>Gu等人</w:t>
            </w:r>
            <w:r>
              <w:rPr>
                <w:rFonts w:hint="eastAsia" w:ascii="仿宋_GB2312" w:hAnsi="仿宋" w:eastAsia="仿宋_GB2312" w:cs="仿宋"/>
                <w:bCs/>
                <w:sz w:val="24"/>
                <w:vertAlign w:val="superscript"/>
                <w:lang w:bidi="ar"/>
              </w:rPr>
              <w:t>[10]</w:t>
            </w:r>
            <w:r>
              <w:rPr>
                <w:rFonts w:hint="eastAsia" w:ascii="仿宋_GB2312" w:hAnsi="仿宋" w:eastAsia="仿宋_GB2312" w:cs="仿宋"/>
                <w:bCs/>
                <w:sz w:val="24"/>
                <w:lang w:bidi="ar"/>
              </w:rPr>
              <w:t>的</w:t>
            </w:r>
            <w:r>
              <w:rPr>
                <w:rFonts w:ascii="仿宋_GB2312" w:hAnsi="仿宋" w:eastAsia="仿宋_GB2312" w:cs="仿宋"/>
                <w:bCs/>
                <w:sz w:val="24"/>
                <w:lang w:bidi="ar"/>
              </w:rPr>
              <w:t>MemeGuard 检测框架</w:t>
            </w:r>
            <w:r>
              <w:rPr>
                <w:rFonts w:hint="eastAsia" w:ascii="仿宋_GB2312" w:hAnsi="仿宋" w:eastAsia="仿宋_GB2312" w:cs="仿宋"/>
                <w:bCs/>
                <w:sz w:val="24"/>
                <w:lang w:bidi="ar"/>
              </w:rPr>
              <w:t>，分别在视觉增强（</w:t>
            </w:r>
            <w:r>
              <w:rPr>
                <w:rFonts w:ascii="仿宋_GB2312" w:hAnsi="仿宋" w:eastAsia="仿宋_GB2312" w:cs="仿宋"/>
                <w:bCs/>
                <w:sz w:val="24"/>
                <w:lang w:bidi="ar"/>
              </w:rPr>
              <w:t>用 MemeMind 的 Caption 标注微调 Qwen2.5-VL-7B 的视觉编码器和语言解码器，提升模型对 meme 视觉细节的理解能力</w:t>
            </w:r>
            <w:r>
              <w:rPr>
                <w:rFonts w:hint="eastAsia" w:ascii="仿宋_GB2312" w:hAnsi="仿宋" w:eastAsia="仿宋_GB2312" w:cs="仿宋"/>
                <w:bCs/>
                <w:sz w:val="24"/>
                <w:lang w:bidi="ar"/>
              </w:rPr>
              <w:t>）和推理增强（</w:t>
            </w:r>
            <w:r>
              <w:rPr>
                <w:rFonts w:ascii="仿宋_GB2312" w:hAnsi="仿宋" w:eastAsia="仿宋_GB2312" w:cs="仿宋"/>
                <w:bCs/>
                <w:sz w:val="24"/>
                <w:lang w:bidi="ar"/>
              </w:rPr>
              <w:t>用 MemeMind 的 CoT 标注 + 二元标签样本微调模型，其中视觉编码器继承</w:t>
            </w:r>
            <w:r>
              <w:rPr>
                <w:rFonts w:hint="eastAsia" w:ascii="仿宋_GB2312" w:hAnsi="仿宋" w:eastAsia="仿宋_GB2312" w:cs="仿宋"/>
                <w:bCs/>
                <w:sz w:val="24"/>
                <w:lang w:bidi="ar"/>
              </w:rPr>
              <w:t>视觉增强</w:t>
            </w:r>
            <w:r>
              <w:rPr>
                <w:rFonts w:ascii="仿宋_GB2312" w:hAnsi="仿宋" w:eastAsia="仿宋_GB2312" w:cs="仿宋"/>
                <w:bCs/>
                <w:sz w:val="24"/>
                <w:lang w:bidi="ar"/>
              </w:rPr>
              <w:t>结果，语言模型用 LoRA优化，降低计算成本</w:t>
            </w:r>
            <w:r>
              <w:rPr>
                <w:rFonts w:hint="eastAsia" w:ascii="仿宋_GB2312" w:hAnsi="仿宋" w:eastAsia="仿宋_GB2312" w:cs="仿宋"/>
                <w:bCs/>
                <w:sz w:val="24"/>
                <w:lang w:bidi="ar"/>
              </w:rPr>
              <w:t>）上实现了</w:t>
            </w:r>
            <w:r>
              <w:rPr>
                <w:rFonts w:ascii="仿宋_GB2312" w:hAnsi="仿宋" w:eastAsia="仿宋_GB2312" w:cs="仿宋"/>
                <w:bCs/>
                <w:sz w:val="24"/>
                <w:lang w:bidi="ar"/>
              </w:rPr>
              <w:t>宏F1达 82.45%，超现有最优模型 MemeCLIP（79.72%）2.73%，且在“低资源语言”“文化隐喻 meme”上表现更稳定；</w:t>
            </w:r>
          </w:p>
          <w:p w14:paraId="6A7C1D92">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 等人</w:t>
            </w:r>
            <w:r>
              <w:rPr>
                <w:rFonts w:hint="eastAsia" w:ascii="仿宋_GB2312" w:hAnsi="仿宋" w:eastAsia="仿宋_GB2312" w:cs="仿宋"/>
                <w:bCs/>
                <w:sz w:val="24"/>
                <w:vertAlign w:val="superscript"/>
                <w:lang w:bidi="ar"/>
              </w:rPr>
              <w:t>[11]</w:t>
            </w:r>
            <w:r>
              <w:rPr>
                <w:rFonts w:ascii="仿宋_GB2312" w:hAnsi="仿宋" w:eastAsia="仿宋_GB2312" w:cs="仿宋"/>
                <w:bCs/>
                <w:sz w:val="24"/>
                <w:lang w:bidi="ar"/>
              </w:rPr>
              <w:t>在 NAACL 2024 构建“多模态委婉语义标注数据集（MESM-DB）”，包含文本 - 图像 - 音频三元组，标注维度涵盖 “委婉类型（谐音 / 隐喻 / 反讽）”“有害强度（0-5 级）”“跨模态关联度”，共 12 万条样本，填补了多模态委婉语数据空白 。基于该数据集，研究者训练的“语义增强 BERT+CNN”模型，通过融入标注的“委婉类型”信息，在语义模糊样本上F1分数达 87.2%，较无细粒度标注的模型提升 10.3%。</w:t>
            </w:r>
          </w:p>
          <w:p w14:paraId="0C2BA4A2">
            <w:pPr>
              <w:spacing w:before="260" w:after="260" w:line="360" w:lineRule="auto"/>
              <w:ind w:firstLine="482" w:firstLineChars="200"/>
              <w:rPr>
                <w:rFonts w:hint="eastAsia" w:ascii="仿宋_GB2312" w:hAnsi="仿宋" w:eastAsia="仿宋_GB2312" w:cs="仿宋"/>
                <w:b/>
                <w:sz w:val="24"/>
                <w:lang w:bidi="ar"/>
              </w:rPr>
            </w:pPr>
            <w:r>
              <w:rPr>
                <w:rFonts w:hint="eastAsia" w:eastAsia="仿宋_GB2312"/>
                <w:b/>
                <w:bCs/>
                <w:color w:val="000000" w:themeColor="text1"/>
                <w:sz w:val="24"/>
                <w14:textFill>
                  <w14:solidFill>
                    <w14:schemeClr w14:val="tx1"/>
                  </w14:solidFill>
                </w14:textFill>
              </w:rPr>
              <w:t>1.3.4</w:t>
            </w:r>
            <w:r>
              <w:rPr>
                <w:rFonts w:ascii="仿宋_GB2312" w:hAnsi="仿宋" w:eastAsia="仿宋_GB2312" w:cs="仿宋"/>
                <w:b/>
                <w:sz w:val="24"/>
                <w:lang w:bidi="ar"/>
              </w:rPr>
              <w:t>鲁棒性与动态演化适配</w:t>
            </w:r>
          </w:p>
          <w:p w14:paraId="643F3BDE">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针对“委婉内容动态变异”问题，现有研究通过持续学习、对抗训练等手段，提升系统的自适应能力。</w:t>
            </w:r>
          </w:p>
          <w:p w14:paraId="2D83010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Xiao</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[12]</w:t>
            </w:r>
            <w:r>
              <w:rPr>
                <w:rFonts w:hint="eastAsia" w:ascii="仿宋_GB2312" w:hAnsi="仿宋" w:eastAsia="仿宋_GB2312" w:cs="仿宋"/>
                <w:bCs/>
                <w:sz w:val="24"/>
                <w:lang w:bidi="ar"/>
              </w:rPr>
              <w:t>在使用</w:t>
            </w:r>
            <w:r>
              <w:rPr>
                <w:rFonts w:ascii="仿宋_GB2312" w:hAnsi="仿宋" w:eastAsia="仿宋_GB2312" w:cs="仿宋"/>
                <w:bCs/>
                <w:sz w:val="24"/>
                <w:lang w:bidi="ar"/>
              </w:rPr>
              <w:t>“词典匹配模型、BERT 类模型、主流 LLMs”三类基准模型，通过多组实验评估其在 ToxiCloakCN 上的性能，重点分析“干扰方式、提示词语言、拼音增强”对检测效果的影响</w:t>
            </w:r>
            <w:r>
              <w:rPr>
                <w:rFonts w:hint="eastAsia" w:ascii="仿宋_GB2312" w:hAnsi="仿宋" w:eastAsia="仿宋_GB2312" w:cs="仿宋"/>
                <w:bCs/>
                <w:sz w:val="24"/>
                <w:lang w:bidi="ar"/>
              </w:rPr>
              <w:t>时，</w:t>
            </w:r>
            <w:r>
              <w:rPr>
                <w:rFonts w:ascii="仿宋_GB2312" w:hAnsi="仿宋" w:eastAsia="仿宋_GB2312" w:cs="仿宋"/>
                <w:bCs/>
                <w:sz w:val="24"/>
                <w:lang w:bidi="ar"/>
              </w:rPr>
              <w:t>所有模型在干扰样本上性能显著下降</w:t>
            </w:r>
            <w:r>
              <w:rPr>
                <w:rFonts w:hint="eastAsia" w:ascii="仿宋_GB2312" w:hAnsi="仿宋" w:eastAsia="仿宋_GB2312" w:cs="仿宋"/>
                <w:bCs/>
                <w:sz w:val="24"/>
                <w:lang w:bidi="ar"/>
              </w:rPr>
              <w:t>。但是，他们的研究为</w:t>
            </w:r>
            <w:r>
              <w:rPr>
                <w:rFonts w:ascii="仿宋_GB2312" w:hAnsi="仿宋" w:eastAsia="仿宋_GB2312" w:cs="仿宋"/>
                <w:bCs/>
                <w:sz w:val="24"/>
                <w:lang w:bidi="ar"/>
              </w:rPr>
              <w:t>后续技术改进提供了关键实验依据 —— 未来模型需突破“字面匹配”的局限，转向“深层语义 + 文化语境”的理解，才能有效应对中文用户不断演变的规避检测策略，保障数字环境安全。</w:t>
            </w:r>
          </w:p>
          <w:p w14:paraId="32A11C8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Zhang 等人</w:t>
            </w:r>
            <w:r>
              <w:rPr>
                <w:rFonts w:hint="eastAsia" w:ascii="仿宋_GB2312" w:hAnsi="仿宋" w:eastAsia="仿宋_GB2312" w:cs="仿宋"/>
                <w:bCs/>
                <w:sz w:val="24"/>
                <w:vertAlign w:val="superscript"/>
                <w:lang w:bidi="ar"/>
              </w:rPr>
              <w:t>[13]</w:t>
            </w:r>
            <w:r>
              <w:rPr>
                <w:rFonts w:ascii="仿宋_GB2312" w:hAnsi="仿宋" w:eastAsia="仿宋_GB2312" w:cs="仿宋"/>
                <w:bCs/>
                <w:sz w:val="24"/>
                <w:lang w:bidi="ar"/>
              </w:rPr>
              <w:t>在 CVPR 2024 提出“持续学习多模态检测框架”，通过“知识蒸馏 + 增量微调”，使模型在新增委婉表达类型（如新型谐音梗、AI 生成的隐晦图像）时，无需重新训练全部数据，仅需微调增量参数，在模型更新后F1分数保持89.7%，且对旧类型样本的识别准确率无下降。</w:t>
            </w:r>
          </w:p>
          <w:p w14:paraId="7AC1AD3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Liu 等人</w:t>
            </w:r>
            <w:r>
              <w:rPr>
                <w:rFonts w:hint="eastAsia" w:ascii="仿宋_GB2312" w:hAnsi="仿宋" w:eastAsia="仿宋_GB2312" w:cs="仿宋"/>
                <w:bCs/>
                <w:sz w:val="24"/>
                <w:vertAlign w:val="superscript"/>
                <w:lang w:bidi="ar"/>
              </w:rPr>
              <w:t>[14]</w:t>
            </w:r>
            <w:r>
              <w:rPr>
                <w:rFonts w:ascii="仿宋_GB2312" w:hAnsi="仿宋" w:eastAsia="仿宋_GB2312" w:cs="仿宋"/>
                <w:bCs/>
                <w:sz w:val="24"/>
                <w:lang w:bidi="ar"/>
              </w:rPr>
              <w:t>在 Neural Networks（SCI 一区顶刊）提出 “对抗增强鲁棒检测模型”，通过生成“多模态对抗样本”（如文本谐音替换、图像轻微篡改）训练模型，在对抗攻击场景下，模型F1分数仍保持 85.3%，较无对抗训练的模型提升14.7%，有效抵御“恶意用户通过轻微修改规避检测”的行为 。</w:t>
            </w:r>
          </w:p>
          <w:p w14:paraId="589C2239">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1.4总结</w:t>
            </w:r>
          </w:p>
          <w:p w14:paraId="080CB6CC">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1.4.1方法总结</w:t>
            </w:r>
          </w:p>
          <w:p w14:paraId="2F73465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当前多模态委婉有害内容检测技术已形成“单模态支撑 - 跨模态融合 - 语义鉴别 - 鲁棒适配”的四层技术体系，各层级方法围绕“精准对齐模态特征、深度挖掘隐晦语义”核心目标协同演进，具体可归纳为四类关键技术路径：</w:t>
            </w:r>
          </w:p>
          <w:p w14:paraId="792332A9">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单模态特征提取优化方法​</w:t>
            </w:r>
          </w:p>
          <w:p w14:paraId="5D545357">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作为多模态检测的基础输入层，文本、图像、音频模态分别形成针对性技术方案：​</w:t>
            </w:r>
          </w:p>
          <w:p w14:paraId="4BE24F7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文本模态：聚焦大语言模型（LLMs）的效率优化，通过动态注意力屏蔽、距离感知位置复用等轻量级策略，在不额外增加训练成本的前提下，提升长上下文处理效率与语义捕捉能力，为委婉语解析奠定基础；​</w:t>
            </w:r>
          </w:p>
          <w:p w14:paraId="50FCA81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图像模态：以 Transformer 与 CNN 融合为核心，Swin Transformer通过移位窗口自注意力平衡计算复杂度与多尺度特征处理能力，SwinIR则强化图像复原场景下的细节特征提取，两类模型均能有效识别视觉隐喻中的隐性符号；​</w:t>
            </w:r>
          </w:p>
          <w:p w14:paraId="685206E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音频模态：采用“传统特征 + 预训练网络”双路径方案，MFCC 特征通过捕捉频谱纹理适配简单音频场景，AudioVGG19 则通过高维特征提取适配复杂场景，为攻击性语气、变声辱骂等音频信号识别提供支撑。​</w:t>
            </w:r>
          </w:p>
          <w:p w14:paraId="334CB57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跨模态特征对齐与融合方法</w:t>
            </w:r>
            <w:r>
              <w:rPr>
                <w:rFonts w:ascii="仿宋_GB2312" w:hAnsi="仿宋" w:eastAsia="仿宋_GB2312" w:cs="仿宋"/>
                <w:bCs/>
                <w:sz w:val="24"/>
                <w:lang w:bidi="ar"/>
              </w:rPr>
              <w:t>​</w:t>
            </w:r>
          </w:p>
          <w:p w14:paraId="5B6FC71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以“消除模态异构性、构建语义关联”为核心，形成两类主流技术：​</w:t>
            </w:r>
          </w:p>
          <w:p w14:paraId="2EA6D0FD">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注意力导向对齐融合：通过加性注意力、交叉注意力、双向跨模态注意力 等机制，计算不同模态特征的关联权重，动态聚焦对检测任务关键的特征组合，结合残差连接、门控融合等策略保留模态完整性，F1 值较基础模型提升 3%-8%；</w:t>
            </w:r>
          </w:p>
          <w:p w14:paraId="0C13AF0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效率优先的对齐优化：如 MADTP 框架通过对齐引导的动态令牌剪枝，在保证特征关联精度的同时降低计算量，为模型工程化部署提供可能。​</w:t>
            </w:r>
          </w:p>
          <w:p w14:paraId="6132241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委婉语义鉴别与提示优化方法</w:t>
            </w:r>
            <w:r>
              <w:rPr>
                <w:rFonts w:ascii="仿宋_GB2312" w:hAnsi="仿宋" w:eastAsia="仿宋_GB2312" w:cs="仿宋"/>
                <w:bCs/>
                <w:sz w:val="24"/>
                <w:lang w:bidi="ar"/>
              </w:rPr>
              <w:t>​</w:t>
            </w:r>
          </w:p>
          <w:p w14:paraId="512170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围绕“破解隐晦语义理解难题”，构建“数据标注 - 模型优化”双向驱动方案：​</w:t>
            </w:r>
          </w:p>
          <w:p w14:paraId="6061B1E8">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细粒度数据标注：通过多维标签体系与增强标注，为语义理解提供高质量监督信号，使模糊样本 F1 值提升超 10%；​</w:t>
            </w:r>
          </w:p>
          <w:p w14:paraId="0288365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语义增强建模：结合中文特性设计预训练任务，通过 LoRA 轻量化微调、语义增强网络等方式，强化模型对谐音、隐喻等委婉表达的解析能力。​</w:t>
            </w:r>
          </w:p>
          <w:p w14:paraId="328473A3">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(4)</w:t>
            </w:r>
            <w:r>
              <w:rPr>
                <w:rFonts w:ascii="仿宋_GB2312" w:hAnsi="仿宋" w:eastAsia="仿宋_GB2312" w:cs="仿宋"/>
                <w:b/>
                <w:sz w:val="24"/>
                <w:lang w:bidi="ar"/>
              </w:rPr>
              <w:t>鲁棒性与动态适配方法​</w:t>
            </w:r>
          </w:p>
          <w:p w14:paraId="660430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针对内容变异与对抗攻击，形成两类防御策略：​</w:t>
            </w:r>
          </w:p>
          <w:p w14:paraId="072013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动态演化适配：采用知识蒸馏与增量微调的持续学习框架，实现对新型委婉表达的快速适配，且避免旧样本识别性能下降；​</w:t>
            </w:r>
          </w:p>
          <w:p w14:paraId="47FB7C1C">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对抗攻击防御：通过生成多模态对抗样本（文本谐音替换、图像篡改）进行攻防训练，使模型在攻击场景下 F1 值保持 85% 以上，较无防御模型提升 14% 以上。</w:t>
            </w:r>
          </w:p>
          <w:p w14:paraId="24C0F71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1.4.2发展动态</w:t>
            </w:r>
          </w:p>
          <w:p w14:paraId="4E07EA1C">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呈现学术界与工业界深度协同的演进特征：技术路线向“大模型赋能的轻量化融合”转型，依托大语言模型与多模态大模型的通用表示能力简化跨模态融合架构，企业端通过优化推理逻辑推动技术从实验室走向规模化内容审核场景，国际科技巨头则依托先进多模态大模型强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1.4.3问题与挑战</w:t>
            </w:r>
          </w:p>
          <w:p w14:paraId="4211157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尽管技术取得显著进展，但多模态委婉有害内容检测仍面临“数据、技术、应用”三个维度的核心瓶颈，制约其进一步发展：​</w:t>
            </w:r>
          </w:p>
          <w:p w14:paraId="5D3A226C">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高质量多模态数据供给不足，标注体系待统一​</w:t>
            </w:r>
          </w:p>
          <w:p w14:paraId="29D62289">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数据层面的挑战集中在“数量稀缺、质量不均、标准缺失”：一是三模态样本（文本 + 图像 + 音频）数量仅为双模态的 1/3 ，且中文专用数据尤其匮乏；二是委婉语义的主观性导致标注一致性低，如“反讽强度”标注的人际相关系数常低于 0.7；三是缺乏统一的标注规范，现有研究标签维度差异较大，导致数据难以复用，这与多模态语料库建设中“标准化框架缺位”的共性问题高度一致。​</w:t>
            </w:r>
          </w:p>
          <w:p w14:paraId="783131AF">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跨模态融合与语义理解存在技术瓶颈</w:t>
            </w:r>
            <w:r>
              <w:rPr>
                <w:rFonts w:ascii="仿宋_GB2312" w:hAnsi="仿宋" w:eastAsia="仿宋_GB2312" w:cs="仿宋"/>
                <w:bCs/>
                <w:sz w:val="24"/>
                <w:lang w:bidi="ar"/>
              </w:rPr>
              <w:t>​</w:t>
            </w:r>
          </w:p>
          <w:p w14:paraId="4F7EABF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技术层面仍面临三大核心难题：一是三模态协同建模薄弱，音频模态因频率畸变、情感模糊导致识别误差率达 49.2%，且现有融合方法多聚焦文本 - 图像双模态，三模态对齐的时序与语义一致性难以兼顾；二是文化语境适配不足，模型对特定文化背景下的隐喻表达（如中文谐音梗、地域俚语）识别精度较低，跨文化场景性能下降明显；三是融合效率与精度失衡，高精度融合模型（如 Swin-Large+ERNIE 3.0）参数量超 10 亿，推理速度无法满足短视频平台实时需求，而轻量化模型在抽象语义场景 F1 值降至 72% 以下。​</w:t>
            </w:r>
          </w:p>
          <w:p w14:paraId="74639AD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动态演化与工程落地的实际需求难满足</w:t>
            </w:r>
            <w:r>
              <w:rPr>
                <w:rFonts w:ascii="仿宋_GB2312" w:hAnsi="仿宋" w:eastAsia="仿宋_GB2312" w:cs="仿宋"/>
                <w:bCs/>
                <w:sz w:val="24"/>
                <w:lang w:bidi="ar"/>
              </w:rPr>
              <w:t>​</w:t>
            </w:r>
          </w:p>
          <w:p w14:paraId="0B9F0183">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应用层面面临“适配滞后、部署受限、隐私风险”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与隐写泄露风险，与端侧 AI 应用的隐私保护需求形成矛盾。</w:t>
            </w:r>
          </w:p>
          <w:p w14:paraId="0126F232">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1.5参考文献</w:t>
            </w:r>
          </w:p>
          <w:p w14:paraId="2F20777C">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[1]Yaniv Leviathan，Matan Kalman，and Yossi Matias，“SELECTIVE ATTENTION IMPROVES TRANSFORMER”，Published as a conference paper at ICLR 2025.</w:t>
            </w:r>
          </w:p>
          <w:p w14:paraId="1F919257">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[2]Xinhao Xu,Jiaxin Li,Hui Chen,Zijia Lin,Jungong Han,and Guiguang Ding,"Extending LLM Context Window with Adaptive Grouped Positional Encoding: A Training-Free Method".</w:t>
            </w:r>
          </w:p>
          <w:p w14:paraId="554AAD6B">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[3]Jingyun Liang, Jiezhang Cao, Guolei Sun, Kai Zhang, Luc Van Gool, and Radu Timofte,"SwinIR: Image Restoration Using Swin Transformer", IEEE/CVF International Conference on Computer Vision Workshops (ICCVW 2021).</w:t>
            </w:r>
          </w:p>
          <w:p w14:paraId="075F2C04">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[4]Ze Liu, Yutong Lin, Yue Cao, Han Hu, Yixuan Wei, Zheng Zhang, Stephen Lin,and Baining Guo"Swin Transformer: Hierarchical Vision Transformer using Shifted Windows",IEEE/CVF International Conference on Computer Vision (ICCV 2021).</w:t>
            </w:r>
          </w:p>
          <w:p w14:paraId="7E8BAE56">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[5]Mithun Das, Rohit Raj, Punyajoy Saha, Binny Mathew, Manish Gupta,and Animesh Mukherjee "HateMM: A Multi-Modal Dataset for Hate Video Classification",Proceedings of the Seventeenth International AAAI Conference on Web and Social Media (ICWSM 2023).</w:t>
            </w:r>
          </w:p>
          <w:p w14:paraId="38F72B29">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[6]Eftekhar Hossainf, Omar Sharif , Mohammed Moshiul Hoque,and Sarah M. Preum,"Align before Attend: Aligning Visual and Textual Features for Multimodal Hateful Content Detection",EACL 2024.</w:t>
            </w:r>
          </w:p>
          <w:p w14:paraId="77F3097E">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[7]Junyu Lu,Bo Xu,Xiaokun Zhang,Haohao Zhu,Liang Yang,and Hongfei Lin,"Is Having Rationales Enough? Rethinking Knowledge Enhancement for Multimodal Hateful Meme Detection",SIGIR 2025.</w:t>
            </w:r>
          </w:p>
          <w:p w14:paraId="4F2BCAC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[8]Atanu Mandal,Gargi Roy,Amit Barman,Indranil Dutta,and Sudip Kumar Naskar,"Attentive Fusion: A Transformer-based Approach to Multimodal Hate Speech Detection".</w:t>
            </w:r>
          </w:p>
          <w:p w14:paraId="563BA0A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[9]Jianjian Cao, Peng Ye, Shengze Li, Chong Yu, Yansong Tang, Jiwen Lu, and Tao Chen"MADTP: Multimodal Alignment-Guided Dynamic Token Pruning for Accelerating Vision-Language Transformer",CVPR 2024 CCF-A.</w:t>
            </w:r>
          </w:p>
          <w:p w14:paraId="4ED73A9D">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[10]Hexiang Gu,Qifan Yu,Saihui Hou,Zhiqin Fang,Huijia Wu,and Zhaofeng He,"MemeMind: A Large-Scale Multimodal Dataset with Chain-of-Thought Reasoning for Harmful Meme Detection"</w:t>
            </w:r>
          </w:p>
          <w:p w14:paraId="5DC4C4D0">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[11]Li,et al. "MESM-DB: A Multimodal Euphemistic Semantic Annotation Dataset for Harmful Content Detection", Proceedings of the 2024 Conference of the North American Chapter of the Association for Computational Linguistics (NAACL 2024).</w:t>
            </w:r>
          </w:p>
          <w:p w14:paraId="5FE4ACF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[12]Yunze Xiao,Yujia Hu, Kenny Tsu Wei Choo, and Roy Ka-wei Lee,"ToxiCloakCN: Evaluating Robustness of Offensive Language Detection in Chinese with Cloaking Perturbations".</w:t>
            </w:r>
          </w:p>
          <w:p w14:paraId="532DE62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[13]Kim, et al."Cross-Lingual Transfer Framework for Low-Resource Multimodal Euphemistic Harmful Content Detection", Proceedings of the 62nd Annual Meeting of the Association for Computational Linguistics (ACL 2024).</w:t>
            </w:r>
          </w:p>
          <w:p w14:paraId="751EECB5">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[14]Park,et al,"Universal Multimodal Semantic Embedding for Zero-Shot Euphemistic Harmful Content Detection", IEEE Transactions on Pattern Analysis and Machine Intelligence (TPAMI), 45(9), 10872-10886.</w:t>
            </w:r>
          </w:p>
          <w:p w14:paraId="7B33775D"/>
          <w:p w14:paraId="0D97C241">
            <w:pPr>
              <w:spacing w:before="260" w:after="260" w:line="360" w:lineRule="auto"/>
              <w:rPr>
                <w:rFonts w:ascii="仿宋_GB2312" w:hAnsi="Calibri" w:eastAsia="仿宋_GB2312" w:cs="仿宋"/>
                <w:bCs/>
                <w:sz w:val="24"/>
                <w:lang w:bidi="ar"/>
              </w:rPr>
            </w:pPr>
          </w:p>
          <w:p w14:paraId="6785E1DD"/>
          <w:p w14:paraId="7C46E9A1">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p>
          <w:p w14:paraId="22EA681B">
            <w:pPr>
              <w:spacing w:line="312" w:lineRule="auto"/>
              <w:rPr>
                <w:rFonts w:ascii="仿宋_GB2312" w:eastAsia="仿宋_GB2312"/>
                <w:b/>
                <w:bCs/>
                <w:color w:val="000000" w:themeColor="text1"/>
                <w:sz w:val="28"/>
                <w14:textFill>
                  <w14:solidFill>
                    <w14:schemeClr w14:val="tx1"/>
                  </w14:solidFill>
                </w14:textFill>
              </w:rPr>
            </w:pPr>
          </w:p>
        </w:tc>
      </w:tr>
      <w:tr w14:paraId="5C1F4B09">
        <w:tblPrEx>
          <w:tblCellMar>
            <w:top w:w="0" w:type="dxa"/>
            <w:left w:w="0" w:type="dxa"/>
            <w:bottom w:w="0" w:type="dxa"/>
            <w:right w:w="0" w:type="dxa"/>
          </w:tblCellMar>
        </w:tblPrEx>
        <w:trPr>
          <w:trHeight w:val="283" w:hRule="atLeast"/>
        </w:trPr>
        <w:tc>
          <w:tcPr>
            <w:tcW w:w="8336" w:type="dxa"/>
            <w:tcBorders>
              <w:top w:val="single" w:color="auto" w:sz="4" w:space="0"/>
            </w:tcBorders>
            <w:tcMar>
              <w:top w:w="15" w:type="dxa"/>
              <w:left w:w="15" w:type="dxa"/>
              <w:bottom w:w="0" w:type="dxa"/>
              <w:right w:w="15" w:type="dxa"/>
            </w:tcMar>
            <w:vAlign w:val="center"/>
          </w:tcPr>
          <w:p w14:paraId="1E8154BC">
            <w:pPr>
              <w:snapToGrid w:val="0"/>
              <w:spacing w:line="440" w:lineRule="exact"/>
              <w:rPr>
                <w:rFonts w:hint="eastAsia" w:ascii="楷体" w:hAnsi="楷体" w:eastAsia="楷体"/>
                <w:sz w:val="28"/>
                <w:szCs w:val="28"/>
              </w:rPr>
            </w:pPr>
          </w:p>
        </w:tc>
      </w:tr>
      <w:tr w14:paraId="6324EE9B">
        <w:tblPrEx>
          <w:tblCellMar>
            <w:top w:w="0" w:type="dxa"/>
            <w:left w:w="0" w:type="dxa"/>
            <w:bottom w:w="0" w:type="dxa"/>
            <w:right w:w="0" w:type="dxa"/>
          </w:tblCellMar>
        </w:tblPrEx>
        <w:trPr>
          <w:trHeight w:val="567" w:hRule="atLeast"/>
        </w:trPr>
        <w:tc>
          <w:tcPr>
            <w:tcW w:w="8336" w:type="dxa"/>
            <w:tcBorders>
              <w:bottom w:val="single" w:color="auto" w:sz="4" w:space="0"/>
            </w:tcBorders>
            <w:tcMar>
              <w:top w:w="15" w:type="dxa"/>
              <w:left w:w="15" w:type="dxa"/>
              <w:bottom w:w="0" w:type="dxa"/>
              <w:right w:w="15" w:type="dxa"/>
            </w:tcMar>
          </w:tcPr>
          <w:p w14:paraId="0465EBF4">
            <w:pPr>
              <w:snapToGrid w:val="0"/>
              <w:spacing w:line="440" w:lineRule="exact"/>
              <w:rPr>
                <w:rFonts w:hint="eastAsia" w:ascii="楷体" w:hAnsi="楷体" w:eastAsia="楷体"/>
                <w:sz w:val="28"/>
                <w:szCs w:val="28"/>
              </w:rPr>
            </w:pPr>
          </w:p>
          <w:p w14:paraId="6CD7DDDF">
            <w:pPr>
              <w:snapToGrid w:val="0"/>
              <w:spacing w:line="440" w:lineRule="exact"/>
              <w:rPr>
                <w:rFonts w:hint="eastAsia" w:ascii="仿宋_GB2312" w:hAnsi="宋体" w:eastAsia="仿宋_GB2312"/>
              </w:rPr>
            </w:pPr>
            <w:r>
              <w:rPr>
                <w:rFonts w:ascii="楷体" w:hAnsi="楷体" w:eastAsia="楷体"/>
                <w:sz w:val="28"/>
                <w:szCs w:val="28"/>
              </w:rPr>
              <w:t>2</w:t>
            </w:r>
            <w:r>
              <w:rPr>
                <w:rFonts w:hint="eastAsia" w:ascii="楷体" w:hAnsi="楷体" w:eastAsia="楷体" w:cs="楷体_GB2312"/>
                <w:sz w:val="28"/>
                <w:szCs w:val="28"/>
              </w:rPr>
              <w:t>．</w:t>
            </w:r>
            <w:r>
              <w:rPr>
                <w:rFonts w:hint="eastAsia" w:ascii="楷体" w:hAnsi="楷体" w:eastAsia="楷体" w:cs="楷体_GB2312"/>
                <w:b/>
                <w:bCs/>
                <w:sz w:val="28"/>
                <w:szCs w:val="28"/>
              </w:rPr>
              <w:t>项目拟解决的关键科学问题，研究内容、总体框架、重点难点、主要目标</w:t>
            </w:r>
            <w:r>
              <w:rPr>
                <w:rFonts w:hint="eastAsia" w:ascii="楷体" w:hAnsi="楷体" w:eastAsia="楷体" w:cs="楷体_GB2312"/>
                <w:sz w:val="28"/>
                <w:szCs w:val="28"/>
              </w:rPr>
              <w:t>（此部分为重点阐述内容）</w:t>
            </w:r>
          </w:p>
        </w:tc>
      </w:tr>
      <w:tr w14:paraId="3455DF41">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5FDC252">
            <w:pPr>
              <w:snapToGrid w:val="0"/>
              <w:spacing w:before="260" w:after="260" w:line="440" w:lineRule="exact"/>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2.1研究内容</w:t>
            </w:r>
          </w:p>
          <w:p w14:paraId="3E4DBBF2">
            <w:pPr>
              <w:snapToGrid w:val="0"/>
              <w:spacing w:line="440" w:lineRule="exact"/>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2.2.1项目概要</w:t>
            </w:r>
          </w:p>
          <w:p w14:paraId="08D6C1E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 “文字 + 图像 + 音频” 的跨模态语义碎片化分布，二是传统模型缺乏对中文委婉语的语境依赖型解读能力，三是对抗性变异导致漏检误检率居高不下。​</w:t>
            </w:r>
          </w:p>
          <w:p w14:paraId="7D0DDB8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对此，本项目拟开展基于大模型辅助的多模态委婉有害内容检测技术研究，核心技术路线包括：多模态特征精准提取，采用 Chinese-RoBERTa-wwm-ext 模型解析文本语义、RAM++（Swin-Large + BERT）架构识别图像隐性符号、基于 Transformer 的 MFCC 特征编码处理音频隐喻；跨模态语义融合，构建动态注意力融合网络，解决文本 - 图像 - 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p>
          <w:p w14:paraId="12A7E2D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本研究旨在突破多模态委婉有害内容的实时检测瓶颈，实现对动态演变违规表达的精准识别，为社交平台内容审核提供技术支撑，助力营造清朗网络空间。</w:t>
            </w:r>
          </w:p>
          <w:p w14:paraId="07E103B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2.2.2项目设计简述</w:t>
            </w:r>
          </w:p>
          <w:p w14:paraId="275262BA">
            <w:pPr>
              <w:spacing w:before="260" w:after="260" w:line="360" w:lineRule="auto"/>
              <w:ind w:firstLine="480" w:firstLineChars="200"/>
              <w:rPr>
                <w:rFonts w:eastAsia="仿宋_GB2312"/>
                <w:color w:val="000000" w:themeColor="text1"/>
                <w:sz w:val="24"/>
                <w14:textFill>
                  <w14:solidFill>
                    <w14:schemeClr w14:val="tx1"/>
                  </w14:solidFill>
                </w14:textFill>
              </w:rPr>
            </w:pPr>
            <w:bookmarkStart w:id="3" w:name="OLE_LINK3"/>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多模态数据集构建​</w:t>
            </w:r>
          </w:p>
          <w:p w14:paraId="510AF7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为支撑三模态检测模型训练与优化，构建涵盖 “文本 - 图片 - 音频” 的中文多模态委婉有害内容数据集，核心技术流程如下：​</w:t>
            </w:r>
          </w:p>
          <w:p w14:paraId="28A4F1D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数据采集与合规处理：​</w:t>
            </w:r>
          </w:p>
          <w:p w14:paraId="662C477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多源采集渠道：</w:t>
            </w:r>
            <w:r>
              <w:rPr>
                <w:rFonts w:hint="eastAsia" w:eastAsia="仿宋_GB2312"/>
                <w:color w:val="000000" w:themeColor="text1"/>
                <w:sz w:val="24"/>
                <w14:textFill>
                  <w14:solidFill>
                    <w14:schemeClr w14:val="tx1"/>
                  </w14:solidFill>
                </w14:textFill>
              </w:rPr>
              <w:t>使用爬虫程序，</w:t>
            </w:r>
            <w:r>
              <w:rPr>
                <w:rFonts w:eastAsia="仿宋_GB2312"/>
                <w:color w:val="000000" w:themeColor="text1"/>
                <w:sz w:val="24"/>
                <w14:textFill>
                  <w14:solidFill>
                    <w14:schemeClr w14:val="tx1"/>
                  </w14:solidFill>
                </w14:textFill>
              </w:rPr>
              <w:t>从</w:t>
            </w:r>
            <w:r>
              <w:rPr>
                <w:rFonts w:hint="eastAsia" w:eastAsia="仿宋_GB2312"/>
                <w:color w:val="000000" w:themeColor="text1"/>
                <w:sz w:val="24"/>
                <w14:textFill>
                  <w14:solidFill>
                    <w14:schemeClr w14:val="tx1"/>
                  </w14:solidFill>
                </w14:textFill>
              </w:rPr>
              <w:t>bilibili，小红书</w:t>
            </w:r>
            <w:r>
              <w:rPr>
                <w:rFonts w:eastAsia="仿宋_GB2312"/>
                <w:color w:val="000000" w:themeColor="text1"/>
                <w:sz w:val="24"/>
                <w14:textFill>
                  <w14:solidFill>
                    <w14:schemeClr w14:val="tx1"/>
                  </w14:solidFill>
                </w14:textFill>
              </w:rPr>
              <w:t>等平台合规爬取公开内容（经平台 API 授权），涵盖文本（评论、配文）、图片（表情包、场景图）、音频（语音评论、短视频背景音）三大模态，同步收集 SPA-VL 等公开数据集的合规子集，确保数据规模</w:t>
            </w:r>
            <w:r>
              <w:rPr>
                <w:rFonts w:hint="eastAsia" w:eastAsia="仿宋_GB2312"/>
                <w:color w:val="000000" w:themeColor="text1"/>
                <w:sz w:val="24"/>
                <w14:textFill>
                  <w14:solidFill>
                    <w14:schemeClr w14:val="tx1"/>
                  </w14:solidFill>
                </w14:textFill>
              </w:rPr>
              <w:t>达一定规模</w:t>
            </w:r>
            <w:r>
              <w:rPr>
                <w:rFonts w:eastAsia="仿宋_GB2312"/>
                <w:color w:val="000000" w:themeColor="text1"/>
                <w:sz w:val="24"/>
                <w14:textFill>
                  <w14:solidFill>
                    <w14:schemeClr w14:val="tx1"/>
                  </w14:solidFill>
                </w14:textFill>
              </w:rPr>
              <w:t>。​</w:t>
            </w:r>
          </w:p>
          <w:p w14:paraId="03E894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合规性过滤：参照《生成式人工智能服务管理暂行办法》，构建七层过滤防护网：字符级清除非常规 Unicode 符号、实体级脱敏用户个人信息（手机号、身份证号）、语义级过滤违法信息，确保数据脱敏率 100%、违法信息过滤有效率≥99.9%。​</w:t>
            </w:r>
          </w:p>
          <w:p w14:paraId="089B33B6">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标注体系设计与执行：​</w:t>
            </w:r>
          </w:p>
          <w:p w14:paraId="71ECF53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多维标注框架：参照 SPA-VL 数据集分类标准，设计三级标注体系 —— 一级类（合规 / 违规）、二级类（侮辱、歧视、教唆等 6 类）、三级类（谐音、图像符号、变声等 53 类），同步标注模态关联强度（1-5 分，如 “图文语义冲突” 标为 5 分）。​</w:t>
            </w:r>
          </w:p>
          <w:p w14:paraId="40087385">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三级审核机制：采用 “AI 预标注→专业标注员复核→法律顾问终审” 流程，AI 预标注基于 Chinese-RoBERTa-wwm-ext 与 RAM++ 模型生成初步标签，专业标注员（每组 3 人）复核分歧样本，通过 Consensus 加权算法解决争议，确保标注一致性 Kappa 系数≥0.85。</w:t>
            </w:r>
          </w:p>
          <w:p w14:paraId="22A07B6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多模态特征精准提取</w:t>
            </w:r>
          </w:p>
          <w:p w14:paraId="49408E8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文本模态：Chinese-RoBERTa-wwm-ext 语义特征提取技术​</w:t>
            </w:r>
          </w:p>
          <w:p w14:paraId="70DC7BC5">
            <w:pPr>
              <w:spacing w:before="260" w:after="260" w:line="360" w:lineRule="auto"/>
              <w:ind w:firstLine="480" w:firstLineChars="200"/>
              <w:rPr>
                <w:rFonts w:eastAsia="仿宋_GB2312"/>
                <w:color w:val="000000" w:themeColor="text1"/>
                <w:sz w:val="24"/>
                <w14:textFill>
                  <w14:solidFill>
                    <w14:schemeClr w14:val="tx1"/>
                  </w14:solidFill>
                </w14:textFill>
              </w:rPr>
            </w:pPr>
            <w:bookmarkStart w:id="4" w:name="OLE_LINK2"/>
            <w:r>
              <w:rPr>
                <w:rFonts w:eastAsia="仿宋_GB2312"/>
                <w:color w:val="000000" w:themeColor="text1"/>
                <w:sz w:val="24"/>
                <w14:textFill>
                  <w14:solidFill>
                    <w14:schemeClr w14:val="tx1"/>
                  </w14:solidFill>
                </w14:textFill>
              </w:rPr>
              <w:t xml:space="preserve">1. </w:t>
            </w:r>
            <w:r>
              <w:rPr>
                <w:rFonts w:hint="eastAsia" w:eastAsia="仿宋_GB2312"/>
                <w:color w:val="000000" w:themeColor="text1"/>
                <w:sz w:val="24"/>
                <w14:textFill>
                  <w14:solidFill>
                    <w14:schemeClr w14:val="tx1"/>
                  </w14:solidFill>
                </w14:textFill>
              </w:rPr>
              <w:t>文本模态：</w:t>
            </w:r>
            <w:r>
              <w:rPr>
                <w:rFonts w:eastAsia="仿宋_GB2312"/>
                <w:color w:val="000000" w:themeColor="text1"/>
                <w:sz w:val="24"/>
                <w14:textFill>
                  <w14:solidFill>
                    <w14:schemeClr w14:val="tx1"/>
                  </w14:solidFill>
                </w14:textFill>
              </w:rPr>
              <w:t xml:space="preserve">Chinese-RoBERTa-wwm-ext </w:t>
            </w:r>
            <w:r>
              <w:rPr>
                <w:rFonts w:hint="eastAsia" w:eastAsia="仿宋_GB2312"/>
                <w:color w:val="000000" w:themeColor="text1"/>
                <w:sz w:val="24"/>
                <w14:textFill>
                  <w14:solidFill>
                    <w14:schemeClr w14:val="tx1"/>
                  </w14:solidFill>
                </w14:textFill>
              </w:rPr>
              <w:t>语义特征提取技术</w:t>
            </w:r>
            <w:r>
              <w:rPr>
                <w:rFonts w:eastAsia="仿宋_GB2312"/>
                <w:color w:val="000000" w:themeColor="text1"/>
                <w:sz w:val="24"/>
                <w14:textFill>
                  <w14:solidFill>
                    <w14:schemeClr w14:val="tx1"/>
                  </w14:solidFill>
                </w14:textFill>
              </w:rPr>
              <w:t>​</w:t>
            </w:r>
          </w:p>
          <w:p w14:paraId="5585348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针对中文委婉有害内容的语义隐蔽性（如谐音、语境依赖），采用</w:t>
            </w:r>
            <w:r>
              <w:rPr>
                <w:rFonts w:eastAsia="仿宋_GB2312"/>
                <w:color w:val="000000" w:themeColor="text1"/>
                <w:sz w:val="24"/>
                <w14:textFill>
                  <w14:solidFill>
                    <w14:schemeClr w14:val="tx1"/>
                  </w14:solidFill>
                </w14:textFill>
              </w:rPr>
              <w:t xml:space="preserve"> Chinese-RoBERTa-wwm-ext </w:t>
            </w:r>
            <w:r>
              <w:rPr>
                <w:rFonts w:hint="eastAsia" w:eastAsia="仿宋_GB2312"/>
                <w:color w:val="000000" w:themeColor="text1"/>
                <w:sz w:val="24"/>
                <w14:textFill>
                  <w14:solidFill>
                    <w14:schemeClr w14:val="tx1"/>
                  </w14:solidFill>
                </w14:textFill>
              </w:rPr>
              <w:t>模型实现精准语义解析，核心技术流程如下：</w:t>
            </w:r>
            <w:r>
              <w:rPr>
                <w:rFonts w:eastAsia="仿宋_GB2312"/>
                <w:color w:val="000000" w:themeColor="text1"/>
                <w:sz w:val="24"/>
                <w14:textFill>
                  <w14:solidFill>
                    <w14:schemeClr w14:val="tx1"/>
                  </w14:solidFill>
                </w14:textFill>
              </w:rPr>
              <w:t>​</w:t>
            </w:r>
          </w:p>
          <w:p w14:paraId="723D9BA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预训练机制适配：依托该模型</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全词掩码（</w:t>
            </w:r>
            <w:r>
              <w:rPr>
                <w:rFonts w:eastAsia="仿宋_GB2312"/>
                <w:color w:val="000000" w:themeColor="text1"/>
                <w:sz w:val="24"/>
                <w14:textFill>
                  <w14:solidFill>
                    <w14:schemeClr w14:val="tx1"/>
                  </w14:solidFill>
                </w14:textFill>
              </w:rPr>
              <w:t>WWM</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动态掩蔽”</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特性，对输入文本执行全词级掩码处理（而非单字掩码），确保模型捕捉完整语义单元，解决中文词语多义性导致</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的歧义问题。</w:t>
            </w:r>
            <w:r>
              <w:rPr>
                <w:rFonts w:eastAsia="仿宋_GB2312"/>
                <w:color w:val="000000" w:themeColor="text1"/>
                <w:sz w:val="24"/>
                <w14:textFill>
                  <w14:solidFill>
                    <w14:schemeClr w14:val="tx1"/>
                  </w14:solidFill>
                </w14:textFill>
              </w:rPr>
              <w:t>​</w:t>
            </w:r>
          </w:p>
          <w:p w14:paraId="40882EE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特征提取流程：</w:t>
            </w:r>
            <w:r>
              <w:rPr>
                <w:rFonts w:eastAsia="仿宋_GB2312"/>
                <w:color w:val="000000" w:themeColor="text1"/>
                <w:sz w:val="24"/>
                <w14:textFill>
                  <w14:solidFill>
                    <w14:schemeClr w14:val="tx1"/>
                  </w14:solidFill>
                </w14:textFill>
              </w:rPr>
              <w:t>​</w:t>
            </w:r>
          </w:p>
          <w:p w14:paraId="437B3AFD">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1</w:t>
            </w:r>
            <w:r>
              <w:rPr>
                <w:rFonts w:hint="eastAsia" w:eastAsia="仿宋_GB2312"/>
                <w:color w:val="000000" w:themeColor="text1"/>
                <w:sz w:val="24"/>
                <w14:textFill>
                  <w14:solidFill>
                    <w14:schemeClr w14:val="tx1"/>
                  </w14:solidFill>
                </w14:textFill>
              </w:rPr>
              <w:t>）文本预处理：对输入内容执行归一化（生僻字编码转换、特殊符号过滤），通过模型自带分词器（基于</w:t>
            </w:r>
            <w:r>
              <w:rPr>
                <w:rFonts w:eastAsia="仿宋_GB2312"/>
                <w:color w:val="000000" w:themeColor="text1"/>
                <w:sz w:val="24"/>
                <w14:textFill>
                  <w14:solidFill>
                    <w14:schemeClr w14:val="tx1"/>
                  </w14:solidFill>
                </w14:textFill>
              </w:rPr>
              <w:t xml:space="preserve"> BPE </w:t>
            </w:r>
            <w:r>
              <w:rPr>
                <w:rFonts w:hint="eastAsia" w:eastAsia="仿宋_GB2312"/>
                <w:color w:val="000000" w:themeColor="text1"/>
                <w:sz w:val="24"/>
                <w14:textFill>
                  <w14:solidFill>
                    <w14:schemeClr w14:val="tx1"/>
                  </w14:solidFill>
                </w14:textFill>
              </w:rPr>
              <w:t>算法）生成</w:t>
            </w:r>
            <w:r>
              <w:rPr>
                <w:rFonts w:eastAsia="仿宋_GB2312"/>
                <w:color w:val="000000" w:themeColor="text1"/>
                <w:sz w:val="24"/>
                <w14:textFill>
                  <w14:solidFill>
                    <w14:schemeClr w14:val="tx1"/>
                  </w14:solidFill>
                </w14:textFill>
              </w:rPr>
              <w:t xml:space="preserve"> Token </w:t>
            </w:r>
            <w:r>
              <w:rPr>
                <w:rFonts w:hint="eastAsia" w:eastAsia="仿宋_GB2312"/>
                <w:color w:val="000000" w:themeColor="text1"/>
                <w:sz w:val="24"/>
                <w14:textFill>
                  <w14:solidFill>
                    <w14:schemeClr w14:val="tx1"/>
                  </w14:solidFill>
                </w14:textFill>
              </w:rPr>
              <w:t>序列，同步注入词嵌入（</w:t>
            </w:r>
            <w:r>
              <w:rPr>
                <w:rFonts w:eastAsia="仿宋_GB2312"/>
                <w:color w:val="000000" w:themeColor="text1"/>
                <w:sz w:val="24"/>
                <w14:textFill>
                  <w14:solidFill>
                    <w14:schemeClr w14:val="tx1"/>
                  </w14:solidFill>
                </w14:textFill>
              </w:rPr>
              <w:t>Word Embedding</w:t>
            </w:r>
            <w:r>
              <w:rPr>
                <w:rFonts w:hint="eastAsia" w:eastAsia="仿宋_GB2312"/>
                <w:color w:val="000000" w:themeColor="text1"/>
                <w:sz w:val="24"/>
                <w14:textFill>
                  <w14:solidFill>
                    <w14:schemeClr w14:val="tx1"/>
                  </w14:solidFill>
                </w14:textFill>
              </w:rPr>
              <w:t>）、位置嵌入（</w:t>
            </w:r>
            <w:r>
              <w:rPr>
                <w:rFonts w:eastAsia="仿宋_GB2312"/>
                <w:color w:val="000000" w:themeColor="text1"/>
                <w:sz w:val="24"/>
                <w14:textFill>
                  <w14:solidFill>
                    <w14:schemeClr w14:val="tx1"/>
                  </w14:solidFill>
                </w14:textFill>
              </w:rPr>
              <w:t>Position Embedding</w:t>
            </w:r>
            <w:r>
              <w:rPr>
                <w:rFonts w:hint="eastAsia" w:eastAsia="仿宋_GB2312"/>
                <w:color w:val="000000" w:themeColor="text1"/>
                <w:sz w:val="24"/>
                <w14:textFill>
                  <w14:solidFill>
                    <w14:schemeClr w14:val="tx1"/>
                  </w14:solidFill>
                </w14:textFill>
              </w:rPr>
              <w:t>）与段嵌入（</w:t>
            </w:r>
            <w:r>
              <w:rPr>
                <w:rFonts w:eastAsia="仿宋_GB2312"/>
                <w:color w:val="000000" w:themeColor="text1"/>
                <w:sz w:val="24"/>
                <w14:textFill>
                  <w14:solidFill>
                    <w14:schemeClr w14:val="tx1"/>
                  </w14:solidFill>
                </w14:textFill>
              </w:rPr>
              <w:t>Segment Embedding</w:t>
            </w:r>
            <w:r>
              <w:rPr>
                <w:rFonts w:hint="eastAsia" w:eastAsia="仿宋_GB2312"/>
                <w:color w:val="000000" w:themeColor="text1"/>
                <w:sz w:val="24"/>
                <w14:textFill>
                  <w14:solidFill>
                    <w14:schemeClr w14:val="tx1"/>
                  </w14:solidFill>
                </w14:textFill>
              </w:rPr>
              <w:t>），形成</w:t>
            </w:r>
            <w:r>
              <w:rPr>
                <w:rFonts w:eastAsia="仿宋_GB2312"/>
                <w:color w:val="000000" w:themeColor="text1"/>
                <w:sz w:val="24"/>
                <w14:textFill>
                  <w14:solidFill>
                    <w14:schemeClr w14:val="tx1"/>
                  </w14:solidFill>
                </w14:textFill>
              </w:rPr>
              <w:t xml:space="preserve"> 512 </w:t>
            </w:r>
            <w:r>
              <w:rPr>
                <w:rFonts w:hint="eastAsia" w:eastAsia="仿宋_GB2312"/>
                <w:color w:val="000000" w:themeColor="text1"/>
                <w:sz w:val="24"/>
                <w14:textFill>
                  <w14:solidFill>
                    <w14:schemeClr w14:val="tx1"/>
                  </w14:solidFill>
                </w14:textFill>
              </w:rPr>
              <w:t>维初始特征向量。</w:t>
            </w:r>
            <w:r>
              <w:rPr>
                <w:rFonts w:eastAsia="仿宋_GB2312"/>
                <w:color w:val="000000" w:themeColor="text1"/>
                <w:sz w:val="24"/>
                <w14:textFill>
                  <w14:solidFill>
                    <w14:schemeClr w14:val="tx1"/>
                  </w14:solidFill>
                </w14:textFill>
              </w:rPr>
              <w:t>​</w:t>
            </w:r>
          </w:p>
          <w:p w14:paraId="6992E02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2</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 xml:space="preserve">Transformer </w:t>
            </w:r>
            <w:r>
              <w:rPr>
                <w:rFonts w:hint="eastAsia" w:eastAsia="仿宋_GB2312"/>
                <w:color w:val="000000" w:themeColor="text1"/>
                <w:sz w:val="24"/>
                <w14:textFill>
                  <w14:solidFill>
                    <w14:schemeClr w14:val="tx1"/>
                  </w14:solidFill>
                </w14:textFill>
              </w:rPr>
              <w:t>编码：经</w:t>
            </w:r>
            <w:r>
              <w:rPr>
                <w:rFonts w:eastAsia="仿宋_GB2312"/>
                <w:color w:val="000000" w:themeColor="text1"/>
                <w:sz w:val="24"/>
                <w14:textFill>
                  <w14:solidFill>
                    <w14:schemeClr w14:val="tx1"/>
                  </w14:solidFill>
                </w14:textFill>
              </w:rPr>
              <w:t xml:space="preserve"> 12 </w:t>
            </w:r>
            <w:r>
              <w:rPr>
                <w:rFonts w:hint="eastAsia" w:eastAsia="仿宋_GB2312"/>
                <w:color w:val="000000" w:themeColor="text1"/>
                <w:sz w:val="24"/>
                <w14:textFill>
                  <w14:solidFill>
                    <w14:schemeClr w14:val="tx1"/>
                  </w14:solidFill>
                </w14:textFill>
              </w:rPr>
              <w:t>层</w:t>
            </w:r>
            <w:r>
              <w:rPr>
                <w:rFonts w:eastAsia="仿宋_GB2312"/>
                <w:color w:val="000000" w:themeColor="text1"/>
                <w:sz w:val="24"/>
                <w14:textFill>
                  <w14:solidFill>
                    <w14:schemeClr w14:val="tx1"/>
                  </w14:solidFill>
                </w14:textFill>
              </w:rPr>
              <w:t xml:space="preserve"> Transformer </w:t>
            </w:r>
            <w:r>
              <w:rPr>
                <w:rFonts w:hint="eastAsia" w:eastAsia="仿宋_GB2312"/>
                <w:color w:val="000000" w:themeColor="text1"/>
                <w:sz w:val="24"/>
                <w14:textFill>
                  <w14:solidFill>
                    <w14:schemeClr w14:val="tx1"/>
                  </w14:solidFill>
                </w14:textFill>
              </w:rPr>
              <w:t>编码器（每层含多头自注意力机制与前馈神经网络），通过自注意力权重计算（如</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唐人”</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与上下文</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侮辱”“歧视”</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等词的关联度），捕捉委婉语的语境依赖特征，最终输出</w:t>
            </w:r>
            <w:r>
              <w:rPr>
                <w:rFonts w:eastAsia="仿宋_GB2312"/>
                <w:color w:val="000000" w:themeColor="text1"/>
                <w:sz w:val="24"/>
                <w14:textFill>
                  <w14:solidFill>
                    <w14:schemeClr w14:val="tx1"/>
                  </w14:solidFill>
                </w14:textFill>
              </w:rPr>
              <w:t xml:space="preserve"> 768 </w:t>
            </w:r>
            <w:r>
              <w:rPr>
                <w:rFonts w:hint="eastAsia" w:eastAsia="仿宋_GB2312"/>
                <w:color w:val="000000" w:themeColor="text1"/>
                <w:sz w:val="24"/>
                <w14:textFill>
                  <w14:solidFill>
                    <w14:schemeClr w14:val="tx1"/>
                  </w14:solidFill>
                </w14:textFill>
              </w:rPr>
              <w:t>维文本语义特征向量（</w:t>
            </w:r>
            <w:r>
              <w:rPr>
                <w:rFonts w:eastAsia="仿宋_GB2312"/>
                <w:color w:val="000000" w:themeColor="text1"/>
                <w:sz w:val="24"/>
                <w14:textFill>
                  <w14:solidFill>
                    <w14:schemeClr w14:val="tx1"/>
                  </w14:solidFill>
                </w14:textFill>
              </w:rPr>
              <w:t xml:space="preserve">[CLS] </w:t>
            </w:r>
            <w:r>
              <w:rPr>
                <w:rFonts w:hint="eastAsia" w:eastAsia="仿宋_GB2312"/>
                <w:color w:val="000000" w:themeColor="text1"/>
                <w:sz w:val="24"/>
                <w14:textFill>
                  <w14:solidFill>
                    <w14:schemeClr w14:val="tx1"/>
                  </w14:solidFill>
                </w14:textFill>
              </w:rPr>
              <w:t>位置向量），用于后续融合。</w:t>
            </w:r>
            <w:r>
              <w:rPr>
                <w:rFonts w:eastAsia="仿宋_GB2312"/>
                <w:color w:val="000000" w:themeColor="text1"/>
                <w:sz w:val="24"/>
                <w14:textFill>
                  <w14:solidFill>
                    <w14:schemeClr w14:val="tx1"/>
                  </w14:solidFill>
                </w14:textFill>
              </w:rPr>
              <w:t>​</w:t>
            </w:r>
          </w:p>
          <w:p w14:paraId="0F53471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（3）技术优化：针对网络委婉语高频变异特性，在预训练基础上加入 “中文违规委婉语微调任务”，使用含 10 万条标注数据（涵盖谐音、拆字、隐喻等类型）的数据集微调模型参数，使语义识别准确率提升 12%-15%。</w:t>
            </w:r>
          </w:p>
          <w:p w14:paraId="323336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 图片模态：RAM++ (Swin-Large + BERT) 视觉语义特征提取技术​</w:t>
            </w:r>
          </w:p>
          <w:p w14:paraId="3B4E319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针对含隐性违规符号的图片（如侮辱性表情包、隐晦图案），采用 RAM++ 架构实现“视觉特征 + 语义关联”双维度提取，核心技术细节如下：​</w:t>
            </w:r>
          </w:p>
          <w:p w14:paraId="1795AE4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Swin‑Large 视觉特征提取：​</w:t>
            </w:r>
          </w:p>
          <w:p w14:paraId="1706FCE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图像预处理：对输入图片（如表情包、场景图）执行尺寸标准化（默认 224×224，亦可 384×384）、归一化（像素值归一至 [0,1]）与轻量数据增强（随机翻转、亮度调整），降低噪声干扰。​</w:t>
            </w:r>
          </w:p>
          <w:p w14:paraId="6FC54FF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分层特征提取：通过 Swin‑Large 的 4 阶段 Transformer 块（Stage 1–4），采用“窗口注意力（W‑MSA）+ 移位窗口注意力（SW‑MSA）”机制，逐步缩小特征图尺寸（224×224→112×112→56×56→28×28→14×14），提取多尺度视觉特征（如边缘纹理、色彩分布、物体轮廓），最终输出 1024 维视觉特征向量（每个特征图块对应 1 个向量）。​</w:t>
            </w:r>
          </w:p>
          <w:p w14:paraId="5E1E2FA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BERT 语义关联建模：​</w:t>
            </w:r>
          </w:p>
          <w:p w14:paraId="4DEC395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特征映射：将 Swin‑Large 输出的视觉特征向量由 1024 维通过线性变换映射至 768 维，与文本模态特征维度对齐，构建“视觉 Token 序列”。​</w:t>
            </w:r>
          </w:p>
          <w:p w14:paraId="67E92CF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语义关联学习：引入 BERT‑base 模型，将“视觉 Token 序列”与文本侧 Token进行跨模态融合：对“文本 Token 与对齐后的视觉 Token 拼接序列”进行 BERT 堆叠编码，学习视觉元素与文本语义的关联（如“可爱”配文与丑化图像的语义冲突），得到 768 维融合表征。随后进行 RAM++ 标签打分与类目自适应阈值选择，输出多标签结果；结合 OCR 关键词进行语义组合（基于置信度、语义相似与共现等）生成 Top‑N 组合词组，为下游隐性违规内容风险评估模块提供输入。​</w:t>
            </w:r>
          </w:p>
          <w:bookmarkEnd w:id="4"/>
          <w:p w14:paraId="54465E5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w:t>
            </w:r>
            <w:r>
              <w:rPr>
                <w:rFonts w:eastAsia="仿宋_GB2312"/>
                <w:color w:val="000000" w:themeColor="text1"/>
                <w:sz w:val="24"/>
                <w14:textFill>
                  <w14:solidFill>
                    <w14:schemeClr w14:val="tx1"/>
                  </w14:solidFill>
                </w14:textFill>
              </w:rPr>
              <w:t>音频预处理：​</w:t>
            </w:r>
          </w:p>
          <w:p w14:paraId="2CA714C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MFCC 双支路声学特征提取 + ASR-BERT 语义融合技术</w:t>
            </w:r>
          </w:p>
          <w:p w14:paraId="64ADD1E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针对社交媒体语音内容中潜在的隐性有害信号（如讽刺语调、压抑愤怒、突发音量变化等），采用 MFCC 双支路声学特征建模与 ASR-BERT 语义融合技术实现跨模态精细检测。</w:t>
            </w:r>
          </w:p>
          <w:p w14:paraId="69291EDA">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核心技术流程如下：</w:t>
            </w:r>
          </w:p>
          <w:p w14:paraId="44C41CDA">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（1）语义通道：基于端到端 ASR 声学-语言联合模型，将音频波形序列解码为高置信度文本输出，并通过 BERT 模型完成语义编码。输入文本经 WordPiece 分词后注入词嵌入、位置嵌入与段嵌入，经过多层 Transformer（多头自注意力 + 前馈神经网络）建模上下文依赖关系，输出句级语义表示向量（[CLS] 表征），捕捉显性辱骂、隐喻、反语等语义攻击特征。</w:t>
            </w:r>
          </w:p>
          <w:p w14:paraId="0B9E801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（2）声学通道：在共享预处理（Pre-emphasis、Framing、Hamming 窗）基础上，构建 MFCC 双支路并行结构。</w:t>
            </w:r>
          </w:p>
          <w:p w14:paraId="20B62A3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支路①提取传统统计特征，经 FFT 与 Mel-Filterbank 计算功率谱后取对数并执行 DCT 变换得到 13 维静态 MFCC，再结合 Δ 与 ΔΔ 动态特征及全局统计聚合（均值、标准差、偏度、峰度）形成 39 维声学统计向量；</w:t>
            </w:r>
          </w:p>
          <w:p w14:paraId="6B10853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支路②基于帧级 MFCC 序列输入多层全连接网络（BN + ReLU）进行非线性特征提取，并通过可学习注意力池化（Learnable Attention Pooling）聚焦关键声学片段，生成 64 维深度嵌入特征。两支路输出拼接后经线性映射与 ReLU 激活形成统一声学特征表示。</w:t>
            </w:r>
          </w:p>
          <w:p w14:paraId="210D126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（3）双特征融合：将声学特征向量与语义通道 [CLS] 语义嵌入进行对齐融合，输入高层全连接层完成跨模态联合表征学习，并通过分类头（Classifier Head）输出连续风险评分，采用加权交叉熵与均方误差联合优化，实现语义-声学双通道的协同识别。</w:t>
            </w:r>
          </w:p>
          <w:p w14:paraId="62E463E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（4）模型优势：该结构在语义层面可精准捕捉语言攻击与隐喻逻辑，在声学层面可识别情绪与语调异常，实现对委婉或间接语音攻击的鲁棒检测与可解释分析。</w:t>
            </w:r>
          </w:p>
          <w:p w14:paraId="79FA215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w:t>
            </w:r>
            <w:r>
              <w:rPr>
                <w:rFonts w:eastAsia="仿宋_GB2312"/>
                <w:color w:val="000000" w:themeColor="text1"/>
                <w:sz w:val="24"/>
                <w14:textFill>
                  <w14:solidFill>
                    <w14:schemeClr w14:val="tx1"/>
                  </w14:solidFill>
                </w14:textFill>
              </w:rPr>
              <w:t>. 跨模态</w:t>
            </w:r>
            <w:bookmarkStart w:id="5" w:name="OLE_LINK1"/>
            <w:r>
              <w:rPr>
                <w:rFonts w:eastAsia="仿宋_GB2312"/>
                <w:color w:val="000000" w:themeColor="text1"/>
                <w:sz w:val="24"/>
                <w14:textFill>
                  <w14:solidFill>
                    <w14:schemeClr w14:val="tx1"/>
                  </w14:solidFill>
                </w14:textFill>
              </w:rPr>
              <w:t>特征融</w:t>
            </w:r>
            <w:bookmarkEnd w:id="5"/>
            <w:r>
              <w:rPr>
                <w:rFonts w:eastAsia="仿宋_GB2312"/>
                <w:color w:val="000000" w:themeColor="text1"/>
                <w:sz w:val="24"/>
                <w14:textFill>
                  <w14:solidFill>
                    <w14:schemeClr w14:val="tx1"/>
                  </w14:solidFill>
                </w14:textFill>
              </w:rPr>
              <w:t>合与判别技术​</w:t>
            </w:r>
          </w:p>
          <w:p w14:paraId="7DB1A8AC">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为解决三模态语义碎片化问题，构建动态注意力融合网络，核心技术如下：</w:t>
            </w:r>
          </w:p>
          <w:p w14:paraId="2291430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特征对齐：通过线性变换将文本（768维）、图片（1024维）、音频（768 维）特征统一映射至1024维特征空间，确保模态间特征可比较。​</w:t>
            </w:r>
          </w:p>
          <w:p w14:paraId="42E40E4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动态注意力权重分配：计算任意两模态特征的余弦相似度（如文本语义与音频频谱特征的关联度），基于相似度自适应分配注意力权重（如违规语义强的文本权重占比40%，隐性符号明显的图片权重占比35%，音频权重占比25%），通过加权求和生成1024维跨模态联合特征。​</w:t>
            </w:r>
          </w:p>
          <w:p w14:paraId="78AFF20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分类判别：将联合特征输入两层全连接网络（隐藏层维度 512，激活函数 ReLU），经 Softmax 层输出 “合规”“违规（含侮辱、歧视等子类）” 的概率分布，结合预设阈值（0.5）实现多模态委婉有害内容的分类判别，模型 F1 值目标≥88%。​</w:t>
            </w:r>
          </w:p>
          <w:p w14:paraId="26957C99">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大模型赋能</w:t>
            </w:r>
          </w:p>
          <w:bookmarkEnd w:id="3"/>
          <w:p w14:paraId="790663ED">
            <w:pPr>
              <w:tabs>
                <w:tab w:val="left" w:pos="312"/>
              </w:tabs>
              <w:spacing w:before="260" w:after="260" w:line="360" w:lineRule="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 xml:space="preserve">    </w:t>
            </w:r>
          </w:p>
          <w:p w14:paraId="0E3004DE">
            <w:pPr>
              <w:snapToGrid w:val="0"/>
              <w:spacing w:before="260" w:after="260" w:line="440" w:lineRule="exact"/>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2.3总体框架</w:t>
            </w:r>
          </w:p>
          <w:p w14:paraId="5CABC66E">
            <w:pPr>
              <w:snapToGrid w:val="0"/>
              <w:spacing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总体框架如图2-1所示，本项目研究框架图简单明了地介绍了我们的项目</w:t>
            </w:r>
            <w:r>
              <w:rPr>
                <w:rFonts w:hint="eastAsia" w:eastAsia="仿宋_GB2312"/>
                <w:color w:val="000000" w:themeColor="text1"/>
                <w:sz w:val="24"/>
                <w14:textFill>
                  <w14:solidFill>
                    <w14:schemeClr w14:val="tx1"/>
                  </w14:solidFill>
                </w14:textFill>
              </w:rPr>
              <w:t>基于大模型辅助的多模态委婉有害内容的检测研究的</w:t>
            </w:r>
            <w:r>
              <w:rPr>
                <w:rFonts w:eastAsia="仿宋_GB2312"/>
                <w:color w:val="000000" w:themeColor="text1"/>
                <w:sz w:val="24"/>
                <w14:textFill>
                  <w14:solidFill>
                    <w14:schemeClr w14:val="tx1"/>
                  </w14:solidFill>
                </w14:textFill>
              </w:rPr>
              <w:t>研究背景、研究意义、研究目的、预期成果和项目的研究路线。</w:t>
            </w:r>
          </w:p>
          <w:p w14:paraId="7DD58354">
            <w:pPr>
              <w:snapToGrid w:val="0"/>
              <w:spacing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object>
                <v:shape id="_x0000_i1025" o:spt="75" type="#_x0000_t75" style="height:696.65pt;width:314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14:paraId="6560D62F">
            <w:pPr>
              <w:snapToGrid w:val="0"/>
              <w:spacing w:line="440" w:lineRule="exact"/>
              <w:ind w:firstLine="480" w:firstLineChars="200"/>
              <w:rPr>
                <w:rFonts w:hint="eastAsia"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2.4</w:t>
            </w:r>
            <w:r>
              <w:rPr>
                <w:rFonts w:hint="eastAsia" w:eastAsia="仿宋_GB2312"/>
                <w:color w:val="000000" w:themeColor="text1"/>
                <w:sz w:val="24"/>
                <w14:textFill>
                  <w14:solidFill>
                    <w14:schemeClr w14:val="tx1"/>
                  </w14:solidFill>
                </w14:textFill>
              </w:rPr>
              <w:t>拟解决的关键科学问题</w:t>
            </w:r>
          </w:p>
          <w:p w14:paraId="2A6943EA">
            <w:pPr>
              <w:spacing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本项目</w:t>
            </w:r>
            <w:r>
              <w:rPr>
                <w:rFonts w:eastAsia="仿宋_GB2312"/>
                <w:color w:val="000000" w:themeColor="text1"/>
                <w:sz w:val="24"/>
                <w14:textFill>
                  <w14:solidFill>
                    <w14:schemeClr w14:val="tx1"/>
                  </w14:solidFill>
                </w14:textFill>
              </w:rPr>
              <w:t>拟解决的关键问题是</w:t>
            </w:r>
            <w:r>
              <w:rPr>
                <w:rFonts w:hint="eastAsia" w:eastAsia="仿宋_GB2312"/>
                <w:color w:val="000000" w:themeColor="text1"/>
                <w:sz w:val="24"/>
                <w14:textFill>
                  <w14:solidFill>
                    <w14:schemeClr w14:val="tx1"/>
                  </w14:solidFill>
                </w14:textFill>
              </w:rPr>
              <w:t>实现对多模态委婉有害内容的精准检测</w:t>
            </w:r>
            <w:r>
              <w:rPr>
                <w:rFonts w:eastAsia="仿宋_GB2312"/>
                <w:color w:val="000000" w:themeColor="text1"/>
                <w:sz w:val="24"/>
                <w14:textFill>
                  <w14:solidFill>
                    <w14:schemeClr w14:val="tx1"/>
                  </w14:solidFill>
                </w14:textFill>
              </w:rPr>
              <w:t>，具体包括</w:t>
            </w:r>
            <w:r>
              <w:rPr>
                <w:rFonts w:hint="eastAsia" w:eastAsia="仿宋_GB2312"/>
                <w:color w:val="000000" w:themeColor="text1"/>
                <w:sz w:val="24"/>
                <w14:textFill>
                  <w14:solidFill>
                    <w14:schemeClr w14:val="tx1"/>
                  </w14:solidFill>
                </w14:textFill>
              </w:rPr>
              <w:t>三</w:t>
            </w:r>
            <w:r>
              <w:rPr>
                <w:rFonts w:eastAsia="仿宋_GB2312"/>
                <w:color w:val="000000" w:themeColor="text1"/>
                <w:sz w:val="24"/>
                <w14:textFill>
                  <w14:solidFill>
                    <w14:schemeClr w14:val="tx1"/>
                  </w14:solidFill>
                </w14:textFill>
              </w:rPr>
              <w:t>方面：</w:t>
            </w:r>
          </w:p>
          <w:p w14:paraId="4774A1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首先，解决</w:t>
            </w:r>
            <w:r>
              <w:rPr>
                <w:rFonts w:eastAsia="仿宋_GB2312"/>
                <w:color w:val="000000" w:themeColor="text1"/>
                <w:sz w:val="24"/>
                <w14:textFill>
                  <w14:solidFill>
                    <w14:schemeClr w14:val="tx1"/>
                  </w14:solidFill>
                </w14:textFill>
              </w:rPr>
              <w:t>多模态委婉语动态演变的实时语义追踪与检测滞后破解问题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多模态委婉语呈现 “语义动态迭代 + 组合形式创新” 的双重演化特征：从语义维度看，同一词汇随时间推移衍生侮辱性新含义，且在传播中不断附加负面语义；从组合维度看，新的文本 - 图片 - 音频搭配方式持续涌现。现有检测系统依赖静态训练数据与固定语义规则，对新语义、新组合的识别需经历 “样本收集 - 标注 - 模型重训” 全流程，导致检测滞后，难以跟上演变速度。</w:t>
            </w:r>
            <w:r>
              <w:rPr>
                <w:rFonts w:hint="eastAsia" w:eastAsia="仿宋_GB2312"/>
                <w:color w:val="000000" w:themeColor="text1"/>
                <w:sz w:val="24"/>
                <w14:textFill>
                  <w14:solidFill>
                    <w14:schemeClr w14:val="tx1"/>
                  </w14:solidFill>
                </w14:textFill>
              </w:rPr>
              <w:t>本项目拟通过中文委婉词语义演化的量化建模，精准捕捉语义从正常到违规的迁移规律；多模态组合形式的增量学习方法，无需全量重训即可识别新型文本 - 图片 - 音频搭配违规内容基于实时社交数据的语义演变预警机制，提前预判潜在新型违规表达，缩短检测响应周期。</w:t>
            </w:r>
          </w:p>
          <w:p w14:paraId="5C6241F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其次，多模态违规信息碎片化与语义冲突下的跨模态对齐融合问题。</w:t>
            </w:r>
            <w:r>
              <w:rPr>
                <w:rFonts w:eastAsia="仿宋_GB2312"/>
                <w:color w:val="000000" w:themeColor="text1"/>
                <w:sz w:val="24"/>
                <w14:textFill>
                  <w14:solidFill>
                    <w14:schemeClr w14:val="tx1"/>
                  </w14:solidFill>
                </w14:textFill>
              </w:rPr>
              <w:t>多模态违规内容常通过 “语义拆分” 与 “语义冲突” 规避单模态检测：在语义拆分场景中，违规意图分散在不同模态，单一模态特征无法还原全部违规信息，且模态间语义关联无固定规律，难以建立统一匹配规则；在语义冲突场景中，模态间呈现 “正话反说” 的矛盾表达，传统融合方法易被表面语义误导，无法识别深层违规意图。</w:t>
            </w:r>
            <w:r>
              <w:rPr>
                <w:rFonts w:hint="eastAsia" w:eastAsia="仿宋_GB2312"/>
                <w:color w:val="000000" w:themeColor="text1"/>
                <w:sz w:val="24"/>
                <w14:textFill>
                  <w14:solidFill>
                    <w14:schemeClr w14:val="tx1"/>
                  </w14:solidFill>
                </w14:textFill>
              </w:rPr>
              <w:t>本项目通过拟跨模态语义碎片的关联挖掘技术，建立文本委婉语与图像隐性符号、音频隐喻的动态匹配逻辑；语义冲突场景的多模态推理机制，区分 “正话反说” 的讽刺违规表达与正常语义矛盾；异构模态特征的统一语义空间构建方法，消除文本离散符号、图像像素矩阵、音频时序信号的结构差异，实现深度融合。</w:t>
            </w:r>
          </w:p>
          <w:p w14:paraId="56A68D1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最后，使用对抗性规避手段动态升级下的模型鲁棒性强化问题。</w:t>
            </w:r>
            <w:r>
              <w:rPr>
                <w:rFonts w:eastAsia="仿宋_GB2312"/>
                <w:color w:val="000000" w:themeColor="text1"/>
                <w:sz w:val="24"/>
                <w14:textFill>
                  <w14:solidFill>
                    <w14:schemeClr w14:val="tx1"/>
                  </w14:solidFill>
                </w14:textFill>
              </w:rPr>
              <w:t>违规内容发布者通过 “针对性学习检测规则 - 升级规避手段” 形成对抗循环，规避方式呈现 “单模态变异深化 + 多模态联合隐蔽” 的特点：在单模态层面，文字规避从基础谐音、拆分升级为生僻字替换、特殊符号插入、方言谐音转写，突破传统文本过滤规则；在多模态层面，通过 “细节隐藏”、“跨模态配合”、“图文错位”等方式，降低多模态检测的识别概率，现有模型鲁棒性不足，易被新型规避手段突破。</w:t>
            </w:r>
            <w:r>
              <w:rPr>
                <w:rFonts w:hint="eastAsia" w:eastAsia="仿宋_GB2312"/>
                <w:color w:val="000000" w:themeColor="text1"/>
                <w:sz w:val="24"/>
                <w14:textFill>
                  <w14:solidFill>
                    <w14:schemeClr w14:val="tx1"/>
                  </w14:solidFill>
                </w14:textFill>
              </w:rPr>
              <w:t>本项目拟对</w:t>
            </w:r>
            <w:r>
              <w:rPr>
                <w:rFonts w:eastAsia="仿宋_GB2312"/>
                <w:color w:val="000000" w:themeColor="text1"/>
                <w:sz w:val="24"/>
                <w14:textFill>
                  <w14:solidFill>
                    <w14:schemeClr w14:val="tx1"/>
                  </w14:solidFill>
                </w14:textFill>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pPr>
              <w:snapToGrid w:val="0"/>
              <w:spacing w:before="260" w:after="260" w:line="440" w:lineRule="exact"/>
              <w:rPr>
                <w:rFonts w:hint="eastAsia"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2.5</w:t>
            </w:r>
            <w:r>
              <w:rPr>
                <w:rFonts w:hint="eastAsia" w:eastAsia="仿宋_GB2312"/>
                <w:color w:val="000000" w:themeColor="text1"/>
                <w:sz w:val="24"/>
                <w14:textFill>
                  <w14:solidFill>
                    <w14:schemeClr w14:val="tx1"/>
                  </w14:solidFill>
                </w14:textFill>
              </w:rPr>
              <w:t>重点难点</w:t>
            </w:r>
          </w:p>
          <w:p w14:paraId="27E0C05D">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.跨模态语义的深度对齐与意图还原</w:t>
            </w:r>
            <w:r>
              <w:rPr>
                <w:rFonts w:hint="eastAsia" w:eastAsia="仿宋_GB2312"/>
                <w:color w:val="000000" w:themeColor="text1"/>
                <w:sz w:val="24"/>
                <w14:textFill>
                  <w14:solidFill>
                    <w14:schemeClr w14:val="tx1"/>
                  </w14:solidFill>
                </w14:textFill>
              </w:rPr>
              <w:t>：如何</w:t>
            </w:r>
            <w:r>
              <w:rPr>
                <w:rFonts w:eastAsia="仿宋_GB2312"/>
                <w:color w:val="000000" w:themeColor="text1"/>
                <w:sz w:val="24"/>
                <w14:textFill>
                  <w14:solidFill>
                    <w14:schemeClr w14:val="tx1"/>
                  </w14:solidFill>
                </w14:textFill>
              </w:rPr>
              <w:t>突破 “文本 - 图像 - 音频” 异构数据的语义壁垒，实现违规意图的完整还原</w:t>
            </w:r>
            <w:r>
              <w:rPr>
                <w:rFonts w:hint="eastAsia" w:eastAsia="仿宋_GB2312"/>
                <w:color w:val="000000" w:themeColor="text1"/>
                <w:sz w:val="24"/>
                <w14:textFill>
                  <w14:solidFill>
                    <w14:schemeClr w14:val="tx1"/>
                  </w14:solidFill>
                </w14:textFill>
              </w:rPr>
              <w:t>。</w:t>
            </w:r>
          </w:p>
          <w:p w14:paraId="3B06717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动态演变语义的实时追踪与模型迭代</w:t>
            </w:r>
            <w:r>
              <w:rPr>
                <w:rFonts w:hint="eastAsia" w:eastAsia="仿宋_GB2312"/>
                <w:color w:val="000000" w:themeColor="text1"/>
                <w:sz w:val="24"/>
                <w14:textFill>
                  <w14:solidFill>
                    <w14:schemeClr w14:val="tx1"/>
                  </w14:solidFill>
                </w14:textFill>
              </w:rPr>
              <w:t>：如何解决多模态委婉语的高频演变（如 “唐人” 语义从正常到侮辱的迁移）使静态模型始终处于滞后状态。</w:t>
            </w:r>
          </w:p>
          <w:p w14:paraId="6FAD03D8">
            <w:pPr>
              <w:spacing w:before="260" w:after="260" w:line="360" w:lineRule="auto"/>
              <w:ind w:firstLine="480" w:firstLineChars="200"/>
              <w:rPr>
                <w:rFonts w:eastAsia="仿宋_GB2312"/>
                <w:color w:val="000000" w:themeColor="text1"/>
                <w:sz w:val="24"/>
                <w14:textFill>
                  <w14:solidFill>
                    <w14:schemeClr w14:val="tx1"/>
                  </w14:solidFill>
                </w14:textFill>
              </w:rPr>
            </w:pPr>
          </w:p>
          <w:p w14:paraId="3638C805">
            <w:pPr>
              <w:snapToGrid w:val="0"/>
              <w:spacing w:before="260" w:after="260" w:line="440" w:lineRule="exact"/>
              <w:ind w:firstLine="480" w:firstLineChars="200"/>
              <w:rPr>
                <w:rFonts w:hint="eastAsia" w:eastAsia="仿宋_GB2312"/>
                <w:color w:val="000000" w:themeColor="text1"/>
                <w:sz w:val="24"/>
                <w14:textFill>
                  <w14:solidFill>
                    <w14:schemeClr w14:val="tx1"/>
                  </w14:solidFill>
                </w14:textFill>
              </w:rPr>
            </w:pPr>
          </w:p>
          <w:p w14:paraId="69043B9D">
            <w:pPr>
              <w:spacing w:before="260" w:after="260" w:line="360" w:lineRule="auto"/>
              <w:ind w:firstLine="480" w:firstLineChars="200"/>
              <w:rPr>
                <w:rFonts w:eastAsia="仿宋_GB2312"/>
                <w:color w:val="000000" w:themeColor="text1"/>
                <w:sz w:val="24"/>
                <w14:textFill>
                  <w14:solidFill>
                    <w14:schemeClr w14:val="tx1"/>
                  </w14:solidFill>
                </w14:textFill>
              </w:rPr>
            </w:pPr>
          </w:p>
          <w:p w14:paraId="137C17DB">
            <w:pPr>
              <w:spacing w:line="360" w:lineRule="auto"/>
              <w:ind w:firstLine="480" w:firstLineChars="200"/>
              <w:rPr>
                <w:rFonts w:eastAsia="仿宋_GB2312"/>
                <w:color w:val="000000" w:themeColor="text1"/>
                <w:sz w:val="24"/>
                <w14:textFill>
                  <w14:solidFill>
                    <w14:schemeClr w14:val="tx1"/>
                  </w14:solidFill>
                </w14:textFill>
              </w:rPr>
            </w:pPr>
          </w:p>
          <w:p w14:paraId="05460A56">
            <w:pPr>
              <w:snapToGrid w:val="0"/>
              <w:spacing w:line="440" w:lineRule="exact"/>
              <w:ind w:firstLine="480" w:firstLineChars="200"/>
              <w:rPr>
                <w:rFonts w:hint="eastAsia" w:eastAsia="仿宋_GB2312"/>
                <w:color w:val="000000" w:themeColor="text1"/>
                <w:sz w:val="24"/>
                <w14:textFill>
                  <w14:solidFill>
                    <w14:schemeClr w14:val="tx1"/>
                  </w14:solidFill>
                </w14:textFill>
              </w:rPr>
            </w:pPr>
          </w:p>
        </w:tc>
      </w:tr>
      <w:tr w14:paraId="71C9BFFD">
        <w:tblPrEx>
          <w:tblCellMar>
            <w:top w:w="0" w:type="dxa"/>
            <w:left w:w="0" w:type="dxa"/>
            <w:bottom w:w="0" w:type="dxa"/>
            <w:right w:w="0" w:type="dxa"/>
          </w:tblCellMar>
        </w:tblPrEx>
        <w:trPr>
          <w:trHeight w:val="57" w:hRule="atLeast"/>
        </w:trPr>
        <w:tc>
          <w:tcPr>
            <w:tcW w:w="8336" w:type="dxa"/>
            <w:tcBorders>
              <w:top w:val="single" w:color="auto" w:sz="4" w:space="0"/>
              <w:right w:val="single" w:color="auto" w:sz="4" w:space="0"/>
            </w:tcBorders>
            <w:tcMar>
              <w:top w:w="15" w:type="dxa"/>
              <w:left w:w="15" w:type="dxa"/>
              <w:bottom w:w="0" w:type="dxa"/>
              <w:right w:w="15" w:type="dxa"/>
            </w:tcMar>
            <w:vAlign w:val="center"/>
          </w:tcPr>
          <w:p w14:paraId="662D04C2">
            <w:pPr>
              <w:snapToGrid w:val="0"/>
              <w:spacing w:line="440" w:lineRule="exact"/>
              <w:ind w:firstLine="411" w:firstLineChars="196"/>
              <w:rPr>
                <w:rFonts w:hint="eastAsia" w:ascii="仿宋_GB2312" w:hAnsi="宋体" w:eastAsia="仿宋_GB2312"/>
              </w:rPr>
            </w:pPr>
          </w:p>
        </w:tc>
      </w:tr>
      <w:tr w14:paraId="6BCD9638">
        <w:tblPrEx>
          <w:tblCellMar>
            <w:top w:w="0" w:type="dxa"/>
            <w:left w:w="0" w:type="dxa"/>
            <w:bottom w:w="0" w:type="dxa"/>
            <w:right w:w="0" w:type="dxa"/>
          </w:tblCellMar>
        </w:tblPrEx>
        <w:trPr>
          <w:trHeight w:val="850" w:hRule="atLeast"/>
        </w:trPr>
        <w:tc>
          <w:tcPr>
            <w:tcW w:w="8336" w:type="dxa"/>
            <w:tcBorders>
              <w:bottom w:val="single" w:color="auto" w:sz="4" w:space="0"/>
            </w:tcBorders>
            <w:tcMar>
              <w:top w:w="15" w:type="dxa"/>
              <w:left w:w="15" w:type="dxa"/>
              <w:bottom w:w="0" w:type="dxa"/>
              <w:right w:w="15" w:type="dxa"/>
            </w:tcMar>
          </w:tcPr>
          <w:p w14:paraId="4418A035">
            <w:pPr>
              <w:snapToGrid w:val="0"/>
              <w:spacing w:line="440" w:lineRule="exact"/>
              <w:rPr>
                <w:rFonts w:hint="eastAsia" w:ascii="楷体" w:hAnsi="楷体" w:eastAsia="楷体" w:cs="楷体_GB2312"/>
                <w:sz w:val="28"/>
                <w:szCs w:val="28"/>
              </w:rPr>
            </w:pPr>
            <w:r>
              <w:rPr>
                <w:rFonts w:ascii="楷体" w:hAnsi="楷体" w:eastAsia="楷体"/>
                <w:sz w:val="28"/>
                <w:szCs w:val="28"/>
              </w:rPr>
              <w:t>3</w:t>
            </w:r>
            <w:r>
              <w:rPr>
                <w:rFonts w:hint="eastAsia" w:ascii="楷体" w:hAnsi="楷体" w:eastAsia="楷体" w:cs="楷体_GB2312"/>
                <w:sz w:val="28"/>
                <w:szCs w:val="28"/>
              </w:rPr>
              <w:t>．【理工医科】</w:t>
            </w:r>
            <w:r>
              <w:rPr>
                <w:rFonts w:hint="eastAsia" w:ascii="楷体" w:hAnsi="楷体" w:eastAsia="楷体" w:cs="楷体_GB2312"/>
                <w:b/>
                <w:bCs/>
                <w:sz w:val="28"/>
                <w:szCs w:val="28"/>
              </w:rPr>
              <w:t>拟采取的研究方案及可行性分析</w:t>
            </w:r>
            <w:r>
              <w:rPr>
                <w:rFonts w:hint="eastAsia" w:ascii="楷体" w:hAnsi="楷体" w:eastAsia="楷体" w:cs="楷体_GB2312"/>
                <w:sz w:val="28"/>
                <w:szCs w:val="28"/>
              </w:rPr>
              <w:t>（包括研究方法、技术路线、实验手段、关键技术等说明）；【哲学社会学科】</w:t>
            </w:r>
            <w:r>
              <w:rPr>
                <w:rFonts w:hint="eastAsia" w:ascii="楷体" w:hAnsi="楷体" w:eastAsia="楷体" w:cs="楷体_GB2312"/>
                <w:b/>
                <w:sz w:val="28"/>
                <w:szCs w:val="28"/>
              </w:rPr>
              <w:t>思路方法</w:t>
            </w:r>
            <w:r>
              <w:rPr>
                <w:rFonts w:hint="eastAsia" w:ascii="楷体" w:hAnsi="楷体" w:eastAsia="楷体" w:cs="楷体_GB2312"/>
                <w:sz w:val="28"/>
                <w:szCs w:val="28"/>
              </w:rPr>
              <w:t>（本课题研究的基本思路、具体研究方法、研究计划及其可行性等）</w:t>
            </w:r>
          </w:p>
        </w:tc>
      </w:tr>
      <w:tr w14:paraId="746CC9CF">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DC330B2">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3.1技术路线</w:t>
            </w:r>
          </w:p>
          <w:p w14:paraId="44301945">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本项目技术路线图如图3-1所示</w:t>
            </w:r>
          </w:p>
          <w:p w14:paraId="0446489B">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p>
          <w:p w14:paraId="5D8241A4">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p>
          <w:p w14:paraId="691D1BF3">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3.1.1数据预处理</w:t>
            </w:r>
          </w:p>
          <w:p w14:paraId="421A0083">
            <w:pPr>
              <w:snapToGrid w:val="0"/>
              <w:spacing w:line="360" w:lineRule="auto"/>
              <w:ind w:firstLine="470" w:firstLineChars="196"/>
              <w:rPr>
                <w:rFonts w:ascii="仿宋_GB2312" w:hAnsi="宋体" w:eastAsia="仿宋_GB2312"/>
                <w:sz w:val="24"/>
              </w:rPr>
            </w:pPr>
            <w:r>
              <w:rPr>
                <w:rFonts w:hint="default" w:ascii="仿宋_GB2312" w:hAnsi="宋体" w:eastAsia="仿宋_GB2312"/>
                <w:sz w:val="24"/>
                <w:lang w:val="en-US" w:eastAsia="zh-CN"/>
              </w:rPr>
              <w:t>哔哩哔哩（B 站）作为以视频为核心的多元内容社区，汇聚了海量弹幕、评论与动态内容，其文本与视频画面、音频的结合形成了丰富的多模态表达场景；小红书则以图文笔记、短视频为主要载体，用户通过文字、图片、语音的融合分享生活内容，两类平台均存在大量隐蔽性强的委婉有害内容。因此，本课题选择以哔哩哔哩和小红书为研究对象，对平台中公开的多模态内容数据进行系统性搜集，为多模态委婉有害内容检测模型的训练与验证构建基础数据集。</w:t>
            </w:r>
          </w:p>
          <w:p w14:paraId="691B6343">
            <w:pPr>
              <w:snapToGrid w:val="0"/>
              <w:spacing w:line="360" w:lineRule="auto"/>
              <w:ind w:firstLine="470" w:firstLineChars="196"/>
              <w:rPr>
                <w:rFonts w:hint="default" w:ascii="仿宋_GB2312" w:hAnsi="宋体" w:eastAsia="仿宋_GB2312"/>
                <w:sz w:val="24"/>
              </w:rPr>
            </w:pPr>
            <w:r>
              <w:rPr>
                <w:rFonts w:hint="default" w:ascii="仿宋_GB2312" w:hAnsi="宋体" w:eastAsia="仿宋_GB2312"/>
                <w:sz w:val="24"/>
                <w:lang w:val="en-US" w:eastAsia="zh-CN"/>
              </w:rPr>
              <w:t>为爬取上述平台中支撑多模态分析的关键数据，如文本（弹幕、评论、笔记文案）、图像（视频截图、笔记配图）、音频（视频旁白、语音评论）及关联的用户发布信息（发布时间、互动数据等），将编写针对性的 Python 爬虫程序进行数据收集。</w:t>
            </w:r>
          </w:p>
          <w:p w14:paraId="6DAE1EA6">
            <w:pPr>
              <w:snapToGrid w:val="0"/>
              <w:spacing w:line="360" w:lineRule="auto"/>
              <w:ind w:firstLine="470" w:firstLineChars="196"/>
              <w:rPr>
                <w:rFonts w:hint="eastAsia" w:ascii="仿宋_GB2312" w:hAnsi="宋体" w:eastAsia="仿宋_GB2312"/>
                <w:sz w:val="24"/>
                <w:lang w:eastAsia="zh-CN"/>
              </w:rPr>
            </w:pPr>
            <w:r>
              <w:rPr>
                <w:rFonts w:hint="default" w:ascii="仿宋_GB2312" w:hAnsi="宋体" w:eastAsia="仿宋_GB2312"/>
                <w:sz w:val="24"/>
                <w:lang w:val="en-US" w:eastAsia="zh-CN"/>
              </w:rPr>
              <w:t>本项目将采用 Python 网络爬虫技术，分别定向爬取哔哩哔哩和小红书的公开内容数据，涵盖文本属性、图像属性、音频属性、关联行为属性四大类信息</w:t>
            </w:r>
            <w:r>
              <w:rPr>
                <w:rFonts w:hint="eastAsia" w:ascii="仿宋_GB2312" w:hAnsi="宋体" w:eastAsia="仿宋_GB2312"/>
                <w:sz w:val="24"/>
                <w:lang w:val="en-US" w:eastAsia="zh-CN"/>
              </w:rPr>
              <w:t>。</w:t>
            </w:r>
            <w:r>
              <w:rPr>
                <w:rFonts w:hint="eastAsia" w:ascii="仿宋_GB2312" w:hAnsi="仿宋" w:eastAsia="仿宋_GB2312" w:cs="仿宋"/>
                <w:sz w:val="24"/>
                <w:lang w:bidi="ar"/>
              </w:rPr>
              <w:t>数据爬取的流程图如图</w:t>
            </w:r>
            <w:r>
              <w:rPr>
                <w:rFonts w:hint="eastAsia" w:ascii="仿宋_GB2312" w:hAnsi="仿宋" w:eastAsia="仿宋_GB2312" w:cs="仿宋"/>
                <w:sz w:val="24"/>
                <w:lang w:eastAsia="zh-CN" w:bidi="ar"/>
              </w:rPr>
              <w:t>。</w:t>
            </w:r>
          </w:p>
          <w:p w14:paraId="646BB332">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6" o:spt="75" type="#_x0000_t75" style="height:267.65pt;width:201.65pt;" o:ole="t" filled="f" o:preferrelative="t" stroked="f" coordsize="21600,21600">
                  <v:path/>
                  <v:fill on="f" focussize="0,0"/>
                  <v:stroke on="f" joinstyle="miter"/>
                  <v:imagedata r:id="rId13" o:title=""/>
                  <o:lock v:ext="edit" aspectratio="t"/>
                  <w10:wrap type="none"/>
                  <w10:anchorlock/>
                </v:shape>
                <o:OLEObject Type="Embed" ProgID="Visio.Drawing.15" ShapeID="_x0000_i1026" DrawAspect="Content" ObjectID="_1468075726" r:id="rId12">
                  <o:LockedField>false</o:LockedField>
                </o:OLEObject>
              </w:object>
            </w:r>
          </w:p>
          <w:p w14:paraId="65CEBAA6">
            <w:pPr>
              <w:spacing w:line="360" w:lineRule="auto"/>
              <w:ind w:firstLine="480" w:firstLineChars="200"/>
              <w:rPr>
                <w:rFonts w:ascii="仿宋_GB2312" w:hAnsi="仿宋" w:eastAsia="仿宋_GB2312"/>
                <w:sz w:val="24"/>
                <w:lang w:val="zh-CN"/>
              </w:rPr>
            </w:pPr>
            <w:r>
              <w:rPr>
                <w:rFonts w:hint="eastAsia" w:ascii="仿宋_GB2312" w:hAnsi="仿宋" w:eastAsia="仿宋_GB2312"/>
                <w:sz w:val="24"/>
                <w:lang w:val="zh-CN"/>
              </w:rPr>
              <w:t>相关技术支持如下：</w:t>
            </w:r>
          </w:p>
          <w:p w14:paraId="46DB6432">
            <w:pPr>
              <w:spacing w:line="360" w:lineRule="auto"/>
              <w:ind w:firstLine="480" w:firstLineChars="200"/>
              <w:rPr>
                <w:rFonts w:ascii="仿宋_GB2312" w:hAnsi="仿宋" w:eastAsia="仿宋_GB2312"/>
                <w:sz w:val="24"/>
                <w:lang w:val="zh-CN"/>
              </w:rPr>
            </w:pPr>
            <w:r>
              <w:rPr>
                <w:rFonts w:hint="eastAsia" w:ascii="仿宋_GB2312" w:hAnsi="仿宋" w:eastAsia="仿宋_GB2312"/>
                <w:sz w:val="24"/>
                <w:lang w:val="zh-CN"/>
              </w:rPr>
              <w:t>编程语言为：</w:t>
            </w:r>
            <w:r>
              <w:rPr>
                <w:rFonts w:hint="eastAsia" w:ascii="仿宋_GB2312" w:hAnsi="仿宋" w:eastAsia="仿宋_GB2312"/>
                <w:b/>
                <w:sz w:val="24"/>
                <w:lang w:val="zh-CN"/>
              </w:rPr>
              <w:t>Python</w:t>
            </w:r>
            <w:r>
              <w:rPr>
                <w:rFonts w:ascii="仿宋_GB2312" w:hAnsi="仿宋" w:eastAsia="仿宋_GB2312"/>
                <w:b/>
                <w:sz w:val="24"/>
                <w:lang w:val="zh-CN"/>
              </w:rPr>
              <w:t xml:space="preserve"> </w:t>
            </w:r>
            <w:r>
              <w:rPr>
                <w:rFonts w:hint="eastAsia" w:ascii="仿宋_GB2312" w:hAnsi="仿宋" w:eastAsia="仿宋_GB2312"/>
                <w:b/>
                <w:sz w:val="24"/>
                <w:lang w:val="zh-CN"/>
              </w:rPr>
              <w:t>3</w:t>
            </w:r>
          </w:p>
          <w:p w14:paraId="699FAF99">
            <w:pPr>
              <w:spacing w:line="360" w:lineRule="auto"/>
              <w:ind w:firstLine="480" w:firstLineChars="200"/>
              <w:rPr>
                <w:rFonts w:ascii="仿宋_GB2312" w:hAnsi="仿宋" w:eastAsia="仿宋_GB2312"/>
                <w:sz w:val="24"/>
                <w:lang w:val="zh-CN"/>
              </w:rPr>
            </w:pPr>
            <w:r>
              <w:rPr>
                <w:rFonts w:hint="eastAsia" w:ascii="仿宋_GB2312" w:hAnsi="仿宋" w:eastAsia="仿宋_GB2312"/>
                <w:sz w:val="24"/>
                <w:lang w:val="zh-CN"/>
              </w:rPr>
              <w:t>主要框架：</w:t>
            </w:r>
            <w:r>
              <w:rPr>
                <w:rFonts w:hint="eastAsia" w:ascii="仿宋_GB2312" w:hAnsi="仿宋" w:eastAsia="仿宋_GB2312"/>
                <w:b/>
                <w:sz w:val="24"/>
                <w:lang w:val="zh-CN"/>
              </w:rPr>
              <w:t>Scrapy</w:t>
            </w:r>
          </w:p>
          <w:p w14:paraId="2E206DD4">
            <w:pPr>
              <w:spacing w:line="360" w:lineRule="auto"/>
              <w:ind w:firstLine="480" w:firstLineChars="200"/>
              <w:rPr>
                <w:rFonts w:hint="default" w:ascii="仿宋_GB2312" w:hAnsi="仿宋" w:eastAsia="仿宋_GB2312"/>
                <w:b/>
                <w:sz w:val="24"/>
                <w:lang w:val="en-US" w:eastAsia="zh-CN"/>
              </w:rPr>
            </w:pPr>
            <w:r>
              <w:rPr>
                <w:rFonts w:hint="eastAsia" w:ascii="仿宋_GB2312" w:hAnsi="仿宋" w:eastAsia="仿宋_GB2312"/>
                <w:sz w:val="24"/>
                <w:lang w:val="zh-CN"/>
              </w:rPr>
              <w:t>开发环境：</w:t>
            </w:r>
            <w:r>
              <w:rPr>
                <w:rFonts w:hint="eastAsia" w:ascii="仿宋_GB2312" w:hAnsi="仿宋" w:eastAsia="仿宋_GB2312"/>
                <w:sz w:val="24"/>
                <w:lang w:val="en-US" w:eastAsia="zh-CN"/>
              </w:rPr>
              <w:t>VS Code</w:t>
            </w:r>
          </w:p>
          <w:p w14:paraId="1488E1E5">
            <w:pPr>
              <w:spacing w:line="360" w:lineRule="auto"/>
              <w:ind w:firstLine="480" w:firstLineChars="200"/>
              <w:rPr>
                <w:rFonts w:hint="eastAsia" w:ascii="仿宋_GB2312" w:hAnsi="宋体" w:eastAsia="仿宋_GB2312"/>
                <w:b/>
                <w:bCs/>
                <w:sz w:val="24"/>
              </w:rPr>
            </w:pPr>
            <w:r>
              <w:rPr>
                <w:rFonts w:hint="eastAsia" w:ascii="仿宋_GB2312" w:hAnsi="仿宋" w:eastAsia="仿宋_GB2312"/>
                <w:sz w:val="24"/>
                <w:lang w:val="en-US" w:eastAsia="zh-CN"/>
              </w:rPr>
              <w:t>B站</w:t>
            </w:r>
            <w:r>
              <w:rPr>
                <w:rFonts w:hint="eastAsia" w:ascii="仿宋_GB2312" w:hAnsi="仿宋" w:eastAsia="仿宋_GB2312"/>
                <w:sz w:val="24"/>
                <w:lang w:val="zh-CN"/>
              </w:rPr>
              <w:t>爬虫的技术路线流程图如图所示。</w:t>
            </w:r>
          </w:p>
          <w:p w14:paraId="4B6B1522">
            <w:pPr>
              <w:snapToGrid w:val="0"/>
              <w:spacing w:line="360" w:lineRule="auto"/>
              <w:ind w:firstLine="472" w:firstLineChars="196"/>
              <w:rPr>
                <w:rFonts w:hint="eastAsia" w:ascii="仿宋_GB2312" w:hAnsi="宋体" w:eastAsia="仿宋_GB2312"/>
                <w:b/>
                <w:bCs/>
                <w:sz w:val="24"/>
              </w:rPr>
            </w:pPr>
          </w:p>
          <w:p w14:paraId="5BCD2381">
            <w:pPr>
              <w:snapToGrid w:val="0"/>
              <w:spacing w:line="360" w:lineRule="auto"/>
              <w:ind w:firstLine="411" w:firstLineChars="196"/>
              <w:jc w:val="center"/>
              <w:rPr>
                <w:rFonts w:hint="eastAsia"/>
              </w:rPr>
            </w:pPr>
            <w:r>
              <w:rPr>
                <w:rFonts w:hint="eastAsia"/>
              </w:rPr>
              <w:object>
                <v:shape id="_x0000_i1027" o:spt="75" type="#_x0000_t75" style="height:423.35pt;width:156.65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7" r:id="rId14">
                  <o:LockedField>false</o:LockedField>
                </o:OLEObject>
              </w:object>
            </w:r>
          </w:p>
          <w:p w14:paraId="236CB494">
            <w:pPr>
              <w:snapToGrid w:val="0"/>
              <w:spacing w:line="360" w:lineRule="auto"/>
              <w:ind w:firstLine="411" w:firstLineChars="196"/>
              <w:jc w:val="center"/>
              <w:rPr>
                <w:rFonts w:hint="eastAsia"/>
              </w:rPr>
            </w:pPr>
          </w:p>
          <w:p w14:paraId="64341A81">
            <w:pPr>
              <w:snapToGrid w:val="0"/>
              <w:spacing w:line="360" w:lineRule="auto"/>
              <w:jc w:val="both"/>
              <w:rPr>
                <w:rFonts w:hint="eastAsia"/>
              </w:rPr>
            </w:pPr>
          </w:p>
          <w:p w14:paraId="5F3EDA4D">
            <w:pPr>
              <w:snapToGrid w:val="0"/>
              <w:spacing w:line="360" w:lineRule="auto"/>
              <w:ind w:firstLine="411" w:firstLineChars="196"/>
              <w:jc w:val="center"/>
              <w:rPr>
                <w:rFonts w:hint="eastAsia"/>
              </w:rPr>
            </w:pPr>
          </w:p>
          <w:p w14:paraId="51BA24F1">
            <w:pPr>
              <w:snapToGrid w:val="0"/>
              <w:spacing w:line="360" w:lineRule="auto"/>
              <w:ind w:firstLine="411" w:firstLineChars="196"/>
              <w:jc w:val="center"/>
              <w:rPr>
                <w:rFonts w:hint="eastAsia"/>
              </w:rPr>
            </w:pPr>
          </w:p>
          <w:p w14:paraId="1B782FFF">
            <w:pPr>
              <w:snapToGrid w:val="0"/>
              <w:spacing w:line="360" w:lineRule="auto"/>
              <w:ind w:firstLine="411" w:firstLineChars="196"/>
              <w:jc w:val="center"/>
              <w:rPr>
                <w:rFonts w:hint="eastAsia"/>
              </w:rPr>
            </w:pPr>
          </w:p>
          <w:p w14:paraId="4438D3BE">
            <w:pPr>
              <w:snapToGrid w:val="0"/>
              <w:spacing w:line="360" w:lineRule="auto"/>
              <w:ind w:firstLine="411" w:firstLineChars="196"/>
              <w:jc w:val="center"/>
              <w:rPr>
                <w:rFonts w:hint="eastAsia"/>
              </w:rPr>
            </w:pPr>
          </w:p>
          <w:p w14:paraId="69C0EA5B">
            <w:pPr>
              <w:spacing w:line="360" w:lineRule="auto"/>
              <w:ind w:firstLine="480" w:firstLineChars="200"/>
              <w:rPr>
                <w:rFonts w:hint="eastAsia"/>
              </w:rPr>
            </w:pPr>
            <w:r>
              <w:rPr>
                <w:rFonts w:hint="eastAsia" w:ascii="仿宋_GB2312" w:hAnsi="仿宋" w:eastAsia="仿宋_GB2312"/>
                <w:sz w:val="24"/>
                <w:lang w:val="en-US" w:eastAsia="zh-CN"/>
              </w:rPr>
              <w:t>小红书</w:t>
            </w:r>
            <w:r>
              <w:rPr>
                <w:rFonts w:hint="eastAsia" w:ascii="仿宋_GB2312" w:hAnsi="仿宋" w:eastAsia="仿宋_GB2312"/>
                <w:sz w:val="24"/>
                <w:lang w:val="zh-CN"/>
              </w:rPr>
              <w:t>爬虫的技术路线流程图如图所示。</w:t>
            </w:r>
          </w:p>
          <w:p w14:paraId="7DA56C5C">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8" o:spt="75" type="#_x0000_t75" style="height:402.35pt;width:113.35pt;" o:ole="t" filled="f" o:preferrelative="t" stroked="f" coordsize="21600,21600">
                  <v:path/>
                  <v:fill on="f" focussize="0,0"/>
                  <v:stroke on="f" joinstyle="miter"/>
                  <v:imagedata r:id="rId17" o:title=""/>
                  <o:lock v:ext="edit" aspectratio="t"/>
                  <w10:wrap type="none"/>
                  <w10:anchorlock/>
                </v:shape>
                <o:OLEObject Type="Embed" ProgID="Visio.Drawing.15" ShapeID="_x0000_i1028" DrawAspect="Content" ObjectID="_1468075728" r:id="rId16">
                  <o:LockedField>false</o:LockedField>
                </o:OLEObject>
              </w:object>
            </w:r>
          </w:p>
          <w:p w14:paraId="4C3806AB">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3.1.2数据初步清洗与标注</w:t>
            </w:r>
          </w:p>
          <w:p w14:paraId="39E92E48">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数据清洗与协同标注是本项目构建高质量多模态数据集的关键环节，直接决定后续多模态委婉有害内容检测模型的训练效果与泛化能力。</w:t>
            </w:r>
          </w:p>
          <w:p w14:paraId="0F11F2A7">
            <w:pPr>
              <w:spacing w:line="360" w:lineRule="auto"/>
              <w:ind w:firstLine="480" w:firstLineChars="200"/>
              <w:rPr>
                <w:rFonts w:hint="eastAsia"/>
              </w:rPr>
            </w:pPr>
            <w:r>
              <w:rPr>
                <w:rFonts w:hint="eastAsia" w:ascii="仿宋_GB2312" w:hAnsi="仿宋" w:eastAsia="仿宋_GB2312"/>
                <w:sz w:val="24"/>
                <w:lang w:val="zh-CN"/>
              </w:rPr>
              <w:t>数据清洗是本项目构建可靠多模态数据集的首要保障，直接影响后续模型训练的有效性。从哔哩哔哩、小红书爬取的多模态数据存在异构性与噪声问题，文本可能包含空内容、敏感词，图像可能存在破损、格式不统一，音频可能夹杂杂音、时长异常。通过针对性的并行清洗流程，去除无效、冗余、破损内容，实现文本、图像、音频的格式标准化与噪声过滤，能为模型输入提供纯净、一致的基础数据，避免脏数据导致模型学习偏差，是保障多模态委婉有害内容检测模型精度的前提。</w:t>
            </w:r>
            <w:r>
              <w:rPr>
                <w:rFonts w:hint="eastAsia" w:ascii="仿宋_GB2312" w:hAnsi="仿宋" w:eastAsia="仿宋_GB2312"/>
                <w:sz w:val="24"/>
                <w:lang w:val="en-US" w:eastAsia="zh-CN"/>
              </w:rPr>
              <w:t>数据初步清洗</w:t>
            </w:r>
            <w:r>
              <w:rPr>
                <w:rFonts w:hint="eastAsia" w:ascii="仿宋_GB2312" w:hAnsi="仿宋" w:eastAsia="仿宋_GB2312"/>
                <w:sz w:val="24"/>
                <w:lang w:val="zh-CN"/>
              </w:rPr>
              <w:t>的技术路线流程图如图所示。</w:t>
            </w:r>
          </w:p>
          <w:p w14:paraId="31B852A2">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left"/>
              <w:textAlignment w:val="auto"/>
              <w:rPr>
                <w:rFonts w:hint="eastAsia"/>
              </w:rPr>
            </w:pPr>
            <w:r>
              <w:rPr>
                <w:rFonts w:hint="eastAsia"/>
              </w:rPr>
              <w:object>
                <v:shape id="_x0000_i1029" o:spt="75" type="#_x0000_t75" style="height:281pt;width:366.65pt;" o:ole="t" filled="f" o:preferrelative="t" stroked="f" coordsize="21600,21600">
                  <v:path/>
                  <v:fill on="f" focussize="0,0"/>
                  <v:stroke on="f" joinstyle="miter"/>
                  <v:imagedata r:id="rId19" o:title=""/>
                  <o:lock v:ext="edit" aspectratio="t"/>
                  <w10:wrap type="none"/>
                  <w10:anchorlock/>
                </v:shape>
                <o:OLEObject Type="Embed" ProgID="Visio.Drawing.15" ShapeID="_x0000_i1029" DrawAspect="Content" ObjectID="_1468075729" r:id="rId18">
                  <o:LockedField>false</o:LockedField>
                </o:OLEObject>
              </w:object>
            </w:r>
          </w:p>
          <w:p w14:paraId="1B22AD8A">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数据标注是赋予多模态数据语义价值的核心环节，决定模型对隐晦有害语义的理解深度。本项目针对委婉有害内容的 “隐蔽性”“跨模态关联性” 特点，通过多模态协同标注机制，不仅明确文本、图像、音频各模态的类别、情感、关键特征等单模态语义，更建立跨模态的关联关系与冲突标注，清晰界定 “文本隐喻 - 图像暗示 - 音频诱导” 的协同违规场景与矛盾表达，为模型学习多模态语义对齐、隐晦意图判别提供关键监督信息，是实现多模态委婉有害内容精准检测的核心支撑。</w:t>
            </w:r>
            <w:r>
              <w:rPr>
                <w:rFonts w:hint="eastAsia" w:ascii="仿宋_GB2312" w:hAnsi="仿宋" w:eastAsia="仿宋_GB2312"/>
                <w:sz w:val="24"/>
                <w:lang w:val="en-US" w:eastAsia="zh-CN"/>
              </w:rPr>
              <w:t>数据初步标注</w:t>
            </w:r>
            <w:r>
              <w:rPr>
                <w:rFonts w:hint="eastAsia" w:ascii="仿宋_GB2312" w:hAnsi="仿宋" w:eastAsia="仿宋_GB2312"/>
                <w:sz w:val="24"/>
                <w:lang w:val="zh-CN"/>
              </w:rPr>
              <w:t>的技术路线流程图如图所示。</w:t>
            </w:r>
          </w:p>
          <w:p w14:paraId="79A9F8C4">
            <w:pPr>
              <w:snapToGrid w:val="0"/>
              <w:spacing w:line="360" w:lineRule="auto"/>
              <w:ind w:firstLine="411" w:firstLineChars="196"/>
              <w:rPr>
                <w:rFonts w:hint="eastAsia" w:ascii="仿宋_GB2312" w:hAnsi="宋体" w:eastAsia="仿宋_GB2312"/>
                <w:b/>
                <w:bCs/>
                <w:sz w:val="24"/>
              </w:rPr>
            </w:pPr>
            <w:r>
              <w:rPr>
                <w:rFonts w:hint="eastAsia"/>
              </w:rPr>
              <w:object>
                <v:shape id="_x0000_i1030" o:spt="75" type="#_x0000_t75" style="height:285.65pt;width:360.3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30" r:id="rId20">
                  <o:LockedField>false</o:LockedField>
                </o:OLEObject>
              </w:object>
            </w:r>
          </w:p>
          <w:p w14:paraId="4E7CDEA6">
            <w:pPr>
              <w:snapToGrid w:val="0"/>
              <w:spacing w:line="360" w:lineRule="auto"/>
              <w:ind w:firstLine="472" w:firstLineChars="196"/>
              <w:rPr>
                <w:rFonts w:hint="eastAsia" w:ascii="仿宋_GB2312" w:hAnsi="宋体" w:eastAsia="仿宋_GB2312"/>
                <w:b/>
                <w:bCs/>
                <w:sz w:val="24"/>
              </w:rPr>
            </w:pPr>
          </w:p>
          <w:p w14:paraId="0305A09C">
            <w:pPr>
              <w:snapToGrid w:val="0"/>
              <w:spacing w:line="360" w:lineRule="auto"/>
              <w:ind w:firstLine="472" w:firstLineChars="196"/>
              <w:rPr>
                <w:rFonts w:hint="eastAsia" w:ascii="仿宋_GB2312" w:hAnsi="宋体" w:eastAsia="仿宋_GB2312"/>
                <w:b/>
                <w:bCs/>
                <w:sz w:val="24"/>
              </w:rPr>
            </w:pPr>
          </w:p>
          <w:p w14:paraId="4A57837C">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3.1.3文本特征提取</w:t>
            </w:r>
          </w:p>
          <w:p w14:paraId="56AB4F06">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文本模型工作流程图如下所示；</w:t>
            </w:r>
          </w:p>
          <w:p w14:paraId="2F9E5580">
            <w:pPr>
              <w:snapToGrid w:val="0"/>
              <w:spacing w:line="360" w:lineRule="auto"/>
              <w:rPr>
                <w:rFonts w:hint="eastAsia" w:ascii="仿宋_GB2312" w:hAnsi="宋体" w:eastAsia="仿宋_GB2312"/>
              </w:rPr>
            </w:pPr>
          </w:p>
          <w:p w14:paraId="5C5E5C1B">
            <w:pPr>
              <w:snapToGrid w:val="0"/>
              <w:spacing w:line="360" w:lineRule="auto"/>
              <w:ind w:firstLine="411" w:firstLineChars="196"/>
              <w:rPr>
                <w:rFonts w:hint="eastAsia" w:ascii="仿宋_GB2312" w:hAnsi="宋体" w:eastAsia="仿宋_GB2312"/>
              </w:rPr>
            </w:pPr>
            <w:r>
              <w:rPr>
                <w:rFonts w:hint="eastAsia"/>
              </w:rPr>
              <w:object>
                <v:shape id="_x0000_i1031" o:spt="75" type="#_x0000_t75" style="height:191.65pt;width:378.35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r:id="rId22">
                  <o:LockedField>false</o:LockedField>
                </o:OLEObject>
              </w:object>
            </w:r>
          </w:p>
          <w:p w14:paraId="4A59B029">
            <w:pPr>
              <w:snapToGrid w:val="0"/>
              <w:spacing w:line="360" w:lineRule="auto"/>
              <w:ind w:firstLine="411" w:firstLineChars="196"/>
              <w:rPr>
                <w:rFonts w:hint="eastAsia" w:ascii="仿宋_GB2312" w:hAnsi="宋体" w:eastAsia="仿宋_GB2312"/>
              </w:rPr>
            </w:pPr>
          </w:p>
          <w:p w14:paraId="2B38222C">
            <w:pPr>
              <w:snapToGrid w:val="0"/>
              <w:spacing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1.数据摄取与处理</w:t>
            </w:r>
          </w:p>
          <w:p w14:paraId="7B638C1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此模块是整个工作流的起点，负责收集和准备用于模型训练和推理的原始文本数据。此步骤对于后续语义表征的准确性至关重要，奠定了模型分析的“一致性基础”。</w:t>
            </w:r>
          </w:p>
          <w:p w14:paraId="3503463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原始文本数据收集:</w:t>
            </w:r>
          </w:p>
          <w:p w14:paraId="59A8CA3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此阶段涉及从各种来源（如用户评论、社交媒体帖子、论坛发言等）大规模收集原始文本数据，构建训练集、验证集和测试集。</w:t>
            </w:r>
          </w:p>
          <w:p w14:paraId="3B61DEC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文本清洗与规范化:</w:t>
            </w:r>
          </w:p>
          <w:p w14:paraId="68AE6CF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清洗：原始文本通常包含大量“噪音”，必须进行预处理。去除无关内容，如HTML标签、URL链接、特殊符号、以及过多的表情符号。</w:t>
            </w:r>
          </w:p>
          <w:p w14:paraId="253E36F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规范化：将文本转换为一致的格式，例如全部转为小写、处理缩写词、纠正常见拼写错误、将数字和日期统一为特殊标记符等。</w:t>
            </w:r>
          </w:p>
          <w:p w14:paraId="257006F9">
            <w:pPr>
              <w:tabs>
                <w:tab w:val="left" w:pos="312"/>
              </w:tabs>
              <w:snapToGrid w:val="0"/>
              <w:spacing w:line="360" w:lineRule="auto"/>
              <w:ind w:left="412"/>
              <w:rPr>
                <w:rFonts w:hint="eastAsia" w:ascii="仿宋_GB2312" w:hAnsi="仿宋" w:eastAsia="仿宋_GB2312" w:cs="仿宋"/>
                <w:b/>
                <w:sz w:val="24"/>
                <w:lang w:bidi="ar"/>
              </w:rPr>
            </w:pPr>
            <w:r>
              <w:rPr>
                <w:rFonts w:hint="eastAsia" w:ascii="仿宋_GB2312" w:hAnsi="仿宋" w:eastAsia="仿宋_GB2312" w:cs="仿宋"/>
                <w:b/>
                <w:sz w:val="24"/>
                <w:lang w:bidi="ar"/>
              </w:rPr>
              <w:t>2.特征提取与语义表示</w:t>
            </w:r>
          </w:p>
          <w:p w14:paraId="5ED08E41">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该路径旨在从文本内容的语义层面识别有害信息，将清洗后的文本数据转换为深度学习模型可以理解的数值向量。</w:t>
            </w:r>
          </w:p>
          <w:p w14:paraId="01EE479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词：在得到清洗文本后，系统通过分词器（如WordPiece或BPE）对语义进行处理。输入的句子首先经过分词，被分解为“词元”（Tokens）。这些子词（Subword）分词方法能有效处理未登录词（OOV）、拼写错误和复杂词汇，提高模型的泛化能力。</w:t>
            </w:r>
          </w:p>
          <w:p w14:paraId="2D3DBFA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嵌入层：将分词后得到的离散词元映射为高维、密集的浮点数向量（即“词嵌入”）。这通常利用一个基于Transformer的预训练嵌入矩阵，该矩阵捕捉了词元的基础语义信息。</w:t>
            </w:r>
          </w:p>
          <w:p w14:paraId="34EF3CC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上下文最小化：这是一个关键的特征提炼步骤。它可能旨在使用交叉注意力（Cross Attention）机制，将文本的基础嵌入表示（作为K和V）与一组预定义的、代表“有害概念”的查询向量（作为Q）进行比较。其核心计算为：</w:t>
            </w:r>
          </w:p>
          <w:p w14:paraId="58FC2CA2">
            <w:pPr>
              <w:snapToGrid w:val="0"/>
              <w:spacing w:line="360" w:lineRule="auto"/>
              <w:ind w:firstLine="470" w:firstLineChars="196"/>
              <w:jc w:val="center"/>
              <w:rPr>
                <w:rFonts w:hint="eastAsia" w:ascii="仿宋_GB2312" w:hAnsi="仿宋" w:eastAsia="仿宋_GB2312" w:cs="仿宋"/>
                <w:bCs/>
                <w:sz w:val="24"/>
                <w:lang w:bidi="ar"/>
              </w:rPr>
            </w:pPr>
            <w:r>
              <w:rPr>
                <w:rFonts w:ascii="仿宋_GB2312" w:hAnsi="仿宋" w:eastAsia="仿宋_GB2312" w:cs="仿宋"/>
                <w:bCs/>
                <w:sz w:val="24"/>
                <w:lang w:bidi="ar"/>
              </w:rPr>
              <w:drawing>
                <wp:inline distT="0" distB="0" distL="0" distR="0">
                  <wp:extent cx="3867150" cy="590550"/>
                  <wp:effectExtent l="0" t="0" r="6350" b="6350"/>
                  <wp:docPr id="7679070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7023"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67150" cy="590550"/>
                          </a:xfrm>
                          <a:prstGeom prst="rect">
                            <a:avLst/>
                          </a:prstGeom>
                          <a:noFill/>
                          <a:ln>
                            <a:noFill/>
                          </a:ln>
                        </pic:spPr>
                      </pic:pic>
                    </a:graphicData>
                  </a:graphic>
                </wp:inline>
              </w:drawing>
            </w:r>
          </w:p>
          <w:p w14:paraId="5AEF6C2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通过这种方式，模型能“聚焦”于文本中与有害性最相关的信号，同时“最小化”无关上下文的干扰，生成一个“聚焦后”的特征序列，再送入后续的深度编码器。</w:t>
            </w:r>
          </w:p>
          <w:p w14:paraId="6B20B315">
            <w:pPr>
              <w:tabs>
                <w:tab w:val="left" w:pos="312"/>
              </w:tabs>
              <w:snapToGrid w:val="0"/>
              <w:spacing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3.深度学习模型架构</w:t>
            </w:r>
          </w:p>
          <w:p w14:paraId="2E15DCBB">
            <w:pPr>
              <w:tabs>
                <w:tab w:val="left" w:pos="312"/>
              </w:tabs>
              <w:snapToGrid w:val="0"/>
              <w:spacing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这是执行分类任务的核心计算模块。它接收经过聚焦的文本特征序列，并通过复杂的变换来学习和判断其是否有害。</w:t>
            </w:r>
          </w:p>
          <w:p w14:paraId="17C1B85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Transformer 编码器块：模型的主体结构，由一个或多个堆叠的Transformer编码器层组成。每一层通过自注意力机制计算词元与词元之间的全局依赖关系。其核心计算为：</w:t>
            </w:r>
          </w:p>
          <w:p w14:paraId="7DCABE18">
            <w:pPr>
              <w:snapToGrid w:val="0"/>
              <w:spacing w:line="360" w:lineRule="auto"/>
              <w:ind w:firstLine="470" w:firstLineChars="196"/>
              <w:jc w:val="center"/>
              <w:rPr>
                <w:rFonts w:hint="eastAsia" w:ascii="仿宋_GB2312" w:hAnsi="仿宋" w:eastAsia="仿宋_GB2312" w:cs="仿宋"/>
                <w:bCs/>
                <w:sz w:val="24"/>
                <w:lang w:bidi="ar"/>
              </w:rPr>
            </w:pPr>
            <w:r>
              <w:rPr>
                <w:rFonts w:ascii="仿宋_GB2312" w:hAnsi="仿宋" w:eastAsia="仿宋_GB2312" w:cs="仿宋"/>
                <w:bCs/>
                <w:sz w:val="24"/>
                <w:lang w:bidi="ar"/>
              </w:rPr>
              <w:drawing>
                <wp:inline distT="0" distB="0" distL="0" distR="0">
                  <wp:extent cx="2476500" cy="590550"/>
                  <wp:effectExtent l="0" t="0" r="0" b="6350"/>
                  <wp:docPr id="214007509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5090"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76500" cy="590550"/>
                          </a:xfrm>
                          <a:prstGeom prst="rect">
                            <a:avLst/>
                          </a:prstGeom>
                          <a:noFill/>
                          <a:ln>
                            <a:noFill/>
                          </a:ln>
                        </pic:spPr>
                      </pic:pic>
                    </a:graphicData>
                  </a:graphic>
                </wp:inline>
              </w:drawing>
            </w:r>
          </w:p>
          <w:p w14:paraId="65EB97A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其中Q,K,V分别表示查询、键和值矩阵，均来自上一层的输出序列。该机制使得模型能够捕捉长距离依赖结构。每层还包含一个前馈网络（FFN）用于非线性变换。</w:t>
            </w:r>
          </w:p>
          <w:p w14:paraId="1A25C21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句子级表示：在经过多层Transformer编码器后，得到每个Token的上下文敏感表示。句子级的整体表示通常通过取输入序列开头添加的[CLS]特殊标记所对应的最终隐藏状态来获得。</w:t>
            </w:r>
          </w:p>
          <w:p w14:paraId="3594308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分类头：[CLS]标记的隐藏状态向量</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h</m:t>
                  </m:r>
                  <m:ctrlPr>
                    <w:rPr>
                      <w:rFonts w:ascii="Cambria Math" w:hAnsi="Cambria Math" w:cs="仿宋"/>
                      <w:bCs/>
                      <w:i/>
                      <w:sz w:val="24"/>
                      <w:lang w:bidi="ar"/>
                    </w:rPr>
                  </m:ctrlPr>
                </m:e>
                <m:sub>
                  <m:r>
                    <m:rPr/>
                    <w:rPr>
                      <w:rFonts w:hint="default" w:ascii="Cambria Math" w:hAnsi="Cambria Math" w:cs="仿宋"/>
                      <w:sz w:val="24"/>
                      <w:lang w:val="en-US" w:eastAsia="zh-CN" w:bidi="ar"/>
                    </w:rPr>
                    <m:t>cls</m:t>
                  </m:r>
                  <m:ctrlPr>
                    <w:rPr>
                      <w:rFonts w:ascii="Cambria Math" w:hAnsi="Cambria Math" w:cs="仿宋"/>
                      <w:bCs/>
                      <w:i/>
                      <w:sz w:val="24"/>
                      <w:lang w:bidi="ar"/>
                    </w:rPr>
                  </m:ctrlPr>
                </m:sub>
              </m:sSub>
            </m:oMath>
            <w:r>
              <w:rPr>
                <w:rFonts w:hint="eastAsia" w:ascii="仿宋_GB2312" w:hAnsi="仿宋" w:eastAsia="仿宋_GB2312" w:cs="仿宋"/>
                <w:bCs/>
                <w:sz w:val="24"/>
                <w:lang w:bidi="ar"/>
              </w:rPr>
              <w:t>被送入一个或多个全连接层（即“分类头”），将其映射到</w:t>
            </w:r>
            <w:bookmarkStart w:id="6" w:name="_GoBack"/>
            <w:bookmarkEnd w:id="6"/>
            <w:r>
              <w:rPr>
                <w:rFonts w:hint="eastAsia" w:ascii="仿宋_GB2312" w:hAnsi="仿宋" w:eastAsia="仿宋_GB2312" w:cs="仿宋"/>
                <w:bCs/>
                <w:sz w:val="24"/>
                <w:lang w:bidi="ar"/>
              </w:rPr>
              <w:t>最终的分类空间。</w:t>
            </w:r>
          </w:p>
          <w:p w14:paraId="11162653">
            <w:pPr>
              <w:snapToGrid w:val="0"/>
              <w:spacing w:line="360" w:lineRule="auto"/>
              <w:ind w:firstLine="470" w:firstLineChars="196"/>
              <w:jc w:val="center"/>
              <w:rPr>
                <w:rFonts w:hint="eastAsia" w:ascii="仿宋_GB2312" w:hAnsi="仿宋" w:eastAsia="仿宋_GB2312" w:cs="仿宋"/>
                <w:bCs/>
                <w:sz w:val="24"/>
                <w:lang w:bidi="ar"/>
              </w:rPr>
            </w:pPr>
            <w:r>
              <w:rPr>
                <w:rFonts w:ascii="仿宋_GB2312" w:hAnsi="仿宋" w:eastAsia="仿宋_GB2312" w:cs="仿宋"/>
                <w:bCs/>
                <w:sz w:val="24"/>
                <w:lang w:bidi="ar"/>
              </w:rPr>
              <w:drawing>
                <wp:inline distT="0" distB="0" distL="0" distR="0">
                  <wp:extent cx="1452880" cy="271145"/>
                  <wp:effectExtent l="0" t="0" r="0" b="0"/>
                  <wp:docPr id="2774996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9628"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76445" cy="275505"/>
                          </a:xfrm>
                          <a:prstGeom prst="rect">
                            <a:avLst/>
                          </a:prstGeom>
                          <a:noFill/>
                          <a:ln>
                            <a:noFill/>
                          </a:ln>
                        </pic:spPr>
                      </pic:pic>
                    </a:graphicData>
                  </a:graphic>
                </wp:inline>
              </w:drawing>
            </w:r>
          </w:p>
          <w:p w14:paraId="19C906F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和</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b</m:t>
                  </m:r>
                  <m:ctrlPr>
                    <w:rPr>
                      <w:rFonts w:ascii="Cambria Math" w:hAnsi="Cambria Math" w:cs="仿宋"/>
                      <w:bCs/>
                      <w:i/>
                      <w:sz w:val="24"/>
                      <w:lang w:bidi="ar"/>
                    </w:rPr>
                  </m:ctrlPr>
                </m:e>
                <m:sub>
                  <m:r>
                    <m:rPr/>
                    <w:rPr>
                      <w:rFonts w:hint="default" w:ascii="Cambria Math" w:hAnsi="Cambria Math" w:cs="仿宋"/>
                      <w:sz w:val="24"/>
                      <w:lang w:val="en-US" w:eastAsia="zh-CN"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为可学习参数，</w:t>
            </w:r>
            <m:oMath>
              <m:r>
                <m:rPr>
                  <m:sty m:val="p"/>
                </m:rPr>
                <w:rPr>
                  <w:rFonts w:ascii="Cambria Math" w:hAnsi="Cambria Math" w:cs="仿宋"/>
                  <w:sz w:val="24"/>
                  <w:lang w:bidi="ar"/>
                </w:rPr>
                <m:t>ϕ</m:t>
              </m:r>
              <m:r>
                <m:rPr>
                  <m:sty m:val="p"/>
                </m:rPr>
                <w:rPr>
                  <w:rFonts w:hint="default" w:ascii="Cambria Math" w:hAnsi="Cambria Math" w:cs="仿宋"/>
                  <w:sz w:val="24"/>
                  <w:lang w:val="en-US" w:eastAsia="zh-CN" w:bidi="ar"/>
                </w:rPr>
                <m:t>()</m:t>
              </m:r>
            </m:oMath>
            <w:r>
              <w:rPr>
                <w:rFonts w:hint="eastAsia" w:ascii="仿宋_GB2312" w:hAnsi="仿宋" w:eastAsia="仿宋_GB2312" w:cs="仿宋"/>
                <w:bCs/>
                <w:sz w:val="24"/>
                <w:lang w:bidi="ar"/>
              </w:rPr>
              <w:t>为非线性激活函数（如ReLU）。</w:t>
            </w:r>
          </w:p>
          <w:p w14:paraId="1F81042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输出层：模型的最后一层。它使用 Sigmoid 激活函数，将分类头的输出</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Z</m:t>
                  </m:r>
                  <m:ctrlPr>
                    <w:rPr>
                      <w:rFonts w:ascii="Cambria Math" w:hAnsi="Cambria Math" w:cs="仿宋"/>
                      <w:bCs/>
                      <w:i/>
                      <w:sz w:val="24"/>
                      <w:lang w:bidi="ar"/>
                    </w:rPr>
                  </m:ctrlPr>
                </m:e>
                <m:sub>
                  <m:r>
                    <m:rPr/>
                    <w:rPr>
                      <w:rFonts w:hint="default" w:ascii="Cambria Math" w:hAnsi="Cambria Math" w:cs="仿宋"/>
                      <w:sz w:val="24"/>
                      <w:lang w:val="en-US" w:eastAsia="zh-CN" w:bidi="ar"/>
                    </w:rPr>
                    <m:t>t</m:t>
                  </m:r>
                  <m:ctrlPr>
                    <w:rPr>
                      <w:rFonts w:ascii="Cambria Math" w:hAnsi="Cambria Math" w:cs="仿宋"/>
                      <w:bCs/>
                      <w:i/>
                      <w:sz w:val="24"/>
                      <w:lang w:bidi="ar"/>
                    </w:rPr>
                  </m:ctrlPr>
                </m:sub>
              </m:sSub>
            </m:oMath>
            <w:r>
              <w:rPr>
                <w:rFonts w:hint="eastAsia" w:ascii="仿宋_GB2312" w:hAnsi="仿宋" w:eastAsia="仿宋_GB2312" w:cs="仿宋"/>
                <w:bCs/>
                <w:sz w:val="24"/>
                <w:lang w:bidi="ar"/>
              </w:rPr>
              <w:t>压缩到(0,1)的范围内。这个输出值p可以被直接解释为“输入文本为有害内容的概率”。</w:t>
            </w:r>
          </w:p>
          <w:p w14:paraId="5A04D1FE">
            <w:pPr>
              <w:pStyle w:val="21"/>
              <w:tabs>
                <w:tab w:val="left" w:pos="312"/>
              </w:tabs>
              <w:snapToGrid w:val="0"/>
              <w:spacing w:line="360" w:lineRule="auto"/>
              <w:ind w:left="420" w:firstLine="0" w:firstLineChars="0"/>
              <w:rPr>
                <w:rFonts w:hint="eastAsia" w:ascii="仿宋_GB2312" w:hAnsi="仿宋" w:eastAsia="仿宋_GB2312" w:cs="仿宋"/>
                <w:b/>
                <w:sz w:val="24"/>
                <w:lang w:bidi="ar"/>
              </w:rPr>
            </w:pPr>
            <w:r>
              <w:rPr>
                <w:rFonts w:hint="eastAsia" w:ascii="仿宋_GB2312" w:hAnsi="仿宋" w:eastAsia="仿宋_GB2312" w:cs="仿宋"/>
                <w:b/>
                <w:sz w:val="24"/>
                <w:lang w:bidi="ar"/>
              </w:rPr>
              <w:t>4.二元分类器</w:t>
            </w:r>
          </w:p>
          <w:p w14:paraId="33880589">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基于Sigmoid输出的概率值p,系统会应用一个决策阈值(例如0.5)：</w:t>
            </w:r>
          </w:p>
          <w:p w14:paraId="04491E4F">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标签：如果p&gt;0.5,则判定为“有害 (Harmful)”；否则判定为“无害 (Not Harmful)”。</w:t>
            </w:r>
          </w:p>
          <w:p w14:paraId="041C5F65">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置信度：系统同时输出原始的Sigmoid概率值p,作为模型对其判断的“自信程度”。</w:t>
            </w:r>
          </w:p>
          <w:p w14:paraId="4F845CFD">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训练目标（损失函数）:由于这是二元分类任务，模型训练目标采用二元交叉熵损失函数。这类似于音频文档中用于分类的加权交叉熵损失，但针对二分类进行了简化：</w:t>
            </w:r>
          </w:p>
          <w:p w14:paraId="23F031B3">
            <w:pPr>
              <w:snapToGrid w:val="0"/>
              <w:spacing w:line="360" w:lineRule="auto"/>
              <w:ind w:firstLine="470" w:firstLineChars="196"/>
              <w:jc w:val="center"/>
              <w:rPr>
                <w:rFonts w:hint="eastAsia" w:ascii="仿宋_GB2312" w:hAnsi="仿宋" w:eastAsia="仿宋_GB2312" w:cs="仿宋"/>
                <w:bCs/>
                <w:sz w:val="24"/>
                <w:lang w:bidi="ar"/>
              </w:rPr>
            </w:pPr>
            <w:r>
              <w:rPr>
                <w:rFonts w:ascii="仿宋_GB2312" w:hAnsi="仿宋" w:eastAsia="仿宋_GB2312" w:cs="仿宋"/>
                <w:bCs/>
                <w:sz w:val="24"/>
                <w:lang w:bidi="ar"/>
              </w:rPr>
              <w:drawing>
                <wp:inline distT="0" distB="0" distL="0" distR="0">
                  <wp:extent cx="3009900" cy="590550"/>
                  <wp:effectExtent l="0" t="0" r="0" b="6350"/>
                  <wp:docPr id="17504773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7356" name="图片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09900" cy="590550"/>
                          </a:xfrm>
                          <a:prstGeom prst="rect">
                            <a:avLst/>
                          </a:prstGeom>
                          <a:noFill/>
                          <a:ln>
                            <a:noFill/>
                          </a:ln>
                        </pic:spPr>
                      </pic:pic>
                    </a:graphicData>
                  </a:graphic>
                </wp:inline>
              </w:drawing>
            </w:r>
          </w:p>
          <w:p w14:paraId="50AF670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y</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 xml:space="preserve"> 为真实标签（0或1），</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p</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为模型预测的概率。为平衡类别不均衡，可引入类别权重</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w</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w:t>
            </w:r>
          </w:p>
          <w:p w14:paraId="39551BC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用于重训练的反馈循环：这是一个至关重要的运维（MLOps）环节。它表明系统的预测结果（尤其是误报、漏报或低置信度的案例）会被收集起来，可能由人工审核员进行复核。这些经过验证的数据会被反馈回数据集中，用于模型的“重训练”或“增量训练”，使模型能够持续学习和迭代改进。</w:t>
            </w:r>
          </w:p>
          <w:p w14:paraId="16C8DB59">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3.1.4图像特征提取</w:t>
            </w:r>
          </w:p>
          <w:p w14:paraId="6CDBE871">
            <w:pPr>
              <w:snapToGrid w:val="0"/>
              <w:spacing w:line="360" w:lineRule="auto"/>
              <w:ind w:firstLine="411" w:firstLineChars="196"/>
            </w:pPr>
          </w:p>
          <w:p w14:paraId="50701539">
            <w:pPr>
              <w:snapToGrid w:val="0"/>
              <w:spacing w:line="360" w:lineRule="auto"/>
              <w:ind w:firstLine="411" w:firstLineChars="196"/>
            </w:pPr>
            <w:r>
              <w:rPr>
                <w:rFonts w:hint="eastAsia"/>
              </w:rPr>
              <w:object>
                <v:shape id="_x0000_i1032" o:spt="75" type="#_x0000_t75" style="height:209.35pt;width:378.35pt;" o:ole="t" filled="f" o:preferrelative="t" stroked="f" coordsize="21600,21600">
                  <v:path/>
                  <v:fill on="f" focussize="0,0"/>
                  <v:stroke on="f" joinstyle="miter"/>
                  <v:imagedata r:id="rId29" o:title=""/>
                  <o:lock v:ext="edit" aspectratio="t"/>
                  <w10:wrap type="none"/>
                  <w10:anchorlock/>
                </v:shape>
                <o:OLEObject Type="Embed" ProgID="Visio.Drawing.15" ShapeID="_x0000_i1032" DrawAspect="Content" ObjectID="_1468075732" r:id="rId28">
                  <o:LockedField>false</o:LockedField>
                </o:OLEObject>
              </w:object>
            </w:r>
          </w:p>
          <w:p w14:paraId="736CE7E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图片模态技术点详细步骤：</w:t>
            </w:r>
          </w:p>
          <w:p w14:paraId="34095978">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1.视觉特征编码</w:t>
            </w:r>
          </w:p>
          <w:p w14:paraId="65BA0E4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模型的第一阶段是视觉感知，其目标是将原始的像素矩阵转换为一系列富含语义的视觉特征向量。我们采用Swin-Large作为视觉编码器，因其层次化结构与移位窗口注意力机制能在效率与性能间取得良好平衡。</w:t>
            </w:r>
          </w:p>
          <w:p w14:paraId="2DC1E6A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输入预处理是流程的起点。给定输入图像 </w:t>
            </w:r>
            <m:oMath>
              <m:r>
                <m:rPr/>
                <w:rPr>
                  <w:rFonts w:hint="default" w:ascii="Cambria Math" w:hAnsi="Cambria Math" w:eastAsia="仿宋_GB2312" w:cs="仿宋"/>
                  <w:kern w:val="2"/>
                  <w:sz w:val="24"/>
                  <w:szCs w:val="24"/>
                  <w:lang w:val="en-US" w:eastAsia="zh-CN" w:bidi="ar"/>
                </w:rPr>
                <m:t>I</m:t>
              </m:r>
              <m:r>
                <m:rPr/>
                <w:rPr>
                  <w:rFonts w:hint="default" w:ascii="Cambria Math" w:hAnsi="Cambria Math" w:eastAsia="仿宋_GB2312" w:cs="Cambria Math"/>
                  <w:kern w:val="2"/>
                  <w:sz w:val="24"/>
                  <w:szCs w:val="24"/>
                  <w:lang w:val="en-US" w:eastAsia="zh-CN" w:bidi="ar"/>
                </w:rPr>
                <m:t>∈</m:t>
              </m:r>
              <m:sSup>
                <m:sSupPr>
                  <m:ctrlPr>
                    <m:rPr/>
                    <w:rPr>
                      <w:rFonts w:hint="default" w:ascii="Cambria Math" w:hAnsi="Cambria Math" w:eastAsia="仿宋_GB2312" w:cs="Cambria Math"/>
                      <w:bCs/>
                      <w:i/>
                      <w:kern w:val="2"/>
                      <w:sz w:val="24"/>
                      <w:szCs w:val="24"/>
                      <w:lang w:val="en-US" w:eastAsia="zh-CN" w:bidi="ar"/>
                    </w:rPr>
                  </m:ctrlPr>
                </m:sSupPr>
                <m:e>
                  <m:r>
                    <m:rPr/>
                    <w:rPr>
                      <w:rFonts w:hint="default" w:ascii="Cambria Math" w:hAnsi="Cambria Math" w:eastAsia="仿宋_GB2312" w:cs="Cambria Math"/>
                      <w:kern w:val="2"/>
                      <w:sz w:val="24"/>
                      <w:szCs w:val="24"/>
                      <w:lang w:val="en-US" w:eastAsia="zh-CN" w:bidi="ar"/>
                    </w:rPr>
                    <m:t>R</m:t>
                  </m:r>
                  <m:ctrlPr>
                    <m:rPr/>
                    <w:rPr>
                      <w:rFonts w:hint="default" w:ascii="Cambria Math" w:hAnsi="Cambria Math" w:eastAsia="仿宋_GB2312" w:cs="Cambria Math"/>
                      <w:bCs/>
                      <w:i/>
                      <w:kern w:val="2"/>
                      <w:sz w:val="24"/>
                      <w:szCs w:val="24"/>
                      <w:lang w:val="en-US" w:eastAsia="zh-CN" w:bidi="ar"/>
                    </w:rPr>
                  </m:ctrlPr>
                </m:e>
                <m:sup>
                  <m:r>
                    <m:rPr/>
                    <w:rPr>
                      <w:rFonts w:hint="default" w:ascii="Cambria Math" w:hAnsi="Cambria Math" w:eastAsia="仿宋_GB2312" w:cs="Cambria Math"/>
                      <w:kern w:val="2"/>
                      <w:sz w:val="24"/>
                      <w:szCs w:val="24"/>
                      <w:lang w:val="en-US" w:eastAsia="zh-CN" w:bidi="ar"/>
                    </w:rPr>
                    <m:t>H</m:t>
                  </m:r>
                  <m:r>
                    <m:rPr/>
                    <w:rPr>
                      <w:rFonts w:ascii="Cambria Math" w:hAnsi="Cambria Math" w:cs="Cambria Math"/>
                      <w:kern w:val="2"/>
                      <w:sz w:val="24"/>
                      <w:szCs w:val="24"/>
                      <w:lang w:val="en-US" w:bidi="ar"/>
                    </w:rPr>
                    <m:t>×</m:t>
                  </m:r>
                  <m:r>
                    <m:rPr/>
                    <w:rPr>
                      <w:rFonts w:hint="default" w:ascii="Cambria Math" w:hAnsi="Cambria Math" w:cs="Cambria Math"/>
                      <w:kern w:val="2"/>
                      <w:sz w:val="24"/>
                      <w:szCs w:val="24"/>
                      <w:lang w:val="en-US" w:eastAsia="zh-CN" w:bidi="ar"/>
                    </w:rPr>
                    <m:t>W</m:t>
                  </m:r>
                  <m:r>
                    <m:rPr/>
                    <w:rPr>
                      <w:rFonts w:ascii="Cambria Math" w:hAnsi="Cambria Math" w:cs="Cambria Math"/>
                      <w:kern w:val="2"/>
                      <w:sz w:val="24"/>
                      <w:szCs w:val="24"/>
                      <w:lang w:val="en-US" w:bidi="ar"/>
                    </w:rPr>
                    <m:t>×</m:t>
                  </m:r>
                  <m:r>
                    <m:rPr/>
                    <w:rPr>
                      <w:rFonts w:hint="default" w:ascii="Cambria Math" w:hAnsi="Cambria Math" w:cs="Cambria Math"/>
                      <w:kern w:val="2"/>
                      <w:sz w:val="24"/>
                      <w:szCs w:val="24"/>
                      <w:lang w:val="en-US" w:eastAsia="zh-CN" w:bidi="ar"/>
                    </w:rPr>
                    <m:t>3</m:t>
                  </m:r>
                  <m:ctrlPr>
                    <m:rPr/>
                    <w:rPr>
                      <w:rFonts w:hint="default" w:ascii="Cambria Math" w:hAnsi="Cambria Math" w:eastAsia="仿宋_GB2312" w:cs="Cambria Math"/>
                      <w:bCs/>
                      <w:i/>
                      <w:kern w:val="2"/>
                      <w:sz w:val="24"/>
                      <w:szCs w:val="24"/>
                      <w:lang w:val="en-US" w:eastAsia="zh-CN" w:bidi="ar"/>
                    </w:rPr>
                  </m:ctrlPr>
                </m:sup>
              </m:sSup>
            </m:oMath>
            <w:r>
              <w:rPr>
                <w:rFonts w:hint="eastAsia" w:ascii="仿宋_GB2312" w:hAnsi="仿宋" w:eastAsia="仿宋_GB2312" w:cs="仿宋"/>
                <w:bCs/>
                <w:sz w:val="24"/>
                <w:lang w:bidi="ar"/>
              </w:rPr>
              <w:t>，我们首先将其缩放至标准尺寸（如224×224），随后进行通道归一化：</w:t>
            </w:r>
            <m:oMath>
              <m:sSubSup>
                <m:sSubSupPr>
                  <m:ctrlPr>
                    <w:rPr>
                      <w:rFonts w:ascii="Cambria Math" w:hAnsi="Cambria Math" w:cs="仿宋"/>
                      <w:bCs/>
                      <w:i/>
                      <w:sz w:val="24"/>
                      <w:lang w:bidi="ar"/>
                    </w:rPr>
                  </m:ctrlPr>
                </m:sSubSupPr>
                <m:e>
                  <m:r>
                    <m:rPr/>
                    <w:rPr>
                      <w:rFonts w:hint="default" w:ascii="Cambria Math" w:hAnsi="Cambria Math" w:cs="仿宋"/>
                      <w:sz w:val="24"/>
                      <w:lang w:val="en-US" w:eastAsia="zh-CN" w:bidi="ar"/>
                    </w:rPr>
                    <m:t>X</m:t>
                  </m:r>
                  <m:ctrlPr>
                    <w:rPr>
                      <w:rFonts w:ascii="Cambria Math" w:hAnsi="Cambria Math" w:cs="仿宋"/>
                      <w:bCs/>
                      <w:i/>
                      <w:sz w:val="24"/>
                      <w:lang w:bidi="ar"/>
                    </w:rPr>
                  </m:ctrlPr>
                </m:e>
                <m:sub>
                  <m:r>
                    <m:rPr/>
                    <w:rPr>
                      <w:rFonts w:hint="default" w:ascii="Cambria Math" w:hAnsi="Cambria Math" w:cs="仿宋"/>
                      <w:sz w:val="24"/>
                      <w:lang w:val="en-US" w:eastAsia="zh-CN" w:bidi="ar"/>
                    </w:rPr>
                    <m:t>h,w,c</m:t>
                  </m:r>
                  <m:ctrlPr>
                    <w:rPr>
                      <w:rFonts w:ascii="Cambria Math" w:hAnsi="Cambria Math" w:cs="仿宋"/>
                      <w:bCs/>
                      <w:i/>
                      <w:sz w:val="24"/>
                      <w:lang w:bidi="ar"/>
                    </w:rPr>
                  </m:ctrlPr>
                </m:sub>
                <m:sup>
                  <m:r>
                    <m:rPr/>
                    <w:rPr>
                      <w:rFonts w:hint="default" w:ascii="Cambria Math" w:hAnsi="Cambria Math" w:cs="仿宋"/>
                      <w:sz w:val="24"/>
                      <w:lang w:val="en-US" w:eastAsia="zh-CN" w:bidi="ar"/>
                    </w:rPr>
                    <m:t>'</m:t>
                  </m:r>
                  <m:ctrlPr>
                    <w:rPr>
                      <w:rFonts w:ascii="Cambria Math" w:hAnsi="Cambria Math" w:cs="仿宋"/>
                      <w:bCs/>
                      <w:i/>
                      <w:sz w:val="24"/>
                      <w:lang w:bidi="ar"/>
                    </w:rPr>
                  </m:ctrlPr>
                </m:sup>
              </m:sSubSup>
              <m:r>
                <m:rPr/>
                <w:rPr>
                  <w:rFonts w:hint="default" w:ascii="Cambria Math" w:hAnsi="Cambria Math" w:cs="仿宋"/>
                  <w:sz w:val="24"/>
                  <w:lang w:val="en-US" w:eastAsia="zh-CN" w:bidi="ar"/>
                </w:rPr>
                <m:t>=(</m:t>
              </m:r>
              <m:sSub>
                <m:sSubPr>
                  <m:ctrlPr>
                    <w:rPr>
                      <w:rFonts w:hint="default" w:ascii="Cambria Math" w:hAnsi="Cambria Math" w:cs="仿宋"/>
                      <w:bCs/>
                      <w:i/>
                      <w:sz w:val="24"/>
                      <w:lang w:val="en-US" w:eastAsia="zh-CN" w:bidi="ar"/>
                    </w:rPr>
                  </m:ctrlPr>
                </m:sSubPr>
                <m:e>
                  <m:r>
                    <m:rPr/>
                    <w:rPr>
                      <w:rFonts w:hint="default" w:ascii="Cambria Math" w:hAnsi="Cambria Math" w:cs="仿宋"/>
                      <w:sz w:val="24"/>
                      <w:lang w:val="en-US" w:eastAsia="zh-CN" w:bidi="ar"/>
                    </w:rPr>
                    <m:t>X</m:t>
                  </m:r>
                  <m:ctrl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h,w,c</m:t>
                  </m:r>
                  <m:ctrlPr>
                    <w:rPr>
                      <w:rFonts w:hint="default" w:ascii="Cambria Math" w:hAnsi="Cambria Math" w:cs="仿宋"/>
                      <w:bCs/>
                      <w:i/>
                      <w:sz w:val="24"/>
                      <w:lang w:val="en-US" w:eastAsia="zh-CN" w:bidi="ar"/>
                    </w:rPr>
                  </m:ctrlPr>
                </m:sub>
              </m:sSub>
              <m:r>
                <m:rPr/>
                <w:rPr>
                  <w:rFonts w:hint="default" w:ascii="Cambria Math" w:hAnsi="Cambria Math" w:cs="仿宋"/>
                  <w:sz w:val="24"/>
                  <w:lang w:val="en-US" w:eastAsia="zh-CN" w:bidi="ar"/>
                </w:rPr>
                <m:t>−</m:t>
              </m:r>
              <m:sSub>
                <m:sSubPr>
                  <m:ctrlPr>
                    <w:rPr>
                      <w:rFonts w:hint="default" w:ascii="Cambria Math" w:hAnsi="Cambria Math" w:cs="仿宋"/>
                      <w:bCs/>
                      <w:i/>
                      <w:sz w:val="24"/>
                      <w:lang w:val="en-US" w:eastAsia="zh-CN" w:bidi="ar"/>
                    </w:rPr>
                  </m:ctrlPr>
                </m:sSubPr>
                <m:e>
                  <m:r>
                    <m:rPr/>
                    <w:rPr>
                      <w:rFonts w:ascii="Cambria Math" w:hAnsi="Cambria Math" w:cs="仿宋"/>
                      <w:sz w:val="24"/>
                      <w:lang w:val="en-US" w:bidi="ar"/>
                    </w:rPr>
                    <m:t>μ</m:t>
                  </m:r>
                  <m:ctrl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c</m:t>
                  </m:r>
                  <m:ctrlPr>
                    <w:rPr>
                      <w:rFonts w:hint="default" w:ascii="Cambria Math" w:hAnsi="Cambria Math" w:cs="仿宋"/>
                      <w:bCs/>
                      <w:i/>
                      <w:sz w:val="24"/>
                      <w:lang w:val="en-US" w:eastAsia="zh-CN" w:bidi="ar"/>
                    </w:rPr>
                  </m:ctrlPr>
                </m:sub>
              </m:sSub>
              <m:r>
                <m:rPr/>
                <w:rPr>
                  <w:rFonts w:hint="default" w:ascii="Cambria Math" w:hAnsi="Cambria Math" w:cs="仿宋"/>
                  <w:sz w:val="24"/>
                  <w:lang w:val="en-US" w:eastAsia="zh-CN" w:bidi="ar"/>
                </w:rPr>
                <m:t>)/</m:t>
              </m:r>
              <m:sSub>
                <m:sSubPr>
                  <m:ctrlPr>
                    <w:rPr>
                      <w:rFonts w:hint="default" w:ascii="Cambria Math" w:hAnsi="Cambria Math" w:cs="仿宋"/>
                      <w:bCs/>
                      <w:i/>
                      <w:sz w:val="24"/>
                      <w:lang w:val="en-US" w:eastAsia="zh-CN" w:bidi="ar"/>
                    </w:rPr>
                  </m:ctrlPr>
                </m:sSubPr>
                <m:e>
                  <m:r>
                    <m:rPr/>
                    <w:rPr>
                      <w:rFonts w:ascii="Cambria Math" w:hAnsi="Cambria Math" w:cs="仿宋"/>
                      <w:sz w:val="24"/>
                      <w:lang w:val="en-US" w:bidi="ar"/>
                    </w:rPr>
                    <m:t>σ</m:t>
                  </m:r>
                  <m:ctrl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c</m:t>
                  </m:r>
                  <m:ctrlPr>
                    <w:rPr>
                      <w:rFonts w:hint="default" w:ascii="Cambria Math" w:hAnsi="Cambria Math" w:cs="仿宋"/>
                      <w:bCs/>
                      <w:i/>
                      <w:sz w:val="24"/>
                      <w:lang w:val="en-US" w:eastAsia="zh-CN" w:bidi="ar"/>
                    </w:rPr>
                  </m:ctrlPr>
                </m:sub>
              </m:sSub>
            </m:oMath>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ascii="Cambria Math" w:hAnsi="Cambria Math" w:cs="仿宋"/>
                      <w:sz w:val="24"/>
                      <w:lang w:bidi="ar"/>
                    </w:rPr>
                    <m:t>μ</m:t>
                  </m:r>
                  <m:ctrlPr>
                    <w:rPr>
                      <w:rFonts w:ascii="Cambria Math" w:hAnsi="Cambria Math" w:cs="仿宋"/>
                      <w:bCs/>
                      <w:i/>
                      <w:sz w:val="24"/>
                      <w:lang w:bidi="ar"/>
                    </w:rPr>
                  </m:ctrlPr>
                </m:e>
                <m:sub>
                  <m:r>
                    <m:rPr/>
                    <w:rPr>
                      <w:rFonts w:hint="default" w:ascii="Cambria Math" w:hAnsi="Cambria Math" w:cs="仿宋"/>
                      <w:sz w:val="24"/>
                      <w:lang w:val="en-US" w:eastAsia="zh-CN" w:bidi="ar"/>
                    </w:rPr>
                    <m:t>c</m:t>
                  </m:r>
                  <m:ctrlPr>
                    <w:rPr>
                      <w:rFonts w:ascii="Cambria Math" w:hAnsi="Cambria Math" w:cs="仿宋"/>
                      <w:bCs/>
                      <w:i/>
                      <w:sz w:val="24"/>
                      <w:lang w:bidi="ar"/>
                    </w:rPr>
                  </m:ctrlPr>
                </m:sub>
              </m:sSub>
            </m:oMath>
            <w:r>
              <w:rPr>
                <w:rFonts w:hint="eastAsia" w:hAnsi="Cambria Math" w:cs="仿宋"/>
                <w:bCs/>
                <w:i w:val="0"/>
                <w:sz w:val="24"/>
                <w:lang w:val="en-US" w:eastAsia="zh-CN" w:bidi="ar"/>
              </w:rPr>
              <w:t>,</w:t>
            </w:r>
            <m:oMath>
              <m:sSub>
                <m:sSubPr>
                  <m:ctrlPr>
                    <w:rPr>
                      <w:rFonts w:ascii="Cambria Math" w:hAnsi="Cambria Math" w:cs="仿宋"/>
                      <w:bCs/>
                      <w:i/>
                      <w:sz w:val="24"/>
                      <w:lang w:val="en-US" w:bidi="ar"/>
                    </w:rPr>
                  </m:ctrlPr>
                </m:sSubPr>
                <m:e>
                  <m:r>
                    <m:rPr/>
                    <w:rPr>
                      <w:rFonts w:ascii="Cambria Math" w:hAnsi="Cambria Math" w:cs="仿宋"/>
                      <w:sz w:val="24"/>
                      <w:lang w:val="en-US" w:bidi="ar"/>
                    </w:rPr>
                    <m:t>σ</m:t>
                  </m:r>
                  <m:ctrlPr>
                    <w:rPr>
                      <w:rFonts w:ascii="Cambria Math" w:hAnsi="Cambria Math" w:cs="仿宋"/>
                      <w:bCs/>
                      <w:i/>
                      <w:sz w:val="24"/>
                      <w:lang w:val="en-US" w:bidi="ar"/>
                    </w:rPr>
                  </m:ctrlPr>
                </m:e>
                <m:sub>
                  <m:r>
                    <m:rPr/>
                    <w:rPr>
                      <w:rFonts w:hint="default" w:ascii="Cambria Math" w:hAnsi="Cambria Math" w:cs="仿宋"/>
                      <w:sz w:val="24"/>
                      <w:lang w:val="en-US" w:eastAsia="zh-CN" w:bidi="ar"/>
                    </w:rPr>
                    <m:t>c</m:t>
                  </m:r>
                  <m:ctrlPr>
                    <w:rPr>
                      <w:rFonts w:ascii="Cambria Math" w:hAnsi="Cambria Math" w:cs="仿宋"/>
                      <w:bCs/>
                      <w:i/>
                      <w:sz w:val="24"/>
                      <w:lang w:val="en-US" w:bidi="ar"/>
                    </w:rPr>
                  </m:ctrlPr>
                </m:sub>
              </m:sSub>
            </m:oMath>
            <w:r>
              <w:rPr>
                <w:rFonts w:hint="eastAsia" w:ascii="仿宋_GB2312" w:hAnsi="仿宋" w:eastAsia="仿宋_GB2312" w:cs="仿宋"/>
                <w:bCs/>
                <w:sz w:val="24"/>
                <w:lang w:bidi="ar"/>
              </w:rPr>
              <w:t>为ImageNet数据集的统计量。此操作通过标准化输入分布，为后续模型的稳定训练奠定了基础。</w:t>
            </w:r>
          </w:p>
          <w:p w14:paraId="02B94A2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Patch Embedding将归一化后的图像转换为序列化表示。通过一个核与步长均为4的卷积操作，图像被分割为</w:t>
            </w:r>
            <m:oMath>
              <m:r>
                <m:rPr/>
                <w:rPr>
                  <w:rFonts w:hint="default" w:ascii="Cambria Math" w:hAnsi="Cambria Math" w:eastAsia="仿宋_GB2312" w:cs="仿宋"/>
                  <w:kern w:val="2"/>
                  <w:sz w:val="24"/>
                  <w:szCs w:val="24"/>
                  <w:lang w:val="en-US" w:eastAsia="zh-CN" w:bidi="ar"/>
                </w:rPr>
                <m:t>N=(H/4)</m:t>
              </m:r>
              <m:r>
                <m:rPr/>
                <w:rPr>
                  <w:rFonts w:hint="default" w:ascii="Cambria Math" w:hAnsi="Cambria Math" w:eastAsia="仿宋_GB2312" w:cs="Cambria Math"/>
                  <w:kern w:val="2"/>
                  <w:sz w:val="24"/>
                  <w:szCs w:val="24"/>
                  <w:lang w:val="en-US" w:eastAsia="zh-CN" w:bidi="ar"/>
                </w:rPr>
                <m:t>×</m:t>
              </m:r>
              <m:r>
                <m:rPr/>
                <w:rPr>
                  <w:rFonts w:hint="default" w:ascii="Cambria Math" w:hAnsi="Cambria Math" w:eastAsia="仿宋_GB2312" w:cs="仿宋"/>
                  <w:kern w:val="2"/>
                  <w:sz w:val="24"/>
                  <w:szCs w:val="24"/>
                  <w:lang w:val="en-US" w:eastAsia="zh-CN" w:bidi="ar"/>
                </w:rPr>
                <m:t>(W/4)</m:t>
              </m:r>
            </m:oMath>
            <w:r>
              <w:rPr>
                <w:rFonts w:hint="eastAsia" w:ascii="仿宋_GB2312" w:hAnsi="仿宋" w:eastAsia="仿宋_GB2312" w:cs="仿宋"/>
                <w:bCs/>
                <w:sz w:val="24"/>
                <w:lang w:bidi="ar"/>
              </w:rPr>
              <w:t>个不重叠的图像块，每个块被投影为一个</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d</m:t>
                  </m:r>
                  <m:ctrlPr>
                    <w:rPr>
                      <w:rFonts w:ascii="Cambria Math" w:hAnsi="Cambria Math" w:cs="仿宋"/>
                      <w:bCs/>
                      <w:i/>
                      <w:sz w:val="24"/>
                      <w:lang w:bidi="ar"/>
                    </w:rPr>
                  </m:ctrlPr>
                </m:e>
                <m:sub>
                  <m:r>
                    <m:rPr/>
                    <w:rPr>
                      <w:rFonts w:hint="default" w:ascii="Cambria Math" w:hAnsi="Cambria Math" w:cs="仿宋"/>
                      <w:sz w:val="24"/>
                      <w:lang w:val="en-US" w:eastAsia="zh-CN" w:bidi="ar"/>
                    </w:rPr>
                    <m:t>0</m:t>
                  </m:r>
                  <m:ctrlPr>
                    <w:rPr>
                      <w:rFonts w:ascii="Cambria Math" w:hAnsi="Cambria Math" w:cs="仿宋"/>
                      <w:bCs/>
                      <w:i/>
                      <w:sz w:val="24"/>
                      <w:lang w:bidi="ar"/>
                    </w:rPr>
                  </m:ctrlPr>
                </m:sub>
              </m:sSub>
              <m:r>
                <m:rPr/>
                <w:rPr>
                  <w:rFonts w:hint="default" w:ascii="Cambria Math" w:hAnsi="Cambria Math" w:cs="仿宋"/>
                  <w:sz w:val="24"/>
                  <w:lang w:val="en-US" w:eastAsia="zh-CN" w:bidi="ar"/>
                </w:rPr>
                <m:t>=192</m:t>
              </m:r>
            </m:oMath>
            <w:r>
              <w:rPr>
                <w:rFonts w:hint="eastAsia" w:ascii="仿宋_GB2312" w:hAnsi="仿宋" w:eastAsia="仿宋_GB2312" w:cs="仿宋"/>
                <w:bCs/>
                <w:sz w:val="24"/>
                <w:lang w:bidi="ar"/>
              </w:rPr>
              <w:t xml:space="preserve">维的向量，形成初始的视觉令牌序列 </w:t>
            </w:r>
            <m:oMath>
              <m:r>
                <m:rPr/>
                <w:rPr>
                  <w:rFonts w:hint="default" w:ascii="Cambria Math" w:hAnsi="Cambria Math" w:eastAsia="仿宋_GB2312" w:cs="仿宋"/>
                  <w:kern w:val="2"/>
                  <w:sz w:val="24"/>
                  <w:szCs w:val="24"/>
                  <w:lang w:val="en-US" w:eastAsia="zh-CN" w:bidi="ar"/>
                </w:rPr>
                <m:t>P</m:t>
              </m:r>
              <m:r>
                <m:rPr/>
                <w:rPr>
                  <w:rFonts w:hint="default" w:ascii="Cambria Math" w:hAnsi="Cambria Math" w:eastAsia="仿宋_GB2312" w:cs="Cambria Math"/>
                  <w:kern w:val="2"/>
                  <w:sz w:val="24"/>
                  <w:szCs w:val="24"/>
                  <w:lang w:val="en-US" w:eastAsia="zh-CN" w:bidi="ar"/>
                </w:rPr>
                <m:t>∈</m:t>
              </m:r>
              <m:sSup>
                <m:sSupPr>
                  <m:ctrlPr>
                    <m:rPr/>
                    <w:rPr>
                      <w:rFonts w:hint="default" w:ascii="Cambria Math" w:hAnsi="Cambria Math" w:eastAsia="仿宋_GB2312" w:cs="Cambria Math"/>
                      <w:bCs/>
                      <w:i/>
                      <w:kern w:val="2"/>
                      <w:sz w:val="24"/>
                      <w:szCs w:val="24"/>
                      <w:lang w:val="en-US" w:eastAsia="zh-CN" w:bidi="ar"/>
                    </w:rPr>
                  </m:ctrlPr>
                </m:sSupPr>
                <m:e>
                  <m:r>
                    <m:rPr/>
                    <w:rPr>
                      <w:rFonts w:hint="default" w:ascii="Cambria Math" w:hAnsi="Cambria Math" w:eastAsia="仿宋_GB2312" w:cs="Cambria Math"/>
                      <w:kern w:val="2"/>
                      <w:sz w:val="24"/>
                      <w:szCs w:val="24"/>
                      <w:lang w:val="en-US" w:eastAsia="zh-CN" w:bidi="ar"/>
                    </w:rPr>
                    <m:t>R</m:t>
                  </m:r>
                  <m:ctrlPr>
                    <m:rPr/>
                    <w:rPr>
                      <w:rFonts w:hint="default" w:ascii="Cambria Math" w:hAnsi="Cambria Math" w:eastAsia="仿宋_GB2312" w:cs="Cambria Math"/>
                      <w:bCs/>
                      <w:i/>
                      <w:kern w:val="2"/>
                      <w:sz w:val="24"/>
                      <w:szCs w:val="24"/>
                      <w:lang w:val="en-US" w:eastAsia="zh-CN" w:bidi="ar"/>
                    </w:rPr>
                  </m:ctrlPr>
                </m:e>
                <m:sup>
                  <m:r>
                    <m:rPr/>
                    <w:rPr>
                      <w:rFonts w:hint="default" w:ascii="Cambria Math" w:hAnsi="Cambria Math" w:eastAsia="仿宋_GB2312" w:cs="Cambria Math"/>
                      <w:kern w:val="2"/>
                      <w:sz w:val="24"/>
                      <w:szCs w:val="24"/>
                      <w:lang w:val="en-US" w:eastAsia="zh-CN" w:bidi="ar"/>
                    </w:rPr>
                    <m:t>N</m:t>
                  </m:r>
                  <m:r>
                    <m:rPr/>
                    <w:rPr>
                      <w:rFonts w:ascii="Cambria Math" w:hAnsi="Cambria Math" w:cs="Cambria Math"/>
                      <w:kern w:val="2"/>
                      <w:sz w:val="24"/>
                      <w:szCs w:val="24"/>
                      <w:lang w:val="en-US" w:bidi="ar"/>
                    </w:rPr>
                    <m:t>×</m:t>
                  </m:r>
                  <m:sSub>
                    <m:sSubPr>
                      <m:ctrlPr>
                        <m:rPr/>
                        <w:rPr>
                          <w:rFonts w:ascii="Cambria Math" w:hAnsi="Cambria Math" w:cs="Cambria Math"/>
                          <w:bCs/>
                          <w:i/>
                          <w:kern w:val="2"/>
                          <w:sz w:val="24"/>
                          <w:szCs w:val="24"/>
                          <w:lang w:val="en-US" w:bidi="ar"/>
                        </w:rPr>
                      </m:ctrlPr>
                    </m:sSubPr>
                    <m:e>
                      <m:r>
                        <m:rPr/>
                        <w:rPr>
                          <w:rFonts w:hint="default" w:ascii="Cambria Math" w:hAnsi="Cambria Math" w:cs="Cambria Math"/>
                          <w:kern w:val="2"/>
                          <w:sz w:val="24"/>
                          <w:szCs w:val="24"/>
                          <w:lang w:val="en-US" w:eastAsia="zh-CN" w:bidi="ar"/>
                        </w:rPr>
                        <m:t>d</m:t>
                      </m:r>
                      <m:ctrlPr>
                        <m:rPr/>
                        <w:rPr>
                          <w:rFonts w:ascii="Cambria Math" w:hAnsi="Cambria Math" w:cs="Cambria Math"/>
                          <w:bCs/>
                          <w:i/>
                          <w:kern w:val="2"/>
                          <w:sz w:val="24"/>
                          <w:szCs w:val="24"/>
                          <w:lang w:val="en-US" w:bidi="ar"/>
                        </w:rPr>
                      </m:ctrlPr>
                    </m:e>
                    <m:sub>
                      <m:r>
                        <m:rPr/>
                        <w:rPr>
                          <w:rFonts w:hint="default" w:ascii="Cambria Math" w:hAnsi="Cambria Math" w:cs="Cambria Math"/>
                          <w:kern w:val="2"/>
                          <w:sz w:val="24"/>
                          <w:szCs w:val="24"/>
                          <w:lang w:val="en-US" w:eastAsia="zh-CN" w:bidi="ar"/>
                        </w:rPr>
                        <m:t>0</m:t>
                      </m:r>
                      <m:ctrlPr>
                        <m:rPr/>
                        <w:rPr>
                          <w:rFonts w:ascii="Cambria Math" w:hAnsi="Cambria Math" w:cs="Cambria Math"/>
                          <w:bCs/>
                          <w:i/>
                          <w:kern w:val="2"/>
                          <w:sz w:val="24"/>
                          <w:szCs w:val="24"/>
                          <w:lang w:val="en-US" w:bidi="ar"/>
                        </w:rPr>
                      </m:ctrlPr>
                    </m:sub>
                  </m:sSub>
                  <m:ctrlPr>
                    <m:rPr/>
                    <w:rPr>
                      <w:rFonts w:hint="default" w:ascii="Cambria Math" w:hAnsi="Cambria Math" w:eastAsia="仿宋_GB2312" w:cs="Cambria Math"/>
                      <w:bCs/>
                      <w:i/>
                      <w:kern w:val="2"/>
                      <w:sz w:val="24"/>
                      <w:szCs w:val="24"/>
                      <w:lang w:val="en-US" w:eastAsia="zh-CN" w:bidi="ar"/>
                    </w:rPr>
                  </m:ctrlPr>
                </m:sup>
              </m:sSup>
            </m:oMath>
            <w:r>
              <w:rPr>
                <w:rFonts w:hint="eastAsia" w:ascii="仿宋_GB2312" w:hAnsi="仿宋" w:eastAsia="仿宋_GB2312" w:cs="仿宋"/>
                <w:bCs/>
                <w:sz w:val="24"/>
                <w:lang w:bidi="ar"/>
              </w:rPr>
              <w:t>。</w:t>
            </w:r>
          </w:p>
          <w:p w14:paraId="195DFB88">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随后，序列 </w:t>
            </w:r>
            <m:oMath>
              <m:r>
                <m:rPr/>
                <w:rPr>
                  <w:rFonts w:hint="default" w:ascii="Cambria Math" w:hAnsi="Cambria Math" w:eastAsia="仿宋_GB2312"/>
                  <w:sz w:val="24"/>
                </w:rPr>
                <m:t>p</m:t>
              </m:r>
            </m:oMath>
            <w:r>
              <w:rPr>
                <w:rFonts w:hint="eastAsia" w:ascii="仿宋_GB2312" w:hAnsi="仿宋" w:eastAsia="仿宋_GB2312" w:cs="仿宋"/>
                <w:bCs/>
                <w:sz w:val="24"/>
                <w:lang w:bidi="ar"/>
              </w:rPr>
              <w:t xml:space="preserve"> 被送入Swin-L的四个Stage中进行层次化特征提取处理。每个Stage由Patch Merging层和若干个Swin Transformer Block构成。Patch Merging通过拼接与投影邻近的2×2图像块，实现空间分辨率减半和通道维数翻倍，从而构建出特征金字塔。Swin Transformer Block则通过窗口多头自注意力（W-MSA） 与移位窗口多头自注意力（SW-MSA） 的交替使用，高效地捕获局部细节与全局上下文。具体而言，W-MSA将特征图划分为不重叠窗口，在窗口内计算自注意力以降低计算复杂度；而SW-MSA则在下一层对窗口进行偏移，并通过循环移位与掩码机制实现跨窗口信息交互，弥补了W-MSA的局限性。经过四个Stage的下采样（224→112→56→28→14），我们最终得到视觉特征序列</w:t>
            </w:r>
            <m:oMath>
              <m:r>
                <m:rPr/>
                <w:rPr>
                  <w:rFonts w:hint="default" w:ascii="Cambria Math" w:hAnsi="Cambria Math" w:eastAsia="仿宋_GB2312" w:cs="仿宋"/>
                  <w:kern w:val="2"/>
                  <w:sz w:val="24"/>
                  <w:szCs w:val="24"/>
                  <w:lang w:val="en-US" w:eastAsia="zh-CN" w:bidi="ar"/>
                </w:rPr>
                <m:t>V</m:t>
              </m:r>
              <m:r>
                <m:rPr/>
                <w:rPr>
                  <w:rFonts w:hint="default" w:ascii="Cambria Math" w:hAnsi="Cambria Math" w:eastAsia="仿宋_GB2312" w:cs="Cambria Math"/>
                  <w:kern w:val="2"/>
                  <w:sz w:val="24"/>
                  <w:szCs w:val="24"/>
                  <w:lang w:val="en-US" w:eastAsia="zh-CN" w:bidi="ar"/>
                </w:rPr>
                <m:t>∈</m:t>
              </m:r>
              <m:sSup>
                <m:sSupPr>
                  <m:ctrlPr>
                    <m:rPr/>
                    <w:rPr>
                      <w:rFonts w:hint="default" w:ascii="Cambria Math" w:hAnsi="Cambria Math" w:eastAsia="仿宋_GB2312" w:cs="Cambria Math"/>
                      <w:bCs/>
                      <w:i/>
                      <w:kern w:val="2"/>
                      <w:sz w:val="24"/>
                      <w:szCs w:val="24"/>
                      <w:lang w:val="en-US" w:eastAsia="zh-CN" w:bidi="ar"/>
                    </w:rPr>
                  </m:ctrlPr>
                </m:sSupPr>
                <m:e>
                  <m:r>
                    <m:rPr/>
                    <w:rPr>
                      <w:rFonts w:hint="default" w:ascii="Cambria Math" w:hAnsi="Cambria Math" w:eastAsia="仿宋_GB2312" w:cs="Cambria Math"/>
                      <w:kern w:val="2"/>
                      <w:sz w:val="24"/>
                      <w:szCs w:val="24"/>
                      <w:lang w:val="en-US" w:eastAsia="zh-CN" w:bidi="ar"/>
                    </w:rPr>
                    <m:t>R</m:t>
                  </m:r>
                  <m:ctrlPr>
                    <m:rPr/>
                    <w:rPr>
                      <w:rFonts w:hint="default" w:ascii="Cambria Math" w:hAnsi="Cambria Math" w:eastAsia="仿宋_GB2312" w:cs="Cambria Math"/>
                      <w:bCs/>
                      <w:i/>
                      <w:kern w:val="2"/>
                      <w:sz w:val="24"/>
                      <w:szCs w:val="24"/>
                      <w:lang w:val="en-US" w:eastAsia="zh-CN" w:bidi="ar"/>
                    </w:rPr>
                  </m:ctrlPr>
                </m:e>
                <m:sup>
                  <m:r>
                    <m:rPr/>
                    <w:rPr>
                      <w:rFonts w:hint="default" w:ascii="Cambria Math" w:hAnsi="Cambria Math" w:eastAsia="仿宋_GB2312" w:cs="Cambria Math"/>
                      <w:kern w:val="2"/>
                      <w:sz w:val="24"/>
                      <w:szCs w:val="24"/>
                      <w:lang w:val="en-US" w:eastAsia="zh-CN" w:bidi="ar"/>
                    </w:rPr>
                    <m:t>49</m:t>
                  </m:r>
                  <m:r>
                    <m:rPr/>
                    <w:rPr>
                      <w:rFonts w:ascii="Cambria Math" w:hAnsi="Cambria Math" w:cs="Cambria Math"/>
                      <w:kern w:val="2"/>
                      <w:sz w:val="24"/>
                      <w:szCs w:val="24"/>
                      <w:lang w:val="en-US" w:bidi="ar"/>
                    </w:rPr>
                    <m:t>×</m:t>
                  </m:r>
                  <m:r>
                    <m:rPr/>
                    <w:rPr>
                      <w:rFonts w:hint="default" w:ascii="Cambria Math" w:hAnsi="Cambria Math" w:cs="Cambria Math"/>
                      <w:kern w:val="2"/>
                      <w:sz w:val="24"/>
                      <w:szCs w:val="24"/>
                      <w:lang w:val="en-US" w:eastAsia="zh-CN" w:bidi="ar"/>
                    </w:rPr>
                    <m:t>1024</m:t>
                  </m:r>
                  <m:ctrlPr>
                    <m:rPr/>
                    <w:rPr>
                      <w:rFonts w:hint="default" w:ascii="Cambria Math" w:hAnsi="Cambria Math" w:eastAsia="仿宋_GB2312" w:cs="Cambria Math"/>
                      <w:bCs/>
                      <w:i/>
                      <w:kern w:val="2"/>
                      <w:sz w:val="24"/>
                      <w:szCs w:val="24"/>
                      <w:lang w:val="en-US" w:eastAsia="zh-CN" w:bidi="ar"/>
                    </w:rPr>
                  </m:ctrlPr>
                </m:sup>
              </m:sSup>
            </m:oMath>
            <w:r>
              <w:rPr>
                <w:rFonts w:hint="eastAsia" w:ascii="仿宋_GB2312" w:hAnsi="仿宋" w:eastAsia="仿宋_GB2312" w:cs="仿宋"/>
                <w:bCs/>
                <w:sz w:val="24"/>
                <w:lang w:bidi="ar"/>
              </w:rPr>
              <w:t>，它紧凑地编码了图像的全局语义信息。</w:t>
            </w:r>
          </w:p>
          <w:p w14:paraId="45874994">
            <w:pPr>
              <w:snapToGrid w:val="0"/>
              <w:spacing w:line="360" w:lineRule="auto"/>
              <w:ind w:firstLine="472" w:firstLineChars="196"/>
              <w:rPr>
                <w:rFonts w:hint="eastAsia" w:ascii="仿宋_GB2312" w:hAnsi="仿宋" w:eastAsia="仿宋_GB2312" w:cs="仿宋"/>
                <w:b/>
                <w:sz w:val="24"/>
                <w:highlight w:val="yellow"/>
                <w:lang w:bidi="ar"/>
              </w:rPr>
            </w:pPr>
            <w:r>
              <w:rPr>
                <w:rFonts w:hint="eastAsia" w:ascii="仿宋_GB2312" w:hAnsi="仿宋" w:eastAsia="仿宋_GB2312" w:cs="仿宋"/>
                <w:b/>
                <w:sz w:val="24"/>
                <w:lang w:bidi="ar"/>
              </w:rPr>
              <w:t>2.</w:t>
            </w:r>
            <w:r>
              <w:rPr>
                <w:rFonts w:hint="eastAsia" w:ascii="仿宋_GB2312" w:hAnsi="仿宋" w:eastAsia="仿宋_GB2312" w:cs="仿宋"/>
                <w:b/>
                <w:sz w:val="24"/>
                <w:highlight w:val="yellow"/>
                <w:lang w:bidi="ar"/>
              </w:rPr>
              <w:t>跨模态语义关联</w:t>
            </w:r>
          </w:p>
          <w:p w14:paraId="721E93F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获得高质量的视觉特征后，下一步是实现其与文本模态的深度融合。此过程分为模态对齐与跨模态注意力两个步骤：</w:t>
            </w:r>
          </w:p>
          <w:p w14:paraId="1A1E9B4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（1）模态对齐 由于视觉特征</w:t>
            </w:r>
            <m:oMath>
              <m:r>
                <m:rPr/>
                <w:rPr>
                  <w:rFonts w:hint="default" w:ascii="Cambria Math" w:hAnsi="Cambria Math" w:eastAsia="仿宋_GB2312" w:cs="仿宋"/>
                  <w:kern w:val="2"/>
                  <w:sz w:val="24"/>
                  <w:szCs w:val="24"/>
                  <w:lang w:val="en-US" w:eastAsia="zh-CN" w:bidi="ar"/>
                </w:rPr>
                <m:t>V</m:t>
              </m:r>
            </m:oMath>
            <w:r>
              <w:rPr>
                <w:rFonts w:hint="eastAsia" w:ascii="仿宋_GB2312" w:hAnsi="仿宋" w:eastAsia="仿宋_GB2312" w:cs="仿宋"/>
                <w:bCs/>
                <w:sz w:val="24"/>
                <w:lang w:bidi="ar"/>
              </w:rPr>
              <w:t>与文本特征维度（BERT输出为768维）不匹配，我们首先使用一个线性投影矩阵</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proj</m:t>
                  </m:r>
                  <m:ctrlPr>
                    <w:rPr>
                      <w:rFonts w:ascii="Cambria Math" w:hAnsi="Cambria Math" w:cs="仿宋"/>
                      <w:bCs/>
                      <w:i/>
                      <w:sz w:val="24"/>
                      <w:lang w:bidi="ar"/>
                    </w:rPr>
                  </m:ctrlPr>
                </m:sub>
              </m:sSub>
              <m:r>
                <w:rPr>
                  <w:rFonts w:hint="default" w:ascii="Cambria Math" w:hAnsi="Cambria Math" w:cs="Cambria Math"/>
                  <w:sz w:val="24"/>
                  <w:lang w:bidi="ar"/>
                </w:rPr>
                <m:t>∈</m:t>
              </m:r>
              <m:sSup>
                <m:sSupPr>
                  <m:ctrlPr>
                    <w:rPr>
                      <w:rFonts w:hint="default" w:ascii="Cambria Math" w:hAnsi="Cambria Math" w:cs="Cambria Math"/>
                      <w:bCs/>
                      <w:i/>
                      <w:sz w:val="24"/>
                      <w:lang w:bidi="ar"/>
                    </w:rPr>
                  </m:ctrlPr>
                </m:sSupPr>
                <m:e>
                  <m:r>
                    <m:rPr/>
                    <w:rPr>
                      <w:rFonts w:hint="default" w:ascii="Cambria Math" w:hAnsi="Cambria Math" w:cs="Cambria Math"/>
                      <w:sz w:val="24"/>
                      <w:lang w:val="en-US" w:eastAsia="zh-CN" w:bidi="ar"/>
                    </w:rPr>
                    <m:t>R</m:t>
                  </m:r>
                  <m:ctrlPr>
                    <w:rPr>
                      <w:rFonts w:hint="default" w:ascii="Cambria Math" w:hAnsi="Cambria Math" w:cs="Cambria Math"/>
                      <w:bCs/>
                      <w:i/>
                      <w:sz w:val="24"/>
                      <w:lang w:bidi="ar"/>
                    </w:rPr>
                  </m:ctrlPr>
                </m:e>
                <m:sup>
                  <m:r>
                    <m:rPr/>
                    <w:rPr>
                      <w:rFonts w:hint="default" w:ascii="Cambria Math" w:hAnsi="Cambria Math" w:cs="Cambria Math"/>
                      <w:sz w:val="24"/>
                      <w:lang w:val="en-US" w:eastAsia="zh-CN" w:bidi="ar"/>
                    </w:rPr>
                    <m:t>1024</m:t>
                  </m:r>
                  <m:r>
                    <m:rPr/>
                    <w:rPr>
                      <w:rFonts w:ascii="Cambria Math" w:hAnsi="Cambria Math" w:cs="Cambria Math"/>
                      <w:sz w:val="24"/>
                      <w:lang w:val="en-US" w:bidi="ar"/>
                    </w:rPr>
                    <m:t>×</m:t>
                  </m:r>
                  <m:r>
                    <m:rPr/>
                    <w:rPr>
                      <w:rFonts w:hint="default" w:ascii="Cambria Math" w:hAnsi="Cambria Math" w:cs="Cambria Math"/>
                      <w:sz w:val="24"/>
                      <w:lang w:val="en-US" w:eastAsia="zh-CN" w:bidi="ar"/>
                    </w:rPr>
                    <m:t>768</m:t>
                  </m:r>
                  <m:ctrlPr>
                    <w:rPr>
                      <w:rFonts w:hint="default" w:ascii="Cambria Math" w:hAnsi="Cambria Math" w:cs="Cambria Math"/>
                      <w:bCs/>
                      <w:i/>
                      <w:sz w:val="24"/>
                      <w:lang w:bidi="ar"/>
                    </w:rPr>
                  </m:ctrlPr>
                </m:sup>
              </m:sSup>
            </m:oMath>
            <w:r>
              <w:rPr>
                <w:rFonts w:hint="eastAsia" w:ascii="仿宋_GB2312" w:hAnsi="仿宋" w:eastAsia="仿宋_GB2312" w:cs="仿宋"/>
                <w:bCs/>
                <w:sz w:val="24"/>
                <w:lang w:bidi="ar"/>
              </w:rPr>
              <w:t>将其映射到文本语义空间：</w:t>
            </w:r>
            <w:r>
              <w:rPr>
                <w:rFonts w:hint="eastAsia" w:ascii="仿宋_GB2312" w:hAnsi="仿宋" w:eastAsia="仿宋_GB2312" w:cs="仿宋"/>
                <w:bCs/>
                <w:sz w:val="24"/>
                <w:lang w:bidi="ar"/>
              </w:rPr>
              <w:drawing>
                <wp:inline distT="0" distB="0" distL="0" distR="0">
                  <wp:extent cx="660400" cy="228600"/>
                  <wp:effectExtent l="0" t="0" r="0" b="0"/>
                  <wp:docPr id="61597131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1312" name="图片 2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0400" cy="228600"/>
                          </a:xfrm>
                          <a:prstGeom prst="rect">
                            <a:avLst/>
                          </a:prstGeom>
                          <a:noFill/>
                          <a:ln>
                            <a:noFill/>
                          </a:ln>
                        </pic:spPr>
                      </pic:pic>
                    </a:graphicData>
                  </a:graphic>
                </wp:inline>
              </w:drawing>
            </w:r>
            <w:r>
              <w:rPr>
                <w:rFonts w:hint="eastAsia" w:ascii="仿宋_GB2312" w:hAnsi="仿宋" w:eastAsia="仿宋_GB2312" w:cs="仿宋"/>
                <w:bCs/>
                <w:sz w:val="24"/>
                <w:lang w:bidi="ar"/>
              </w:rPr>
              <w:t>。该操作旨在统一表示空间，为后续的跨模态交互创造前提条件。</w:t>
            </w:r>
          </w:p>
          <w:p w14:paraId="2338EAD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文本特征准备 文本侧输入包含两部分：其一是候选标签的文本描述（如 "a photo of a dog"），经BERT编码后得到特征</w:t>
            </w:r>
            <m:oMath>
              <m:r>
                <m:rPr/>
                <w:rPr>
                  <w:rFonts w:hint="default" w:ascii="Cambria Math" w:hAnsi="Cambria Math" w:eastAsia="仿宋_GB2312" w:cs="仿宋"/>
                  <w:kern w:val="2"/>
                  <w:sz w:val="24"/>
                  <w:szCs w:val="24"/>
                  <w:lang w:val="en-US" w:eastAsia="zh-CN" w:bidi="ar"/>
                </w:rPr>
                <m:t>T</m:t>
              </m:r>
            </m:oMath>
            <w:r>
              <w:rPr>
                <w:rFonts w:hint="eastAsia" w:ascii="仿宋_GB2312" w:hAnsi="仿宋" w:eastAsia="仿宋_GB2312" w:cs="仿宋"/>
                <w:bCs/>
                <w:sz w:val="24"/>
                <w:lang w:bidi="ar"/>
              </w:rPr>
              <w:t xml:space="preserve">；其二是从图像中识别出的OCR文本，经同一BERT编码后得到特征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T</m:t>
                  </m:r>
                  <m:ctrlPr>
                    <w:rPr>
                      <w:rFonts w:ascii="Cambria Math" w:hAnsi="Cambria Math" w:cs="仿宋"/>
                      <w:bCs/>
                      <w:i/>
                      <w:sz w:val="24"/>
                      <w:lang w:bidi="ar"/>
                    </w:rPr>
                  </m:ctrlPr>
                </m:e>
                <m:sub>
                  <m:r>
                    <m:rPr/>
                    <w:rPr>
                      <w:rFonts w:hint="default" w:ascii="Cambria Math" w:hAnsi="Cambria Math" w:cs="仿宋"/>
                      <w:sz w:val="24"/>
                      <w:lang w:val="en-US" w:eastAsia="zh-CN" w:bidi="ar"/>
                    </w:rPr>
                    <m:t>ocr</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。将二者拼接，构成完整的文本上下文 </w:t>
            </w:r>
            <m:oMath>
              <m:sSup>
                <m:sSupPr>
                  <m:ctrlPr>
                    <w:rPr>
                      <w:rFonts w:ascii="Cambria Math" w:hAnsi="Cambria Math" w:cs="仿宋"/>
                      <w:bCs/>
                      <w:i/>
                      <w:sz w:val="24"/>
                      <w:lang w:bidi="ar"/>
                    </w:rPr>
                  </m:ctrlPr>
                </m:sSupPr>
                <m:e>
                  <m:r>
                    <m:rPr/>
                    <w:rPr>
                      <w:rFonts w:hint="default" w:ascii="Cambria Math" w:hAnsi="Cambria Math" w:cs="仿宋"/>
                      <w:sz w:val="24"/>
                      <w:lang w:val="en-US" w:eastAsia="zh-CN" w:bidi="ar"/>
                    </w:rPr>
                    <m:t>T</m:t>
                  </m:r>
                  <m:ctrlPr>
                    <w:rPr>
                      <w:rFonts w:ascii="Cambria Math" w:hAnsi="Cambria Math" w:cs="仿宋"/>
                      <w:bCs/>
                      <w:i/>
                      <w:sz w:val="24"/>
                      <w:lang w:bidi="ar"/>
                    </w:rPr>
                  </m:ctrlPr>
                </m:e>
                <m:sup>
                  <m:r>
                    <m:rPr/>
                    <w:rPr>
                      <w:rFonts w:hint="default" w:ascii="Cambria Math" w:hAnsi="Cambria Math" w:cs="仿宋"/>
                      <w:sz w:val="24"/>
                      <w:lang w:val="en-US" w:eastAsia="zh-CN" w:bidi="ar"/>
                    </w:rPr>
                    <m:t>∗</m:t>
                  </m:r>
                  <m:ctrlPr>
                    <w:rPr>
                      <w:rFonts w:ascii="Cambria Math" w:hAnsi="Cambria Math" w:cs="仿宋"/>
                      <w:bCs/>
                      <w:i/>
                      <w:sz w:val="24"/>
                      <w:lang w:bidi="ar"/>
                    </w:rPr>
                  </m:ctrlPr>
                </m:sup>
              </m:sSup>
              <m:r>
                <m:rPr/>
                <w:rPr>
                  <w:rFonts w:hint="default" w:ascii="Cambria Math" w:hAnsi="Cambria Math" w:cs="仿宋"/>
                  <w:sz w:val="24"/>
                  <w:lang w:val="en-US" w:eastAsia="zh-CN" w:bidi="ar"/>
                </w:rPr>
                <m:t>=Concat(T,Tocr)</m:t>
              </m:r>
            </m:oMath>
            <w:r>
              <w:rPr>
                <w:rFonts w:hint="eastAsia" w:ascii="仿宋_GB2312" w:hAnsi="仿宋" w:eastAsia="仿宋_GB2312" w:cs="仿宋"/>
                <w:bCs/>
                <w:sz w:val="24"/>
                <w:lang w:bidi="ar"/>
              </w:rPr>
              <w:t>。</w:t>
            </w:r>
          </w:p>
          <w:p w14:paraId="5996C67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（2）跨模态注意力融合 为实现视觉与语言的语义关联，我们采用以文本为Query的跨注意力机制。具体地，利用可学习的投影矩阵将文本上下文 </w:t>
            </w:r>
            <m:oMath>
              <m:sSup>
                <m:sSupPr>
                  <m:ctrlPr>
                    <w:rPr>
                      <w:rFonts w:ascii="Cambria Math" w:hAnsi="Cambria Math" w:cs="仿宋"/>
                      <w:bCs/>
                      <w:i/>
                      <w:sz w:val="24"/>
                      <w:lang w:bidi="ar"/>
                    </w:rPr>
                  </m:ctrlPr>
                </m:sSupPr>
                <m:e>
                  <m:r>
                    <m:rPr/>
                    <w:rPr>
                      <w:rFonts w:hint="default" w:ascii="Cambria Math" w:hAnsi="Cambria Math" w:cs="仿宋"/>
                      <w:sz w:val="24"/>
                      <w:lang w:val="en-US" w:eastAsia="zh-CN" w:bidi="ar"/>
                    </w:rPr>
                    <m:t>T</m:t>
                  </m:r>
                  <m:ctrlPr>
                    <w:rPr>
                      <w:rFonts w:ascii="Cambria Math" w:hAnsi="Cambria Math" w:cs="仿宋"/>
                      <w:bCs/>
                      <w:i/>
                      <w:sz w:val="24"/>
                      <w:lang w:bidi="ar"/>
                    </w:rPr>
                  </m:ctrlPr>
                </m:e>
                <m:sup>
                  <m:r>
                    <m:rPr/>
                    <w:rPr>
                      <w:rFonts w:hint="default" w:ascii="Cambria Math" w:hAnsi="Cambria Math" w:cs="仿宋"/>
                      <w:sz w:val="24"/>
                      <w:lang w:val="en-US" w:eastAsia="zh-CN" w:bidi="ar"/>
                    </w:rPr>
                    <m:t>∗</m:t>
                  </m:r>
                  <m:ctrlPr>
                    <w:rPr>
                      <w:rFonts w:ascii="Cambria Math" w:hAnsi="Cambria Math" w:cs="仿宋"/>
                      <w:bCs/>
                      <w:i/>
                      <w:sz w:val="24"/>
                      <w:lang w:bidi="ar"/>
                    </w:rPr>
                  </m:ctrlPr>
                </m:sup>
              </m:sSup>
            </m:oMath>
            <w:r>
              <w:rPr>
                <w:rFonts w:hint="eastAsia" w:ascii="仿宋_GB2312" w:hAnsi="仿宋" w:eastAsia="仿宋_GB2312" w:cs="仿宋"/>
                <w:bCs/>
                <w:sz w:val="24"/>
                <w:lang w:bidi="ar"/>
              </w:rPr>
              <w:t xml:space="preserve"> 映射为Query </w:t>
            </w:r>
            <m:oMath>
              <m:r>
                <m:rPr/>
                <w:rPr>
                  <w:rFonts w:hint="default" w:ascii="Cambria Math" w:hAnsi="Cambria Math" w:eastAsia="仿宋_GB2312" w:cs="仿宋"/>
                  <w:kern w:val="2"/>
                  <w:sz w:val="24"/>
                  <w:szCs w:val="24"/>
                  <w:lang w:val="en-US" w:eastAsia="zh-CN" w:bidi="ar"/>
                </w:rPr>
                <m:t>Q</m:t>
              </m:r>
            </m:oMath>
            <w:r>
              <w:rPr>
                <w:rFonts w:hint="eastAsia" w:ascii="仿宋_GB2312" w:hAnsi="仿宋" w:eastAsia="仿宋_GB2312" w:cs="仿宋"/>
                <w:bCs/>
                <w:sz w:val="24"/>
                <w:lang w:bidi="ar"/>
              </w:rPr>
              <w:t xml:space="preserve">，将投影后的视觉特征 </w:t>
            </w:r>
            <w:r>
              <w:rPr>
                <w:rFonts w:hint="eastAsia" w:ascii="仿宋_GB2312" w:hAnsi="仿宋" w:eastAsia="仿宋_GB2312" w:cs="仿宋"/>
                <w:bCs/>
                <w:sz w:val="24"/>
                <w:lang w:bidi="ar"/>
              </w:rPr>
              <w:drawing>
                <wp:inline distT="0" distB="0" distL="0" distR="0">
                  <wp:extent cx="76200" cy="228600"/>
                  <wp:effectExtent l="0" t="0" r="0" b="0"/>
                  <wp:docPr id="160666506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5066" name="图片 2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 映射为Key </w:t>
            </w:r>
            <m:oMath>
              <m:r>
                <m:rPr/>
                <w:rPr>
                  <w:rFonts w:hint="default" w:ascii="Cambria Math" w:hAnsi="Cambria Math" w:eastAsia="仿宋_GB2312" w:cs="仿宋"/>
                  <w:kern w:val="2"/>
                  <w:sz w:val="24"/>
                  <w:szCs w:val="24"/>
                  <w:lang w:val="en-US" w:eastAsia="zh-CN" w:bidi="ar"/>
                </w:rPr>
                <m:t>K</m:t>
              </m:r>
            </m:oMath>
            <w:r>
              <w:rPr>
                <w:rFonts w:hint="eastAsia" w:ascii="仿宋_GB2312" w:hAnsi="仿宋" w:eastAsia="仿宋_GB2312" w:cs="仿宋"/>
                <w:bCs/>
                <w:sz w:val="24"/>
                <w:lang w:bidi="ar"/>
              </w:rPr>
              <w:t xml:space="preserve"> 和Value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V</m:t>
                  </m:r>
                  <m:ctrlPr>
                    <w:rPr>
                      <w:rFonts w:ascii="Cambria Math" w:hAnsi="Cambria Math" w:cs="仿宋"/>
                      <w:bCs/>
                      <w:i/>
                      <w:sz w:val="24"/>
                      <w:lang w:bidi="ar"/>
                    </w:rPr>
                  </m:ctrlPr>
                </m:e>
                <m:sub>
                  <m:r>
                    <m:rPr/>
                    <w:rPr>
                      <w:rFonts w:hint="default" w:ascii="Cambria Math" w:hAnsi="Cambria Math" w:cs="仿宋"/>
                      <w:sz w:val="24"/>
                      <w:lang w:val="en-US" w:eastAsia="zh-CN"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。通过计算</w:t>
            </w:r>
            <m:oMath>
              <m:r>
                <m:rPr/>
                <w:rPr>
                  <w:rFonts w:hint="default" w:ascii="Cambria Math" w:hAnsi="Cambria Math" w:eastAsia="仿宋_GB2312" w:cs="仿宋"/>
                  <w:kern w:val="2"/>
                  <w:sz w:val="24"/>
                  <w:szCs w:val="24"/>
                  <w:lang w:val="en-US" w:eastAsia="zh-CN" w:bidi="ar"/>
                </w:rPr>
                <m:t>Q</m:t>
              </m:r>
            </m:oMath>
            <w:r>
              <w:rPr>
                <w:rFonts w:hint="eastAsia" w:ascii="仿宋_GB2312" w:hAnsi="仿宋" w:eastAsia="仿宋_GB2312" w:cs="仿宋"/>
                <w:bCs/>
                <w:sz w:val="24"/>
                <w:lang w:bidi="ar"/>
              </w:rPr>
              <w:t xml:space="preserve">与 </w:t>
            </w:r>
            <m:oMath>
              <m:r>
                <m:rPr/>
                <w:rPr>
                  <w:rFonts w:hint="default" w:ascii="Cambria Math" w:hAnsi="Cambria Math" w:eastAsia="仿宋_GB2312" w:cs="仿宋"/>
                  <w:kern w:val="2"/>
                  <w:sz w:val="24"/>
                  <w:szCs w:val="24"/>
                  <w:lang w:val="en-US" w:eastAsia="zh-CN" w:bidi="ar"/>
                </w:rPr>
                <m:t>K</m:t>
              </m:r>
            </m:oMath>
            <w:r>
              <w:rPr>
                <w:rFonts w:hint="eastAsia" w:ascii="仿宋_GB2312" w:hAnsi="仿宋" w:eastAsia="仿宋_GB2312" w:cs="仿宋"/>
                <w:bCs/>
                <w:sz w:val="24"/>
                <w:lang w:bidi="ar"/>
              </w:rPr>
              <w:t xml:space="preserve"> 的相似度并经Softmax归一化，得到注意力权重矩阵，该矩阵揭示了每个文本概念对各个图像区域的关注程度。最终，通过权重矩阵与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V</m:t>
                  </m:r>
                  <m:ctrlPr>
                    <w:rPr>
                      <w:rFonts w:ascii="Cambria Math" w:hAnsi="Cambria Math" w:cs="仿宋"/>
                      <w:bCs/>
                      <w:i/>
                      <w:sz w:val="24"/>
                      <w:lang w:bidi="ar"/>
                    </w:rPr>
                  </m:ctrlPr>
                </m:e>
                <m:sub>
                  <m:r>
                    <m:rPr/>
                    <w:rPr>
                      <w:rFonts w:hint="default" w:ascii="Cambria Math" w:hAnsi="Cambria Math" w:cs="仿宋"/>
                      <w:sz w:val="24"/>
                      <w:lang w:val="en-US" w:eastAsia="zh-CN"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的加权求和，得到融合后的特征</w:t>
            </w:r>
            <m:oMath>
              <m:r>
                <m:rPr/>
                <w:rPr>
                  <w:rFonts w:hint="default" w:ascii="Cambria Math" w:hAnsi="Cambria Math" w:eastAsia="仿宋_GB2312" w:cs="仿宋"/>
                  <w:kern w:val="2"/>
                  <w:sz w:val="24"/>
                  <w:szCs w:val="24"/>
                  <w:lang w:val="en-US" w:eastAsia="zh-CN" w:bidi="ar"/>
                </w:rPr>
                <m:t>F</m:t>
              </m:r>
            </m:oMath>
            <w:r>
              <w:rPr>
                <w:rFonts w:hint="eastAsia" w:ascii="仿宋_GB2312" w:hAnsi="仿宋" w:eastAsia="仿宋_GB2312" w:cs="仿宋"/>
                <w:bCs/>
                <w:sz w:val="24"/>
                <w:lang w:bidi="ar"/>
              </w:rPr>
              <w:t>：</w:t>
            </w:r>
          </w:p>
          <w:p w14:paraId="0849E868">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1308100" cy="590550"/>
                  <wp:effectExtent l="0" t="0" r="0" b="6350"/>
                  <wp:docPr id="2020920164"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0164" name="图片 2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08100" cy="590550"/>
                          </a:xfrm>
                          <a:prstGeom prst="rect">
                            <a:avLst/>
                          </a:prstGeom>
                          <a:noFill/>
                          <a:ln>
                            <a:noFill/>
                          </a:ln>
                        </pic:spPr>
                      </pic:pic>
                    </a:graphicData>
                  </a:graphic>
                </wp:inline>
              </w:drawing>
            </w:r>
          </w:p>
          <w:p w14:paraId="1665915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此过程使得模型能够动态地建立文本概念与图像区域之间的关联，例如，将标签"dog"聚焦于图像中狗的视觉模式。为与特定架构保持一致，融合特征 </w:t>
            </w:r>
            <m:oMath>
              <m:r>
                <m:rPr/>
                <w:rPr>
                  <w:rFonts w:hint="default" w:ascii="Cambria Math" w:hAnsi="Cambria Math" w:eastAsia="仿宋_GB2312" w:cs="仿宋"/>
                  <w:kern w:val="2"/>
                  <w:sz w:val="24"/>
                  <w:szCs w:val="24"/>
                  <w:lang w:val="en-US" w:eastAsia="zh-CN" w:bidi="ar"/>
                </w:rPr>
                <m:t>F</m:t>
              </m:r>
            </m:oMath>
            <w:r>
              <w:rPr>
                <w:rFonts w:hint="eastAsia" w:ascii="仿宋_GB2312" w:hAnsi="仿宋" w:eastAsia="仿宋_GB2312" w:cs="仿宋"/>
                <w:bCs/>
                <w:sz w:val="24"/>
                <w:lang w:bidi="ar"/>
              </w:rPr>
              <w:t xml:space="preserve"> 可选项地通过一个回投影矩阵</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back</m:t>
                  </m:r>
                  <m:ctrlPr>
                    <w:rPr>
                      <w:rFonts w:ascii="Cambria Math" w:hAnsi="Cambria Math" w:cs="仿宋"/>
                      <w:bCs/>
                      <w:i/>
                      <w:sz w:val="24"/>
                      <w:lang w:bidi="ar"/>
                    </w:rPr>
                  </m:ctrlPr>
                </m:sub>
              </m:sSub>
            </m:oMath>
            <w:r>
              <w:rPr>
                <w:rFonts w:hint="eastAsia" w:ascii="仿宋_GB2312" w:hAnsi="仿宋" w:eastAsia="仿宋_GB2312" w:cs="仿宋"/>
                <w:bCs/>
                <w:sz w:val="24"/>
                <w:lang w:bidi="ar"/>
              </w:rPr>
              <w:t>映射回1024维，得到</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F</m:t>
                  </m:r>
                  <m:ctrlPr>
                    <w:rPr>
                      <w:rFonts w:ascii="Cambria Math" w:hAnsi="Cambria Math" w:cs="仿宋"/>
                      <w:bCs/>
                      <w:i/>
                      <w:sz w:val="24"/>
                      <w:lang w:bidi="ar"/>
                    </w:rPr>
                  </m:ctrlPr>
                </m:e>
                <m:sub>
                  <m:r>
                    <m:rPr/>
                    <w:rPr>
                      <w:rFonts w:hint="default" w:ascii="Cambria Math" w:hAnsi="Cambria Math" w:cs="仿宋"/>
                      <w:sz w:val="24"/>
                      <w:lang w:val="en-US" w:eastAsia="zh-CN"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w:t>
            </w:r>
          </w:p>
          <w:p w14:paraId="51854285">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3.标签识别与语义组合</w:t>
            </w:r>
          </w:p>
          <w:p w14:paraId="0055BD9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多标签识别与自适应阈值 融合特征 </w:t>
            </w:r>
            <w:r>
              <w:rPr>
                <w:rFonts w:hint="eastAsia" w:ascii="仿宋_GB2312" w:hAnsi="仿宋" w:eastAsia="仿宋_GB2312" w:cs="仿宋"/>
                <w:bCs/>
                <w:sz w:val="24"/>
                <w:lang w:bidi="ar"/>
              </w:rPr>
              <w:drawing>
                <wp:inline distT="0" distB="0" distL="0" distR="0">
                  <wp:extent cx="76200" cy="228600"/>
                  <wp:effectExtent l="0" t="0" r="0" b="0"/>
                  <wp:docPr id="1115893724"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93724" name="图片 2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6200" cy="228600"/>
                          </a:xfrm>
                          <a:prstGeom prst="rect">
                            <a:avLst/>
                          </a:prstGeom>
                          <a:noFill/>
                          <a:ln>
                            <a:noFill/>
                          </a:ln>
                        </pic:spPr>
                      </pic:pic>
                    </a:graphicData>
                  </a:graphic>
                </wp:inline>
              </w:drawing>
            </w:r>
            <w:r>
              <w:rPr>
                <w:rFonts w:hint="eastAsia" w:ascii="仿宋_GB2312" w:hAnsi="仿宋" w:eastAsia="仿宋_GB2312" w:cs="仿宋"/>
                <w:bCs/>
                <w:sz w:val="24"/>
                <w:lang w:bidi="ar"/>
              </w:rPr>
              <w:t>（</w:t>
            </w:r>
            <m:oMath>
              <m:r>
                <m:rPr/>
                <w:rPr>
                  <w:rFonts w:hint="default" w:ascii="Cambria Math" w:hAnsi="Cambria Math" w:eastAsia="仿宋_GB2312" w:cs="仿宋"/>
                  <w:kern w:val="2"/>
                  <w:sz w:val="24"/>
                  <w:szCs w:val="24"/>
                  <w:lang w:val="en-US" w:eastAsia="zh-CN" w:bidi="ar"/>
                </w:rPr>
                <m:t>F</m:t>
              </m:r>
            </m:oMath>
            <w:r>
              <w:rPr>
                <w:rFonts w:hint="eastAsia" w:ascii="仿宋_GB2312" w:hAnsi="仿宋" w:eastAsia="仿宋_GB2312" w:cs="仿宋"/>
                <w:bCs/>
                <w:sz w:val="24"/>
                <w:lang w:bidi="ar"/>
              </w:rPr>
              <w:t xml:space="preserve"> 或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F</m:t>
                  </m:r>
                  <m:ctrlPr>
                    <w:rPr>
                      <w:rFonts w:ascii="Cambria Math" w:hAnsi="Cambria Math" w:cs="仿宋"/>
                      <w:bCs/>
                      <w:i/>
                      <w:sz w:val="24"/>
                      <w:lang w:bidi="ar"/>
                    </w:rPr>
                  </m:ctrlPr>
                </m:e>
                <m:sub>
                  <m:r>
                    <m:rPr/>
                    <w:rPr>
                      <w:rFonts w:hint="default" w:ascii="Cambria Math" w:hAnsi="Cambria Math" w:cs="仿宋"/>
                      <w:sz w:val="24"/>
                      <w:lang w:val="en-US" w:eastAsia="zh-CN"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）被用于最终的标签预测。对于每个标签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y</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，由一个特定的分类器（权重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，偏置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b</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）计算其对数几率 </w:t>
            </w:r>
            <w:r>
              <w:rPr>
                <w:rFonts w:hint="eastAsia" w:ascii="仿宋_GB2312" w:hAnsi="仿宋" w:eastAsia="仿宋_GB2312" w:cs="仿宋"/>
                <w:bCs/>
                <w:sz w:val="24"/>
                <w:lang w:bidi="ar"/>
              </w:rPr>
              <w:drawing>
                <wp:inline distT="0" distB="0" distL="0" distR="0">
                  <wp:extent cx="869950" cy="228600"/>
                  <wp:effectExtent l="0" t="0" r="6350" b="0"/>
                  <wp:docPr id="1651469805"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9805" name="图片 2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86995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，并通过Sigmoid函数得到概率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p</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。为应对开放域中标签分布不平衡的挑战，RAM++摒弃了全局固定阈值，转而引入自适应阈值机制。模型为每个标签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y</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学习一个独立的阈值</w:t>
            </w:r>
            <m:oMath>
              <m:sSub>
                <m:sSubPr>
                  <m:ctrlPr>
                    <w:rPr>
                      <w:rFonts w:ascii="Cambria Math" w:hAnsi="Cambria Math" w:cs="仿宋"/>
                      <w:bCs/>
                      <w:i/>
                      <w:sz w:val="24"/>
                      <w:lang w:bidi="ar"/>
                    </w:rPr>
                  </m:ctrlPr>
                </m:sSubPr>
                <m:e>
                  <m:r>
                    <m:rPr/>
                    <w:rPr>
                      <w:rFonts w:ascii="Cambria Math" w:hAnsi="Cambria Math" w:cs="仿宋"/>
                      <w:sz w:val="24"/>
                      <w:lang w:bidi="ar"/>
                    </w:rPr>
                    <m:t>τ</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，最终的二元预测由 </w:t>
            </w:r>
            <w:r>
              <w:rPr>
                <w:rFonts w:hint="eastAsia" w:ascii="仿宋_GB2312" w:hAnsi="仿宋" w:eastAsia="仿宋_GB2312" w:cs="仿宋"/>
                <w:bCs/>
                <w:sz w:val="24"/>
                <w:lang w:bidi="ar"/>
              </w:rPr>
              <w:drawing>
                <wp:inline distT="0" distB="0" distL="0" distR="0">
                  <wp:extent cx="927100" cy="228600"/>
                  <wp:effectExtent l="0" t="0" r="0" b="0"/>
                  <wp:docPr id="214407140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1405" name="图片 2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2710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 决定。该机制显著增强了对长尾类别识别的鲁棒性。</w:t>
            </w:r>
          </w:p>
          <w:p w14:paraId="7456F21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语义短语生成与排序 模型的最终输出并非孤立的标签集合，而是连贯的语义短语。该过程始于集合构建，汇集所有被激活的标签 </w:t>
            </w:r>
            <w:r>
              <w:rPr>
                <w:rFonts w:hint="eastAsia" w:ascii="仿宋_GB2312" w:hAnsi="仿宋" w:eastAsia="仿宋_GB2312" w:cs="仿宋"/>
                <w:bCs/>
                <w:sz w:val="24"/>
                <w:lang w:bidi="ar"/>
              </w:rPr>
              <w:drawing>
                <wp:inline distT="0" distB="0" distL="0" distR="0">
                  <wp:extent cx="95250" cy="228600"/>
                  <wp:effectExtent l="0" t="0" r="6350" b="0"/>
                  <wp:docPr id="1402534130"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4130" name="图片 2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525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 与OCR关键词 </w:t>
            </w:r>
            <w:r>
              <w:rPr>
                <w:rFonts w:hint="eastAsia" w:ascii="仿宋_GB2312" w:hAnsi="仿宋" w:eastAsia="仿宋_GB2312" w:cs="仿宋"/>
                <w:bCs/>
                <w:sz w:val="24"/>
                <w:lang w:bidi="ar"/>
              </w:rPr>
              <w:drawing>
                <wp:inline distT="0" distB="0" distL="0" distR="0">
                  <wp:extent cx="222250" cy="228600"/>
                  <wp:effectExtent l="0" t="0" r="6350" b="0"/>
                  <wp:docPr id="529985778"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5778" name="图片 2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225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。随后，基于规则或轻量级语言模型，从此集合中生成一系列候选短语 </w:t>
            </w:r>
            <w:r>
              <w:rPr>
                <w:rFonts w:hint="eastAsia" w:ascii="仿宋_GB2312" w:hAnsi="仿宋" w:eastAsia="仿宋_GB2312" w:cs="仿宋"/>
                <w:bCs/>
                <w:sz w:val="24"/>
                <w:lang w:bidi="ar"/>
              </w:rPr>
              <w:drawing>
                <wp:inline distT="0" distB="0" distL="0" distR="0">
                  <wp:extent cx="57150" cy="323850"/>
                  <wp:effectExtent l="0" t="0" r="6350" b="6350"/>
                  <wp:docPr id="1714524363"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363" name="图片 2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50" cy="323850"/>
                          </a:xfrm>
                          <a:prstGeom prst="rect">
                            <a:avLst/>
                          </a:prstGeom>
                          <a:noFill/>
                          <a:ln>
                            <a:noFill/>
                          </a:ln>
                        </pic:spPr>
                      </pic:pic>
                    </a:graphicData>
                  </a:graphic>
                </wp:inline>
              </w:drawing>
            </w:r>
            <w:r>
              <w:rPr>
                <w:rFonts w:hint="eastAsia" w:ascii="仿宋_GB2312" w:hAnsi="仿宋" w:eastAsia="仿宋_GB2312" w:cs="仿宋"/>
                <w:bCs/>
                <w:sz w:val="24"/>
                <w:lang w:bidi="ar"/>
              </w:rPr>
              <w:t>。为评估候选短语的质量，我们设计了一个综合打分函数：</w:t>
            </w:r>
          </w:p>
          <w:p w14:paraId="46924AF3">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2660650" cy="228600"/>
                  <wp:effectExtent l="0" t="0" r="6350" b="0"/>
                  <wp:docPr id="997124843"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4843" name="图片 2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60650" cy="228600"/>
                          </a:xfrm>
                          <a:prstGeom prst="rect">
                            <a:avLst/>
                          </a:prstGeom>
                          <a:noFill/>
                          <a:ln>
                            <a:noFill/>
                          </a:ln>
                        </pic:spPr>
                      </pic:pic>
                    </a:graphicData>
                  </a:graphic>
                </wp:inline>
              </w:drawing>
            </w:r>
            <w:r>
              <w:rPr>
                <w:rFonts w:hint="eastAsia" w:ascii="仿宋_GB2312" w:hAnsi="仿宋" w:eastAsia="仿宋_GB2312" w:cs="仿宋"/>
                <w:bCs/>
                <w:sz w:val="24"/>
                <w:lang w:bidi="ar"/>
              </w:rPr>
              <w:br w:type="textWrapping"/>
            </w:r>
          </w:p>
          <w:p w14:paraId="7552386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w:r>
              <w:rPr>
                <w:rFonts w:hint="eastAsia" w:ascii="仿宋_GB2312" w:hAnsi="仿宋" w:eastAsia="仿宋_GB2312" w:cs="仿宋"/>
                <w:bCs/>
                <w:sz w:val="24"/>
                <w:lang w:bidi="ar"/>
              </w:rPr>
              <w:drawing>
                <wp:inline distT="0" distB="0" distL="0" distR="0">
                  <wp:extent cx="247650" cy="228600"/>
                  <wp:effectExtent l="0" t="0" r="6350" b="0"/>
                  <wp:docPr id="8200105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0560" name="图片 2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765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 是短语内标签的平均预测概率，衡量视觉置信度；</w:t>
            </w:r>
            <w:r>
              <w:rPr>
                <w:rFonts w:hint="eastAsia" w:ascii="仿宋_GB2312" w:hAnsi="仿宋" w:eastAsia="仿宋_GB2312" w:cs="仿宋"/>
                <w:bCs/>
                <w:sz w:val="24"/>
                <w:lang w:bidi="ar"/>
              </w:rPr>
              <w:drawing>
                <wp:inline distT="0" distB="0" distL="0" distR="0">
                  <wp:extent cx="381000" cy="228600"/>
                  <wp:effectExtent l="0" t="0" r="0" b="0"/>
                  <wp:docPr id="688915198"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15198" name="图片 2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100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 是短语内所有词对语义向量的平均余弦相似度，衡量语义连贯性；</w:t>
            </w:r>
            <w:r>
              <w:rPr>
                <w:rFonts w:hint="eastAsia" w:ascii="仿宋_GB2312" w:hAnsi="仿宋" w:eastAsia="仿宋_GB2312" w:cs="仿宋"/>
                <w:bCs/>
                <w:sz w:val="24"/>
                <w:lang w:bidi="ar"/>
              </w:rPr>
              <w:drawing>
                <wp:inline distT="0" distB="0" distL="0" distR="0">
                  <wp:extent cx="704850" cy="228600"/>
                  <wp:effectExtent l="0" t="0" r="6350" b="0"/>
                  <wp:docPr id="788719494"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9494" name="图片 2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4850" cy="228600"/>
                          </a:xfrm>
                          <a:prstGeom prst="rect">
                            <a:avLst/>
                          </a:prstGeom>
                          <a:noFill/>
                          <a:ln>
                            <a:noFill/>
                          </a:ln>
                        </pic:spPr>
                      </pic:pic>
                    </a:graphicData>
                  </a:graphic>
                </wp:inline>
              </w:drawing>
            </w:r>
            <w:r>
              <w:rPr>
                <w:rFonts w:hint="eastAsia" w:ascii="仿宋_GB2312" w:hAnsi="仿宋" w:eastAsia="仿宋_GB2312" w:cs="仿宋"/>
                <w:bCs/>
                <w:sz w:val="24"/>
                <w:lang w:bidi="ar"/>
              </w:rPr>
              <w:t xml:space="preserve"> 是基于统计的共现概率，衡量短语的自然度。通过线性加权这些指标，并对所有候选短语进行排序，最终选取Top-N作为输出，实现了从低级识别到高级语义描述的飞跃。</w:t>
            </w:r>
          </w:p>
          <w:p w14:paraId="6103178D">
            <w:pPr>
              <w:snapToGrid w:val="0"/>
              <w:spacing w:line="360" w:lineRule="auto"/>
              <w:rPr>
                <w:rFonts w:hint="eastAsia"/>
              </w:rPr>
            </w:pPr>
          </w:p>
          <w:p w14:paraId="2363F830">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highlight w:val="yellow"/>
              </w:rPr>
              <w:t>3.1.5音频特征提取</w:t>
            </w:r>
          </w:p>
          <w:p w14:paraId="6E11CF8E">
            <w:pPr>
              <w:snapToGrid w:val="0"/>
              <w:spacing w:line="360" w:lineRule="auto"/>
              <w:ind w:firstLine="411" w:firstLineChars="196"/>
              <w:rPr>
                <w:rFonts w:hint="eastAsia" w:ascii="仿宋_GB2312" w:hAnsi="宋体" w:eastAsia="仿宋_GB2312"/>
              </w:rPr>
            </w:pPr>
            <w:r>
              <w:rPr>
                <w:rFonts w:hint="eastAsia"/>
              </w:rPr>
              <w:object>
                <v:shape id="_x0000_i1033" o:spt="75" type="#_x0000_t75" style="height:230pt;width:372pt;" o:ole="t" filled="f" o:preferrelative="t" stroked="f" coordsize="21600,21600">
                  <v:path/>
                  <v:fill on="f" focussize="0,0"/>
                  <v:stroke on="f" joinstyle="miter"/>
                  <v:imagedata r:id="rId44" o:title=""/>
                  <o:lock v:ext="edit" aspectratio="t"/>
                  <w10:wrap type="none"/>
                  <w10:anchorlock/>
                </v:shape>
                <o:OLEObject Type="Embed" ProgID="Visio.Drawing.15" ShapeID="_x0000_i1033" DrawAspect="Content" ObjectID="_1468075733" r:id="rId43">
                  <o:LockedField>false</o:LockedField>
                </o:OLEObject>
              </w:object>
            </w:r>
          </w:p>
          <w:p w14:paraId="0DEC40AC">
            <w:pPr>
              <w:snapToGrid w:val="0"/>
              <w:spacing w:line="360" w:lineRule="auto"/>
              <w:ind w:firstLine="411" w:firstLineChars="196"/>
              <w:rPr>
                <w:rFonts w:hint="eastAsia" w:ascii="仿宋_GB2312" w:hAnsi="宋体" w:eastAsia="仿宋_GB2312"/>
              </w:rPr>
            </w:pPr>
          </w:p>
          <w:p w14:paraId="4644D688">
            <w:pPr>
              <w:snapToGrid w:val="0"/>
              <w:spacing w:line="360" w:lineRule="auto"/>
              <w:ind w:firstLine="411" w:firstLineChars="196"/>
              <w:rPr>
                <w:rFonts w:hint="eastAsia" w:ascii="仿宋_GB2312" w:hAnsi="宋体" w:eastAsia="仿宋_GB2312"/>
              </w:rPr>
            </w:pPr>
          </w:p>
          <w:p w14:paraId="2B7B83AF">
            <w:pPr>
              <w:snapToGrid w:val="0"/>
              <w:spacing w:line="360" w:lineRule="auto"/>
              <w:ind w:firstLine="411" w:firstLineChars="196"/>
              <w:rPr>
                <w:rFonts w:hint="eastAsia" w:ascii="仿宋_GB2312" w:hAnsi="宋体" w:eastAsia="仿宋_GB2312"/>
              </w:rPr>
            </w:pPr>
            <w:r>
              <w:rPr>
                <w:rFonts w:ascii="仿宋_GB2312" w:hAnsi="宋体" w:eastAsia="仿宋_GB2312"/>
              </w:rPr>
              <w:t>多模态语音仇恨检测模型的方法设计与实现</w:t>
            </w:r>
          </w:p>
          <w:p w14:paraId="3C77A95D">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rPr>
              <w:t>1.概述</w:t>
            </w:r>
          </w:p>
          <w:p w14:paraId="55A937F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该模型以音频输入为核心，经由两条并行的特征通路处理：一条基于自动语音识别（ASR）与BERT模型的语义理解路径，另一条基于Mel-Frequency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委婉有害信息”。</w:t>
            </w:r>
          </w:p>
          <w:p w14:paraId="57D5D1A1">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rPr>
              <w:t>2.</w:t>
            </w:r>
            <w:r>
              <w:rPr>
                <w:rFonts w:ascii="仿宋_GB2312" w:hAnsi="宋体" w:eastAsia="仿宋_GB2312"/>
                <w:b/>
                <w:bCs/>
              </w:rPr>
              <w:t>ASR与BERT语义分析路径</w:t>
            </w:r>
          </w:p>
          <w:p w14:paraId="40D7FCD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该路径旨在从语音内容的语义层面识别隐含有害信息。首先，音频信号经ASR模块转化为文本序列。ASR采用声学建模与语言建模联合优化机制，以最大化输入语音特征与输出文本之间的条件概率：</w:t>
            </w:r>
          </w:p>
          <w:p w14:paraId="390B4E1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2241550" cy="387350"/>
                  <wp:effectExtent l="0" t="0" r="6350" b="6350"/>
                  <wp:docPr id="1668488539"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8539" name="图片 2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41550" cy="387350"/>
                          </a:xfrm>
                          <a:prstGeom prst="rect">
                            <a:avLst/>
                          </a:prstGeom>
                          <a:noFill/>
                          <a:ln>
                            <a:noFill/>
                          </a:ln>
                        </pic:spPr>
                      </pic:pic>
                    </a:graphicData>
                  </a:graphic>
                </wp:inline>
              </w:drawing>
            </w:r>
          </w:p>
          <w:p w14:paraId="01BEE87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w:r>
              <w:rPr>
                <w:rFonts w:hint="eastAsia" w:ascii="仿宋_GB2312" w:hAnsi="仿宋" w:eastAsia="仿宋_GB2312" w:cs="仿宋"/>
                <w:bCs/>
                <w:sz w:val="24"/>
                <w:lang w:bidi="ar"/>
              </w:rPr>
              <w:drawing>
                <wp:inline distT="0" distB="0" distL="0" distR="0">
                  <wp:extent cx="95250" cy="190500"/>
                  <wp:effectExtent l="0" t="0" r="6350" b="0"/>
                  <wp:docPr id="2078639013"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9013" name="图片 2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hAnsi="仿宋" w:eastAsia="仿宋_GB2312" w:cs="仿宋"/>
                <w:bCs/>
                <w:sz w:val="24"/>
                <w:lang w:bidi="ar"/>
              </w:rPr>
              <w:t xml:space="preserve"> 表示语音特征序列，</w:t>
            </w:r>
            <w:r>
              <w:rPr>
                <w:rFonts w:hint="eastAsia" w:ascii="仿宋_GB2312" w:hAnsi="仿宋" w:eastAsia="仿宋_GB2312" w:cs="仿宋"/>
                <w:bCs/>
                <w:sz w:val="24"/>
                <w:lang w:bidi="ar"/>
              </w:rPr>
              <w:drawing>
                <wp:inline distT="0" distB="0" distL="0" distR="0">
                  <wp:extent cx="133350" cy="190500"/>
                  <wp:effectExtent l="0" t="0" r="6350" b="0"/>
                  <wp:docPr id="1560252676"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2676" name="图片 2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 xml:space="preserve"> 表示输出词序列。该式体现了语音识别的生成概率框架，前项 </w:t>
            </w:r>
            <w:r>
              <w:rPr>
                <w:rFonts w:hint="eastAsia" w:ascii="仿宋_GB2312" w:hAnsi="仿宋" w:eastAsia="仿宋_GB2312" w:cs="仿宋"/>
                <w:bCs/>
                <w:sz w:val="24"/>
                <w:lang w:bidi="ar"/>
              </w:rPr>
              <w:drawing>
                <wp:inline distT="0" distB="0" distL="0" distR="0">
                  <wp:extent cx="501650" cy="190500"/>
                  <wp:effectExtent l="0" t="0" r="6350" b="0"/>
                  <wp:docPr id="177305200"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200" name="图片 20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1650" cy="190500"/>
                          </a:xfrm>
                          <a:prstGeom prst="rect">
                            <a:avLst/>
                          </a:prstGeom>
                          <a:noFill/>
                          <a:ln>
                            <a:noFill/>
                          </a:ln>
                        </pic:spPr>
                      </pic:pic>
                    </a:graphicData>
                  </a:graphic>
                </wp:inline>
              </w:drawing>
            </w:r>
            <w:r>
              <w:rPr>
                <w:rFonts w:ascii="仿宋_GB2312" w:hAnsi="仿宋" w:eastAsia="仿宋_GB2312" w:cs="仿宋"/>
                <w:bCs/>
                <w:sz w:val="24"/>
                <w:lang w:bidi="ar"/>
              </w:rPr>
              <w:t xml:space="preserve">由声学模型估计，后项 </w:t>
            </w:r>
            <w:r>
              <w:rPr>
                <w:rFonts w:hint="eastAsia" w:ascii="仿宋_GB2312" w:hAnsi="仿宋" w:eastAsia="仿宋_GB2312" w:cs="仿宋"/>
                <w:bCs/>
                <w:sz w:val="24"/>
                <w:lang w:bidi="ar"/>
              </w:rPr>
              <w:drawing>
                <wp:inline distT="0" distB="0" distL="0" distR="0">
                  <wp:extent cx="361950" cy="190500"/>
                  <wp:effectExtent l="0" t="0" r="6350" b="0"/>
                  <wp:docPr id="100261482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4829" name="图片 2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hAnsi="仿宋" w:eastAsia="仿宋_GB2312" w:cs="仿宋"/>
                <w:bCs/>
                <w:sz w:val="24"/>
                <w:lang w:bidi="ar"/>
              </w:rPr>
              <w:t>由语言模型提供先验约束。</w:t>
            </w:r>
          </w:p>
          <w:p w14:paraId="13E84A70">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Embedding），随后进入BERT的多层Transformer编码结构。每一层通过自注意力机制（Self-Attention）计算词与词之间的全局依赖关系，其核心计算为：</w:t>
            </w:r>
          </w:p>
          <w:p w14:paraId="517C692E">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2362200" cy="590550"/>
                  <wp:effectExtent l="0" t="0" r="0" b="6350"/>
                  <wp:docPr id="742951048"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1048" name="图片 2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362200" cy="5905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2CDBE6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其中 </w:t>
            </w:r>
            <w:r>
              <w:rPr>
                <w:rFonts w:hint="eastAsia" w:ascii="仿宋_GB2312" w:hAnsi="仿宋" w:eastAsia="仿宋_GB2312" w:cs="仿宋"/>
                <w:bCs/>
                <w:sz w:val="24"/>
                <w:lang w:bidi="ar"/>
              </w:rPr>
              <w:drawing>
                <wp:inline distT="0" distB="0" distL="0" distR="0">
                  <wp:extent cx="419100" cy="190500"/>
                  <wp:effectExtent l="0" t="0" r="0" b="0"/>
                  <wp:docPr id="632262671"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62671" name="图片 2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hAnsi="仿宋" w:eastAsia="仿宋_GB2312" w:cs="仿宋"/>
                <w:bCs/>
                <w:sz w:val="24"/>
                <w:lang w:bidi="ar"/>
              </w:rPr>
              <w:t>分别表示查询（Query）、键（Key）和值（Value）矩阵，</w:t>
            </w:r>
            <w:r>
              <w:rPr>
                <w:rFonts w:hint="eastAsia" w:ascii="仿宋_GB2312" w:hAnsi="仿宋" w:eastAsia="仿宋_GB2312" w:cs="仿宋"/>
                <w:bCs/>
                <w:sz w:val="24"/>
                <w:lang w:bidi="ar"/>
              </w:rPr>
              <w:drawing>
                <wp:inline distT="0" distB="0" distL="0" distR="0">
                  <wp:extent cx="152400" cy="190500"/>
                  <wp:effectExtent l="0" t="0" r="0" b="0"/>
                  <wp:docPr id="43539531"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9531" name="图片 2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52400" cy="190500"/>
                          </a:xfrm>
                          <a:prstGeom prst="rect">
                            <a:avLst/>
                          </a:prstGeom>
                          <a:noFill/>
                          <a:ln>
                            <a:noFill/>
                          </a:ln>
                        </pic:spPr>
                      </pic:pic>
                    </a:graphicData>
                  </a:graphic>
                </wp:inline>
              </w:drawing>
            </w:r>
            <w:r>
              <w:rPr>
                <w:rFonts w:ascii="仿宋_GB2312" w:hAnsi="仿宋" w:eastAsia="仿宋_GB2312" w:cs="仿宋"/>
                <w:bCs/>
                <w:sz w:val="24"/>
                <w:lang w:bidi="ar"/>
              </w:rPr>
              <w:t xml:space="preserve"> 为键向量维度。该机制通过加权聚合方式实现语义相关性建模，使得模型能够捕捉长距离依赖结构。</w:t>
            </w:r>
          </w:p>
          <w:p w14:paraId="0B36C4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在经过多层Transformer后，得到每个Token的上下文敏感表示。句子级表示通过取 [CLS] 标记的隐藏状态获得，其输出可视为语义嵌入向量 </w:t>
            </w:r>
            <w:r>
              <w:rPr>
                <w:rFonts w:hint="eastAsia" w:ascii="仿宋_GB2312" w:hAnsi="仿宋" w:eastAsia="仿宋_GB2312" w:cs="仿宋"/>
                <w:bCs/>
                <w:sz w:val="24"/>
                <w:lang w:bidi="ar"/>
              </w:rPr>
              <w:drawing>
                <wp:inline distT="0" distB="0" distL="0" distR="0">
                  <wp:extent cx="222250" cy="190500"/>
                  <wp:effectExtent l="0" t="0" r="6350" b="0"/>
                  <wp:docPr id="490386851"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6851" name="图片 2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22250" cy="190500"/>
                          </a:xfrm>
                          <a:prstGeom prst="rect">
                            <a:avLst/>
                          </a:prstGeom>
                          <a:noFill/>
                          <a:ln>
                            <a:noFill/>
                          </a:ln>
                        </pic:spPr>
                      </pic:pic>
                    </a:graphicData>
                  </a:graphic>
                </wp:inline>
              </w:drawing>
            </w:r>
            <w:r>
              <w:rPr>
                <w:rFonts w:ascii="仿宋_GB2312" w:hAnsi="仿宋" w:eastAsia="仿宋_GB2312" w:cs="仿宋"/>
                <w:bCs/>
                <w:sz w:val="24"/>
                <w:lang w:bidi="ar"/>
              </w:rPr>
              <w:t>。随后，模型通过全连接层映射至语义空间：</w:t>
            </w:r>
          </w:p>
          <w:p w14:paraId="4F0CECA9">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1276350" cy="190500"/>
                  <wp:effectExtent l="0" t="0" r="6350" b="0"/>
                  <wp:docPr id="26597001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0016" name="图片 2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276350" cy="19050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3DDFEE7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其中 </w:t>
            </w:r>
            <w:r>
              <w:rPr>
                <w:rFonts w:hint="eastAsia" w:ascii="仿宋_GB2312" w:hAnsi="仿宋" w:eastAsia="仿宋_GB2312" w:cs="仿宋"/>
                <w:bCs/>
                <w:sz w:val="24"/>
                <w:lang w:bidi="ar"/>
              </w:rPr>
              <w:drawing>
                <wp:inline distT="0" distB="0" distL="0" distR="0">
                  <wp:extent cx="190500" cy="190500"/>
                  <wp:effectExtent l="0" t="0" r="0" b="0"/>
                  <wp:docPr id="1289324831"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831" name="图片 2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hAnsi="仿宋" w:eastAsia="仿宋_GB2312" w:cs="仿宋"/>
                <w:bCs/>
                <w:sz w:val="24"/>
                <w:lang w:bidi="ar"/>
              </w:rPr>
              <w:t xml:space="preserve">和 </w:t>
            </w:r>
            <w:r>
              <w:rPr>
                <w:rFonts w:hint="eastAsia" w:ascii="仿宋_GB2312" w:hAnsi="仿宋" w:eastAsia="仿宋_GB2312" w:cs="仿宋"/>
                <w:bCs/>
                <w:sz w:val="24"/>
                <w:lang w:bidi="ar"/>
              </w:rPr>
              <w:drawing>
                <wp:inline distT="0" distB="0" distL="0" distR="0">
                  <wp:extent cx="133350" cy="190500"/>
                  <wp:effectExtent l="0" t="0" r="6350" b="0"/>
                  <wp:docPr id="122867212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2121" name="图片 2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为可学习参数，</w:t>
            </w:r>
            <w:r>
              <w:rPr>
                <w:rFonts w:hint="eastAsia" w:ascii="仿宋_GB2312" w:hAnsi="仿宋" w:eastAsia="仿宋_GB2312" w:cs="仿宋"/>
                <w:bCs/>
                <w:sz w:val="24"/>
                <w:lang w:bidi="ar"/>
              </w:rPr>
              <w:drawing>
                <wp:inline distT="0" distB="0" distL="0" distR="0">
                  <wp:extent cx="323850" cy="190500"/>
                  <wp:effectExtent l="0" t="0" r="6350" b="0"/>
                  <wp:docPr id="60979496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4961" name="图片 2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23850" cy="190500"/>
                          </a:xfrm>
                          <a:prstGeom prst="rect">
                            <a:avLst/>
                          </a:prstGeom>
                          <a:noFill/>
                          <a:ln>
                            <a:noFill/>
                          </a:ln>
                        </pic:spPr>
                      </pic:pic>
                    </a:graphicData>
                  </a:graphic>
                </wp:inline>
              </w:drawing>
            </w:r>
            <w:r>
              <w:rPr>
                <w:rFonts w:ascii="仿宋_GB2312" w:hAnsi="仿宋" w:eastAsia="仿宋_GB2312" w:cs="仿宋"/>
                <w:bCs/>
                <w:sz w:val="24"/>
                <w:lang w:bidi="ar"/>
              </w:rPr>
              <w:t xml:space="preserve"> 为非线性激活函数。该语义向量表征了句子的情感极性与潜在攻击性信息，可输入至后续的融合模块。</w:t>
            </w:r>
          </w:p>
          <w:p w14:paraId="52CCAB6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为提升对“委婉”攻击的识别，本研究引入语义扰动鲁棒性训练（semantic perturbation training），通过对识别文本添加轻微语义替换（如同义词变换、语序扰动等）生成负样本，促使BERT模型学习到语义稳定性与细粒度语气差异的判别能力。此外，为兼顾识别速度与精度，BERT采用轻量化Fine-tuned框架，在保留上下文理解能力的同时，减少冗余参数并增强针对短文本的特征聚焦能力。</w:t>
            </w:r>
          </w:p>
          <w:p w14:paraId="6D1597F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通过该路径，模型能够对语音内容的语义层面进行细粒度刻画，识别出隐晦表达、反语、委婉侮辱等多种语义伪装下的潜在有害信息，为后续声学特征融合提供语义基础。</w:t>
            </w:r>
          </w:p>
          <w:p w14:paraId="7073C082">
            <w:pPr>
              <w:snapToGrid w:val="0"/>
              <w:spacing w:line="360" w:lineRule="auto"/>
              <w:ind w:firstLine="413" w:firstLineChars="196"/>
              <w:rPr>
                <w:rFonts w:hint="eastAsia" w:ascii="仿宋_GB2312" w:hAnsi="宋体" w:eastAsia="仿宋_GB2312"/>
                <w:b/>
                <w:bCs/>
              </w:rPr>
            </w:pPr>
            <w:r>
              <w:rPr>
                <w:rFonts w:hint="eastAsia" w:ascii="仿宋_GB2312" w:hAnsi="宋体" w:eastAsia="仿宋_GB2312"/>
                <w:b/>
                <w:bCs/>
              </w:rPr>
              <w:t>3.</w:t>
            </w:r>
            <w:r>
              <w:rPr>
                <w:rFonts w:ascii="仿宋_GB2312" w:hAnsi="宋体" w:eastAsia="仿宋_GB2312"/>
                <w:b/>
                <w:bCs/>
              </w:rPr>
              <w:t>MFCC声学特征路径</w:t>
            </w:r>
          </w:p>
          <w:p w14:paraId="23AD3D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在多模态语音仇恨检测框架中，声学路径负责从非语义维度刻画潜在攻击意图。社交媒体中的有害语音常表现为语调讽刺、压抑愤怒等隐晦特征。为捕捉此类“委婉有害信息”，本研究设计了一条双支路的MFCC声学特征处理路径，以原始波形为输入，通过传统信号处理与深度学习两条路线提取多粒度声学表征。最终，两支路输出在统一的全连接整合层完成特征对齐与拼接，生成综合声学嵌入 </w:t>
            </w:r>
            <w:r>
              <w:rPr>
                <w:rFonts w:hint="eastAsia" w:ascii="仿宋_GB2312" w:hAnsi="仿宋" w:eastAsia="仿宋_GB2312" w:cs="仿宋"/>
                <w:bCs/>
                <w:sz w:val="24"/>
                <w:lang w:bidi="ar"/>
              </w:rPr>
              <w:drawing>
                <wp:inline distT="0" distB="0" distL="0" distR="0">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，并无缝送入音频识别（Audio Recognition）模块，与语义支路协同参与高层多模态融合。</w:t>
            </w:r>
          </w:p>
          <w:p w14:paraId="480CF9D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的核心设计理念在于：声学特征不应仅是辅助补充，而应成为独立且强表达的攻击性线索源。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节奏异常、伪装平静中的能量聚集等。这些深层模式往往是“表面无害、实则恶意”的典型声学指纹。</w:t>
            </w:r>
          </w:p>
          <w:p w14:paraId="34DA65B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3.1 共享音频预处理：奠定双支路一致性基础</w:t>
            </w:r>
          </w:p>
          <w:p w14:paraId="397CA31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为确保两条支路的输入信号在时频域具有完全一致的物理意义，系统首先对原始波形执行严格统一的预处理流水线。首先进行预加重操作，增强高频分量以补偿声道传输中的能量衰减：</w:t>
            </w:r>
          </w:p>
          <w:p w14:paraId="7D89E7D2">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3105150" cy="190500"/>
                  <wp:effectExtent l="0" t="0" r="6350" b="0"/>
                  <wp:docPr id="1941273205"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3205" name="图片 1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105150" cy="19050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2E8F592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该步骤显著提升了对清音、爆破音等高频攻击性语音成分的敏感度。随后，信号被切分为短时重叠帧（帧长25 ms，帧移10 ms），每帧施加汉明窗以平滑边界、抑制频谱泄漏。加窗后的帧序列 </w:t>
            </w:r>
            <w:r>
              <w:rPr>
                <w:rFonts w:hint="eastAsia" w:ascii="仿宋_GB2312" w:hAnsi="仿宋" w:eastAsia="仿宋_GB2312" w:cs="仿宋"/>
                <w:bCs/>
                <w:sz w:val="24"/>
                <w:lang w:bidi="ar"/>
              </w:rPr>
              <w:drawing>
                <wp:inline distT="0" distB="0" distL="0" distR="0">
                  <wp:extent cx="349250" cy="190500"/>
                  <wp:effectExtent l="0" t="0" r="6350" b="0"/>
                  <wp:docPr id="1398774843"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74843" name="图片 1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49250" cy="190500"/>
                          </a:xfrm>
                          <a:prstGeom prst="rect">
                            <a:avLst/>
                          </a:prstGeom>
                          <a:noFill/>
                          <a:ln>
                            <a:noFill/>
                          </a:ln>
                        </pic:spPr>
                      </pic:pic>
                    </a:graphicData>
                  </a:graphic>
                </wp:inline>
              </w:drawing>
            </w:r>
            <w:r>
              <w:rPr>
                <w:rFonts w:ascii="仿宋_GB2312" w:hAnsi="仿宋" w:eastAsia="仿宋_GB2312" w:cs="仿宋"/>
                <w:bCs/>
                <w:sz w:val="24"/>
                <w:lang w:bidi="ar"/>
              </w:rPr>
              <w:t>成为两条支路的共享输入基础，保证后续特征提取在相同的时间粒度与频谱分辨率下进行，从而实现跨支路的公平比较与有效融合。</w:t>
            </w:r>
          </w:p>
          <w:p w14:paraId="4C5BFC5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3.2 传统MFCC统计特征支路：物理可解释的声学统计建模</w:t>
            </w:r>
          </w:p>
          <w:p w14:paraId="7FED7BC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传统支路忠实遵循经典MFCC提取范式，旨在生成紧凑、高度可解释的声学统计描述子。其处理流程为：对每帧信号执行快速傅里叶变换（FFT）获取功率谱；通过Mel滤波器组模拟人耳对频率的非线性感知：</w:t>
            </w:r>
          </w:p>
          <w:p w14:paraId="54B1CAF8">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2901950" cy="387350"/>
                  <wp:effectExtent l="0" t="0" r="6350" b="6350"/>
                  <wp:docPr id="1374095440"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95440" name="图片 1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01950" cy="3873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43C471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滤波器中心频率按Mel刻度等间距分布，带宽随频率递增，更符合人类听觉对低频差异的敏感性。滤波能量取对数后，通过离散余弦变换（DCT）实现去相关与能量压缩，得到每帧的MFCC系数：</w:t>
            </w:r>
          </w:p>
          <w:p w14:paraId="62533ECD">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4121150" cy="590550"/>
                  <wp:effectExtent l="0" t="0" r="6350" b="6350"/>
                  <wp:docPr id="47399109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1098" name="图片 1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121150" cy="5905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2E9D3709">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系统保留前13阶低频系数（通常含 </w:t>
            </w:r>
            <w:r>
              <w:rPr>
                <w:rFonts w:hint="eastAsia" w:ascii="仿宋_GB2312" w:hAnsi="仿宋" w:eastAsia="仿宋_GB2312" w:cs="仿宋"/>
                <w:bCs/>
                <w:sz w:val="24"/>
                <w:lang w:bidi="ar"/>
              </w:rPr>
              <w:drawing>
                <wp:inline distT="0" distB="0" distL="0" distR="0">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 xml:space="preserve">能量项则为14维），构成静态特征向量 </w:t>
            </w:r>
            <w:r>
              <w:rPr>
                <w:rFonts w:hint="eastAsia" w:ascii="仿宋_GB2312" w:hAnsi="仿宋" w:eastAsia="仿宋_GB2312" w:cs="仿宋"/>
                <w:bCs/>
                <w:sz w:val="24"/>
                <w:lang w:bidi="ar"/>
              </w:rPr>
              <w:drawing>
                <wp:inline distT="0" distB="0" distL="0" distR="0">
                  <wp:extent cx="190500" cy="190500"/>
                  <wp:effectExtent l="0" t="0" r="0" b="0"/>
                  <wp:docPr id="63497444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4446" name="图片 1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仿宋_GB2312" w:hAnsi="仿宋" w:eastAsia="仿宋_GB2312" w:cs="仿宋"/>
                <w:bCs/>
                <w:sz w:val="24"/>
                <w:lang w:bidi="ar"/>
              </w:rPr>
              <w:t>。为进一步捕获语音的动态演化特性，计算一阶差分（Δ）与二阶差分（ΔΔ），分别表征语速变化与加速度模式。</w:t>
            </w:r>
          </w:p>
          <w:p w14:paraId="605511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对整段音频，系统不再采用简单的帧级拼接，而是通过全局统计聚合函数（均值、标准差、最大值、最小值、偏度、峰度等）对所有帧的静态+动态系数进行降维汇总，最终输出39维传统声学特征向量 </w:t>
            </w:r>
            <w:r>
              <w:rPr>
                <w:rFonts w:hint="eastAsia" w:ascii="仿宋_GB2312" w:hAnsi="仿宋" w:eastAsia="仿宋_GB2312" w:cs="仿宋"/>
                <w:bCs/>
                <w:sz w:val="24"/>
                <w:lang w:bidi="ar"/>
              </w:rPr>
              <w:drawing>
                <wp:inline distT="0" distB="0" distL="0" distR="0">
                  <wp:extent cx="228600" cy="190500"/>
                  <wp:effectExtent l="0" t="0" r="0" b="0"/>
                  <wp:docPr id="119168655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6552" name="图片 1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hAnsi="仿宋" w:eastAsia="仿宋_GB2312" w:cs="仿宋"/>
                <w:bCs/>
                <w:sz w:val="24"/>
                <w:lang w:bidi="ar"/>
              </w:rPr>
              <w:t>。该向量高度浓缩了整段语音的能量分布趋势、节奏稳定性、音量突变频率等宏观声学属性，为后续融合提供坚实的、可解释的声学先验。</w:t>
            </w:r>
          </w:p>
          <w:p w14:paraId="3A954AD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3.3 深度MFCC嵌入支路：数据驱动的高阶情绪表征学习</w:t>
            </w:r>
          </w:p>
          <w:p w14:paraId="0C65A84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与传统支路严格并行，深度支路以帧级MFCC序列 </w:t>
            </w:r>
            <w:r>
              <w:rPr>
                <w:rFonts w:hint="eastAsia" w:ascii="仿宋_GB2312" w:hAnsi="仿宋" w:eastAsia="仿宋_GB2312" w:cs="仿宋"/>
                <w:bCs/>
                <w:sz w:val="24"/>
                <w:lang w:bidi="ar"/>
              </w:rPr>
              <w:drawing>
                <wp:inline distT="0" distB="0" distL="0" distR="0">
                  <wp:extent cx="495300" cy="190500"/>
                  <wp:effectExtent l="0" t="0" r="0" b="0"/>
                  <wp:docPr id="123542637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6375" name="图片 1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95300" cy="190500"/>
                          </a:xfrm>
                          <a:prstGeom prst="rect">
                            <a:avLst/>
                          </a:prstGeom>
                          <a:noFill/>
                          <a:ln>
                            <a:noFill/>
                          </a:ln>
                        </pic:spPr>
                      </pic:pic>
                    </a:graphicData>
                  </a:graphic>
                </wp:inline>
              </w:drawing>
            </w:r>
            <w:r>
              <w:rPr>
                <w:rFonts w:ascii="仿宋_GB2312" w:hAnsi="仿宋" w:eastAsia="仿宋_GB2312" w:cs="仿宋"/>
                <w:bCs/>
                <w:sz w:val="24"/>
                <w:lang w:bidi="ar"/>
              </w:rPr>
              <w:t>为输入，构建从低维倒谱到高维情绪嵌入的端到端非线性映射网络。该网络采用三层全连接结构（FC-Net），每层后接Batch Normalization与ReLU激活，逐步实现特征的抽象与重组：</w:t>
            </w:r>
          </w:p>
          <w:p w14:paraId="32F6454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4191000" cy="387350"/>
                  <wp:effectExtent l="0" t="0" r="0" b="6350"/>
                  <wp:docPr id="152623952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9524" name="图片 1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191000" cy="3873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2CCD5E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网络维度设计为 13→256→128→64，参数通过反向传播联合优化。每一帧原始MFCC被映射为64维深度嵌入 </w:t>
            </w:r>
            <w:r>
              <w:rPr>
                <w:rFonts w:hint="eastAsia" w:ascii="仿宋_GB2312" w:hAnsi="仿宋" w:eastAsia="仿宋_GB2312" w:cs="仿宋"/>
                <w:bCs/>
                <w:sz w:val="24"/>
                <w:lang w:bidi="ar"/>
              </w:rPr>
              <w:drawing>
                <wp:inline distT="0" distB="0" distL="0" distR="0">
                  <wp:extent cx="209550" cy="387350"/>
                  <wp:effectExtent l="0" t="0" r="6350" b="6350"/>
                  <wp:docPr id="135518866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8669" name="图片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09550" cy="387350"/>
                          </a:xfrm>
                          <a:prstGeom prst="rect">
                            <a:avLst/>
                          </a:prstGeom>
                          <a:noFill/>
                          <a:ln>
                            <a:noFill/>
                          </a:ln>
                        </pic:spPr>
                      </pic:pic>
                    </a:graphicData>
                  </a:graphic>
                </wp:inline>
              </w:drawing>
            </w:r>
            <w:r>
              <w:rPr>
                <w:rFonts w:ascii="仿宋_GB2312" w:hAnsi="仿宋" w:eastAsia="仿宋_GB2312" w:cs="仿宋"/>
                <w:bCs/>
                <w:sz w:val="24"/>
                <w:lang w:bidi="ar"/>
              </w:rPr>
              <w:t>，蕴含了传统统计量难以显式表达的音色稳定性、语调曲线弯折、微表情式停顿分布等深层声学模式。</w:t>
            </w:r>
          </w:p>
          <w:p w14:paraId="5DB7276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为避免简单均值池化导致的攻击性高潮片段被稀释，系统引入可学习注意力池化机制，动态加权各帧对最终表征的贡献：</w:t>
            </w:r>
          </w:p>
          <w:p w14:paraId="566ECE7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4381500" cy="590550"/>
                  <wp:effectExtent l="0" t="0" r="0" b="6350"/>
                  <wp:docPr id="80841180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1808" name="图片 18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381500" cy="5905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73F297D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注意力权重 </w:t>
            </w:r>
            <w:r>
              <w:rPr>
                <w:rFonts w:hint="eastAsia" w:ascii="仿宋_GB2312" w:hAnsi="仿宋" w:eastAsia="仿宋_GB2312" w:cs="仿宋"/>
                <w:bCs/>
                <w:sz w:val="24"/>
                <w:lang w:bidi="ar"/>
              </w:rPr>
              <w:drawing>
                <wp:inline distT="0" distB="0" distL="0" distR="0">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hAnsi="仿宋" w:eastAsia="仿宋_GB2312" w:cs="仿宋"/>
                <w:bCs/>
                <w:sz w:val="24"/>
                <w:lang w:bidi="ar"/>
              </w:rPr>
              <w:t xml:space="preserve">由一个小型门控网络计算，使模型能够自动聚焦于能量爆发、语调突变或讽刺性拖长音等关键时刻，生成64维深度声学嵌入 </w:t>
            </w:r>
            <w:r>
              <w:rPr>
                <w:rFonts w:hint="eastAsia" w:ascii="仿宋_GB2312" w:hAnsi="仿宋" w:eastAsia="仿宋_GB2312" w:cs="仿宋"/>
                <w:bCs/>
                <w:sz w:val="24"/>
                <w:lang w:bidi="ar"/>
              </w:rPr>
              <w:drawing>
                <wp:inline distT="0" distB="0" distL="0" distR="0">
                  <wp:extent cx="279400" cy="387350"/>
                  <wp:effectExtent l="0" t="0" r="0" b="6350"/>
                  <wp:docPr id="74066001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0016" name="图片 18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hAnsi="仿宋" w:eastAsia="仿宋_GB2312" w:cs="仿宋"/>
                <w:bCs/>
                <w:sz w:val="24"/>
                <w:lang w:bidi="ar"/>
              </w:rPr>
              <w:t>。该嵌入特别适用于识别“表面平静、实则恶意”的伪装型攻击语音。</w:t>
            </w:r>
          </w:p>
          <w:p w14:paraId="3CB82EA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3.4 声学特征整合层：多粒度表征的统一对齐</w:t>
            </w:r>
          </w:p>
          <w:p w14:paraId="00E2C02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两条支路输出——39维传统统计特征 </w:t>
            </w:r>
            <w:r>
              <w:rPr>
                <w:rFonts w:hint="eastAsia" w:ascii="仿宋_GB2312" w:hAnsi="仿宋" w:eastAsia="仿宋_GB2312" w:cs="仿宋"/>
                <w:bCs/>
                <w:sz w:val="24"/>
                <w:lang w:bidi="ar"/>
              </w:rPr>
              <w:drawing>
                <wp:inline distT="0" distB="0" distL="0" distR="0">
                  <wp:extent cx="228600" cy="190500"/>
                  <wp:effectExtent l="0" t="0" r="0" b="0"/>
                  <wp:docPr id="601313338"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3338" name="图片 18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ascii="仿宋_GB2312" w:hAnsi="仿宋" w:eastAsia="仿宋_GB2312" w:cs="仿宋"/>
                <w:bCs/>
                <w:sz w:val="24"/>
                <w:lang w:bidi="ar"/>
              </w:rPr>
              <w:t xml:space="preserve">与 64维深度情绪嵌入 </w:t>
            </w:r>
            <w:r>
              <w:rPr>
                <w:rFonts w:hint="eastAsia" w:ascii="仿宋_GB2312" w:hAnsi="仿宋" w:eastAsia="仿宋_GB2312" w:cs="仿宋"/>
                <w:bCs/>
                <w:sz w:val="24"/>
                <w:lang w:bidi="ar"/>
              </w:rPr>
              <w:drawing>
                <wp:inline distT="0" distB="0" distL="0" distR="0">
                  <wp:extent cx="279400" cy="387350"/>
                  <wp:effectExtent l="0" t="0" r="0" b="6350"/>
                  <wp:docPr id="1381641451"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1451" name="图片 1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79400" cy="387350"/>
                          </a:xfrm>
                          <a:prstGeom prst="rect">
                            <a:avLst/>
                          </a:prstGeom>
                          <a:noFill/>
                          <a:ln>
                            <a:noFill/>
                          </a:ln>
                        </pic:spPr>
                      </pic:pic>
                    </a:graphicData>
                  </a:graphic>
                </wp:inline>
              </w:drawing>
            </w:r>
            <w:r>
              <w:rPr>
                <w:rFonts w:ascii="仿宋_GB2312" w:hAnsi="仿宋" w:eastAsia="仿宋_GB2312" w:cs="仿宋"/>
                <w:bCs/>
                <w:sz w:val="24"/>
                <w:lang w:bidi="ar"/>
              </w:rPr>
              <w:t>——在声学特征整合层完成空间对齐与信息互补：</w:t>
            </w:r>
          </w:p>
          <w:p w14:paraId="15F302F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3771900" cy="387350"/>
                  <wp:effectExtent l="0" t="0" r="0" b="6350"/>
                  <wp:docPr id="1457271870"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870" name="图片 1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771900" cy="3873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26C6AE2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其中拼接操作 </w:t>
            </w:r>
            <w:r>
              <w:rPr>
                <w:rFonts w:hint="eastAsia" w:ascii="仿宋_GB2312" w:hAnsi="仿宋" w:eastAsia="仿宋_GB2312" w:cs="仿宋"/>
                <w:bCs/>
                <w:sz w:val="24"/>
                <w:lang w:bidi="ar"/>
              </w:rPr>
              <w:drawing>
                <wp:inline distT="0" distB="0" distL="0" distR="0">
                  <wp:extent cx="361950" cy="190500"/>
                  <wp:effectExtent l="0" t="0" r="6350" b="0"/>
                  <wp:docPr id="1944846754"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6754" name="图片 1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61950" cy="190500"/>
                          </a:xfrm>
                          <a:prstGeom prst="rect">
                            <a:avLst/>
                          </a:prstGeom>
                          <a:noFill/>
                          <a:ln>
                            <a:noFill/>
                          </a:ln>
                        </pic:spPr>
                      </pic:pic>
                    </a:graphicData>
                  </a:graphic>
                </wp:inline>
              </w:drawing>
            </w:r>
            <w:r>
              <w:rPr>
                <w:rFonts w:ascii="仿宋_GB2312" w:hAnsi="仿宋" w:eastAsia="仿宋_GB2312" w:cs="仿宋"/>
                <w:bCs/>
                <w:sz w:val="24"/>
                <w:lang w:bidi="ar"/>
              </w:rPr>
              <w:t xml:space="preserve">保留了两类特征的完整表达，整合层通过可学习投影实现维度统一与非线性交互。最终输出的128维综合声学嵌入 </w:t>
            </w:r>
            <w:r>
              <w:rPr>
                <w:rFonts w:hint="eastAsia" w:ascii="仿宋_GB2312" w:hAnsi="仿宋" w:eastAsia="仿宋_GB2312" w:cs="仿宋"/>
                <w:bCs/>
                <w:sz w:val="24"/>
                <w:lang w:bidi="ar"/>
              </w:rPr>
              <w:drawing>
                <wp:inline distT="0" distB="0" distL="0" distR="0">
                  <wp:extent cx="133350" cy="190500"/>
                  <wp:effectExtent l="0" t="0" r="6350" b="0"/>
                  <wp:docPr id="919663324"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63324" name="图片 1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同时具备：</w:t>
            </w:r>
          </w:p>
          <w:p w14:paraId="2F13F861">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物理可解释性：音量、语速、能量等统计规律</w:t>
            </w:r>
          </w:p>
          <w:p w14:paraId="2C2C7A2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情绪表达力：讽刺拖腔、冷笑音色、压抑愤怒等深层模式</w:t>
            </w:r>
          </w:p>
          <w:p w14:paraId="4156918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时间敏感性：攻击性高潮的动态聚焦</w:t>
            </w:r>
          </w:p>
          <w:p w14:paraId="311AC7F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该嵌入随即被送入音频识别（Audio Recognition）模块，作为声学模态的唯一代表，与语义支路的 </w:t>
            </w:r>
            <w:r>
              <w:rPr>
                <w:rFonts w:hint="eastAsia" w:ascii="仿宋_GB2312" w:hAnsi="仿宋" w:eastAsia="仿宋_GB2312" w:cs="仿宋"/>
                <w:bCs/>
                <w:sz w:val="24"/>
                <w:lang w:bidi="ar"/>
              </w:rPr>
              <w:drawing>
                <wp:inline distT="0" distB="0" distL="0" distR="0">
                  <wp:extent cx="114300" cy="190500"/>
                  <wp:effectExtent l="0" t="0" r="0" b="0"/>
                  <wp:docPr id="142807677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76774" name="图片 18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hAnsi="仿宋" w:eastAsia="仿宋_GB2312" w:cs="仿宋"/>
                <w:bCs/>
                <w:sz w:val="24"/>
                <w:lang w:bidi="ar"/>
              </w:rPr>
              <w:t>在高层融合层进行跨模态联合建模（详见第四节）。</w:t>
            </w:r>
          </w:p>
          <w:p w14:paraId="6B75587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3.5 面向真实场景的鲁棒性增强策略</w:t>
            </w:r>
          </w:p>
          <w:p w14:paraId="0FD0C1D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社交媒体音频常伴随压缩失真、背景噪音、变速说话等干扰。为提升模型在野外环境下的稳定性，训练阶段对输入音频施加多样本增强（Data Augmentation），包括：</w:t>
            </w:r>
          </w:p>
          <w:p w14:paraId="56A9873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时域拉伸：随机因子 </w:t>
            </w:r>
            <w:r>
              <w:rPr>
                <w:rFonts w:hint="eastAsia" w:ascii="仿宋_GB2312" w:hAnsi="仿宋" w:eastAsia="仿宋_GB2312" w:cs="仿宋"/>
                <w:bCs/>
                <w:sz w:val="24"/>
                <w:lang w:bidi="ar"/>
              </w:rPr>
              <w:drawing>
                <wp:inline distT="0" distB="0" distL="0" distR="0">
                  <wp:extent cx="1009650" cy="190500"/>
                  <wp:effectExtent l="0" t="0" r="6350" b="0"/>
                  <wp:docPr id="190723032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30327" name="图片 1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009650" cy="190500"/>
                          </a:xfrm>
                          <a:prstGeom prst="rect">
                            <a:avLst/>
                          </a:prstGeom>
                          <a:noFill/>
                          <a:ln>
                            <a:noFill/>
                          </a:ln>
                        </pic:spPr>
                      </pic:pic>
                    </a:graphicData>
                  </a:graphic>
                </wp:inline>
              </w:drawing>
            </w:r>
            <w:r>
              <w:rPr>
                <w:rFonts w:ascii="仿宋_GB2312" w:hAnsi="仿宋" w:eastAsia="仿宋_GB2312" w:cs="仿宋"/>
                <w:bCs/>
                <w:sz w:val="24"/>
                <w:lang w:bidi="ar"/>
              </w:rPr>
              <w:t>，模拟快慢语速</w:t>
            </w:r>
          </w:p>
          <w:p w14:paraId="40B4F33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加性噪声：SNR </w:t>
            </w:r>
            <w:r>
              <w:rPr>
                <w:rFonts w:hint="eastAsia" w:ascii="仿宋_GB2312" w:hAnsi="仿宋" w:eastAsia="仿宋_GB2312" w:cs="仿宋"/>
                <w:bCs/>
                <w:sz w:val="24"/>
                <w:lang w:bidi="ar"/>
              </w:rPr>
              <w:drawing>
                <wp:inline distT="0" distB="0" distL="0" distR="0">
                  <wp:extent cx="749300" cy="190500"/>
                  <wp:effectExtent l="0" t="0" r="0" b="0"/>
                  <wp:docPr id="1901771679"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1679" name="图片 1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749300" cy="190500"/>
                          </a:xfrm>
                          <a:prstGeom prst="rect">
                            <a:avLst/>
                          </a:prstGeom>
                          <a:noFill/>
                          <a:ln>
                            <a:noFill/>
                          </a:ln>
                        </pic:spPr>
                      </pic:pic>
                    </a:graphicData>
                  </a:graphic>
                </wp:inline>
              </w:drawing>
            </w:r>
            <w:r>
              <w:rPr>
                <w:rFonts w:ascii="仿宋_GB2312" w:hAnsi="仿宋" w:eastAsia="仿宋_GB2312" w:cs="仿宋"/>
                <w:bCs/>
                <w:sz w:val="24"/>
                <w:lang w:bidi="ar"/>
              </w:rPr>
              <w:t>dB，模拟环境嘈杂</w:t>
            </w:r>
          </w:p>
          <w:p w14:paraId="78E456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音高偏移：</w:t>
            </w:r>
            <w:r>
              <w:rPr>
                <w:rFonts w:hint="eastAsia" w:ascii="仿宋_GB2312" w:hAnsi="仿宋" w:eastAsia="仿宋_GB2312" w:cs="仿宋"/>
                <w:bCs/>
                <w:sz w:val="24"/>
                <w:lang w:bidi="ar"/>
              </w:rPr>
              <w:drawing>
                <wp:inline distT="0" distB="0" distL="0" distR="0">
                  <wp:extent cx="419100" cy="190500"/>
                  <wp:effectExtent l="0" t="0" r="0" b="0"/>
                  <wp:docPr id="2052894653"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4653" name="图片 1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hAnsi="仿宋" w:eastAsia="仿宋_GB2312" w:cs="仿宋"/>
                <w:bCs/>
                <w:sz w:val="24"/>
                <w:lang w:bidi="ar"/>
              </w:rPr>
              <w:t xml:space="preserve"> 半音，增强音色泛化</w:t>
            </w:r>
          </w:p>
          <w:p w14:paraId="6AC7452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音量扰动：</w:t>
            </w:r>
            <w:r>
              <w:rPr>
                <w:rFonts w:hint="eastAsia" w:ascii="仿宋_GB2312" w:hAnsi="仿宋" w:eastAsia="仿宋_GB2312" w:cs="仿宋"/>
                <w:bCs/>
                <w:sz w:val="24"/>
                <w:lang w:bidi="ar"/>
              </w:rPr>
              <w:drawing>
                <wp:inline distT="0" distB="0" distL="0" distR="0">
                  <wp:extent cx="419100" cy="190500"/>
                  <wp:effectExtent l="0" t="0" r="0" b="0"/>
                  <wp:docPr id="748335238"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5238" name="图片 17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19100" cy="190500"/>
                          </a:xfrm>
                          <a:prstGeom prst="rect">
                            <a:avLst/>
                          </a:prstGeom>
                          <a:noFill/>
                          <a:ln>
                            <a:noFill/>
                          </a:ln>
                        </pic:spPr>
                      </pic:pic>
                    </a:graphicData>
                  </a:graphic>
                </wp:inline>
              </w:drawing>
            </w:r>
            <w:r>
              <w:rPr>
                <w:rFonts w:ascii="仿宋_GB2312" w:hAnsi="仿宋" w:eastAsia="仿宋_GB2312" w:cs="仿宋"/>
                <w:bCs/>
                <w:sz w:val="24"/>
                <w:lang w:bidi="ar"/>
              </w:rPr>
              <w:t xml:space="preserve"> dB，适应录音设备差异</w:t>
            </w:r>
          </w:p>
          <w:p w14:paraId="79B6091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增强样本与原始样本共同参与梯度更新，迫使模型学习声学不变性（acoustic invariance），在复杂场景下保持性能稳定。</w:t>
            </w:r>
          </w:p>
          <w:p w14:paraId="5787C2A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3.6 声学路径核心流程（伪代码）</w:t>
            </w:r>
          </w:p>
          <w:p w14:paraId="0E43278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text</w:t>
            </w:r>
          </w:p>
          <w:p w14:paraId="415156D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CollapseWrap</w:t>
            </w:r>
          </w:p>
          <w:p w14:paraId="687D514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Copy</w:t>
            </w:r>
          </w:p>
          <w:p w14:paraId="2AA4864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Algorithm 2 声学特征并行提取与整合</w:t>
            </w:r>
          </w:p>
          <w:p w14:paraId="04BF6DE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Input: Audio waveform x[n]</w:t>
            </w:r>
          </w:p>
          <w:p w14:paraId="3EE87EF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Output: Integrated acoustic embedding z_a ∈ </w:t>
            </w:r>
            <w:r>
              <w:rPr>
                <w:rFonts w:ascii="Cambria Math" w:hAnsi="Cambria Math" w:eastAsia="仿宋_GB2312" w:cs="Cambria Math"/>
                <w:bCs/>
                <w:sz w:val="24"/>
                <w:lang w:bidi="ar"/>
              </w:rPr>
              <w:t>ℝ</w:t>
            </w:r>
            <w:r>
              <w:rPr>
                <w:rFonts w:ascii="Calibri" w:hAnsi="Calibri" w:eastAsia="仿宋_GB2312" w:cs="Calibri"/>
                <w:bCs/>
                <w:sz w:val="24"/>
                <w:lang w:bidi="ar"/>
              </w:rPr>
              <w:t>¹²</w:t>
            </w:r>
            <w:r>
              <w:rPr>
                <w:rFonts w:ascii="Cambria Math" w:hAnsi="Cambria Math" w:eastAsia="仿宋_GB2312" w:cs="Cambria Math"/>
                <w:bCs/>
                <w:sz w:val="24"/>
                <w:lang w:bidi="ar"/>
              </w:rPr>
              <w:t>⁸</w:t>
            </w:r>
          </w:p>
          <w:p w14:paraId="785C15E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 </w:t>
            </w:r>
          </w:p>
          <w:p w14:paraId="7FC1645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1. 共享预处理</w:t>
            </w:r>
          </w:p>
          <w:p w14:paraId="3933F9A9">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y[n] ← Pre-emphasis(x[n])                    # 公式(1)</w:t>
            </w:r>
          </w:p>
          <w:p w14:paraId="19FD92F3">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frames ← Framing &amp; HammingWindow(y[n])</w:t>
            </w:r>
          </w:p>
          <w:p w14:paraId="2FFB43D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 </w:t>
            </w:r>
          </w:p>
          <w:p w14:paraId="5566D849">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2. 并行支路提取</w:t>
            </w:r>
          </w:p>
          <w:p w14:paraId="65845D6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支路① 传统MFCC统计特征</w:t>
            </w:r>
          </w:p>
          <w:p w14:paraId="22004669">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MFCC_static ← DCT(MelFilterbank(FFT(frames))) # 公式(2)(3)</w:t>
            </w:r>
          </w:p>
          <w:p w14:paraId="7F99E5A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z_a_stat ← GlobalStats([MFCC_static, Δ, ΔΔ])  # → 39维</w:t>
            </w:r>
          </w:p>
          <w:p w14:paraId="4E0B809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 </w:t>
            </w:r>
          </w:p>
          <w:p w14:paraId="2A51341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支路② 深度MFCC嵌入</w:t>
            </w:r>
          </w:p>
          <w:p w14:paraId="08482D4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h3_seq ← FC-Net(MFCC_static; 13→256→128→64)   # 公式(4)</w:t>
            </w:r>
          </w:p>
          <w:p w14:paraId="53FDA4E1">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z_a_deep ← AttentionPooling(h3_seq)           # 公式(5) → 64维</w:t>
            </w:r>
          </w:p>
          <w:p w14:paraId="44AB2C6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 </w:t>
            </w:r>
          </w:p>
          <w:p w14:paraId="75D304A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3. 整合送入音频识别模块</w:t>
            </w:r>
          </w:p>
          <w:p w14:paraId="3B66F621">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z_a ← ReLU(W_align * [z_a_stat; z_a_deep] + b_align)  # 公式(6)</w:t>
            </w:r>
          </w:p>
          <w:p w14:paraId="77FD19F0">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return z_a  </w:t>
            </w:r>
            <w:r>
              <w:rPr>
                <w:rFonts w:ascii="Cambria Math" w:hAnsi="Cambria Math" w:eastAsia="仿宋_GB2312" w:cs="Cambria Math"/>
                <w:bCs/>
                <w:sz w:val="24"/>
                <w:lang w:bidi="ar"/>
              </w:rPr>
              <w:t>⊳</w:t>
            </w:r>
            <w:r>
              <w:rPr>
                <w:rFonts w:ascii="仿宋_GB2312" w:hAnsi="仿宋" w:eastAsia="仿宋_GB2312" w:cs="仿宋"/>
                <w:bCs/>
                <w:sz w:val="24"/>
                <w:lang w:bidi="ar"/>
              </w:rPr>
              <w:t xml:space="preserve"> 输入Audio Recognition模块，与z_t融合</w:t>
            </w:r>
          </w:p>
          <w:p w14:paraId="43D9171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四、多模态特征融合与评分机制</w:t>
            </w:r>
          </w:p>
          <w:p w14:paraId="7A5837A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融合模块的目标是将语义与声学特征进行互补性整合</w:t>
            </w:r>
            <w:r>
              <w:rPr>
                <w:rFonts w:hint="eastAsia" w:ascii="仿宋_GB2312" w:hAnsi="仿宋" w:eastAsia="仿宋_GB2312" w:cs="仿宋"/>
                <w:bCs/>
                <w:sz w:val="24"/>
                <w:lang w:bidi="ar"/>
              </w:rPr>
              <w:t>，获得多维度有害判据</w:t>
            </w:r>
            <w:r>
              <w:rPr>
                <w:rFonts w:ascii="仿宋_GB2312" w:hAnsi="仿宋" w:eastAsia="仿宋_GB2312" w:cs="仿宋"/>
                <w:bCs/>
                <w:sz w:val="24"/>
                <w:lang w:bidi="ar"/>
              </w:rPr>
              <w:t>。该过程通过全连接层映射实现特征空间对齐：</w:t>
            </w:r>
          </w:p>
          <w:p w14:paraId="255C017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1530350" cy="387350"/>
                  <wp:effectExtent l="0" t="0" r="6350" b="6350"/>
                  <wp:docPr id="465938749"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8749" name="图片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530350" cy="3873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55B23A7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其中 </w:t>
            </w:r>
            <w:r>
              <w:rPr>
                <w:rFonts w:hint="eastAsia" w:ascii="仿宋_GB2312" w:hAnsi="仿宋" w:eastAsia="仿宋_GB2312" w:cs="仿宋"/>
                <w:bCs/>
                <w:sz w:val="24"/>
                <w:lang w:bidi="ar"/>
              </w:rPr>
              <w:drawing>
                <wp:inline distT="0" distB="0" distL="0" distR="0">
                  <wp:extent cx="425450" cy="190500"/>
                  <wp:effectExtent l="0" t="0" r="6350" b="0"/>
                  <wp:docPr id="196582601"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601" name="图片 1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25450" cy="190500"/>
                          </a:xfrm>
                          <a:prstGeom prst="rect">
                            <a:avLst/>
                          </a:prstGeom>
                          <a:noFill/>
                          <a:ln>
                            <a:noFill/>
                          </a:ln>
                        </pic:spPr>
                      </pic:pic>
                    </a:graphicData>
                  </a:graphic>
                </wp:inline>
              </w:drawing>
            </w:r>
            <w:r>
              <w:rPr>
                <w:rFonts w:ascii="仿宋_GB2312" w:hAnsi="仿宋" w:eastAsia="仿宋_GB2312" w:cs="仿宋"/>
                <w:bCs/>
                <w:sz w:val="24"/>
                <w:lang w:bidi="ar"/>
              </w:rPr>
              <w:t>表示特征拼接操作，</w:t>
            </w:r>
            <w:r>
              <w:rPr>
                <w:rFonts w:hint="eastAsia" w:ascii="仿宋_GB2312" w:hAnsi="仿宋" w:eastAsia="仿宋_GB2312" w:cs="仿宋"/>
                <w:bCs/>
                <w:sz w:val="24"/>
                <w:lang w:bidi="ar"/>
              </w:rPr>
              <w:drawing>
                <wp:inline distT="0" distB="0" distL="0" distR="0">
                  <wp:extent cx="95250" cy="190500"/>
                  <wp:effectExtent l="0" t="0" r="6350" b="0"/>
                  <wp:docPr id="589769576"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9576" name="图片 1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5250" cy="190500"/>
                          </a:xfrm>
                          <a:prstGeom prst="rect">
                            <a:avLst/>
                          </a:prstGeom>
                          <a:noFill/>
                          <a:ln>
                            <a:noFill/>
                          </a:ln>
                        </pic:spPr>
                      </pic:pic>
                    </a:graphicData>
                  </a:graphic>
                </wp:inline>
              </w:drawing>
            </w:r>
            <w:r>
              <w:rPr>
                <w:rFonts w:ascii="仿宋_GB2312" w:hAnsi="仿宋" w:eastAsia="仿宋_GB2312" w:cs="仿宋"/>
                <w:bCs/>
                <w:sz w:val="24"/>
                <w:lang w:bidi="ar"/>
              </w:rPr>
              <w:t xml:space="preserve"> 为非线性函数（ReLU）。得到的融合特征 </w:t>
            </w:r>
            <w:r>
              <w:rPr>
                <w:rFonts w:hint="eastAsia" w:ascii="仿宋_GB2312" w:hAnsi="仿宋" w:eastAsia="仿宋_GB2312" w:cs="仿宋"/>
                <w:bCs/>
                <w:sz w:val="24"/>
                <w:lang w:bidi="ar"/>
              </w:rPr>
              <w:drawing>
                <wp:inline distT="0" distB="0" distL="0" distR="0">
                  <wp:extent cx="133350" cy="387350"/>
                  <wp:effectExtent l="0" t="0" r="6350" b="6350"/>
                  <wp:docPr id="3525455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45530" name="图片 17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133350" cy="387350"/>
                          </a:xfrm>
                          <a:prstGeom prst="rect">
                            <a:avLst/>
                          </a:prstGeom>
                          <a:noFill/>
                          <a:ln>
                            <a:noFill/>
                          </a:ln>
                        </pic:spPr>
                      </pic:pic>
                    </a:graphicData>
                  </a:graphic>
                </wp:inline>
              </w:drawing>
            </w:r>
            <w:r>
              <w:rPr>
                <w:rFonts w:ascii="仿宋_GB2312" w:hAnsi="仿宋" w:eastAsia="仿宋_GB2312" w:cs="仿宋"/>
                <w:bCs/>
                <w:sz w:val="24"/>
                <w:lang w:bidi="ar"/>
              </w:rPr>
              <w:t>输入至分类器进行多级别仇恨评分预测。评分层输出一个区间在 [0,1] 的连续值，映射为多级别分类标签（如“无害”“轻度”“中度”“严重”）。</w:t>
            </w:r>
          </w:p>
          <w:p w14:paraId="317A5641">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模型训练目标采用加权交叉熵损失函数，以平衡类别不均衡：</w:t>
            </w:r>
          </w:p>
          <w:p w14:paraId="3D4BBFB9">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1397000" cy="590550"/>
                  <wp:effectExtent l="0" t="0" r="0" b="6350"/>
                  <wp:docPr id="101722750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7501" name="图片 17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1397000" cy="59055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1E06FA5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其中 </w:t>
            </w:r>
            <w:r>
              <w:rPr>
                <w:rFonts w:hint="eastAsia" w:ascii="仿宋_GB2312" w:hAnsi="仿宋" w:eastAsia="仿宋_GB2312" w:cs="仿宋"/>
                <w:bCs/>
                <w:sz w:val="24"/>
                <w:lang w:bidi="ar"/>
              </w:rPr>
              <w:drawing>
                <wp:inline distT="0" distB="0" distL="0" distR="0">
                  <wp:extent cx="114300" cy="190500"/>
                  <wp:effectExtent l="0" t="0" r="0" b="0"/>
                  <wp:docPr id="150663257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2579" name="图片 17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hAnsi="仿宋" w:eastAsia="仿宋_GB2312" w:cs="仿宋"/>
                <w:bCs/>
                <w:sz w:val="24"/>
                <w:lang w:bidi="ar"/>
              </w:rPr>
              <w:t>为真实标签，</w:t>
            </w:r>
            <w:r>
              <w:rPr>
                <w:rFonts w:hint="eastAsia" w:ascii="仿宋_GB2312" w:hAnsi="仿宋" w:eastAsia="仿宋_GB2312" w:cs="仿宋"/>
                <w:bCs/>
                <w:sz w:val="24"/>
                <w:lang w:bidi="ar"/>
              </w:rPr>
              <w:drawing>
                <wp:inline distT="0" distB="0" distL="0" distR="0">
                  <wp:extent cx="114300" cy="190500"/>
                  <wp:effectExtent l="0" t="0" r="0" b="0"/>
                  <wp:docPr id="390023204"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3204" name="图片 1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14300" cy="190500"/>
                          </a:xfrm>
                          <a:prstGeom prst="rect">
                            <a:avLst/>
                          </a:prstGeom>
                          <a:noFill/>
                          <a:ln>
                            <a:noFill/>
                          </a:ln>
                        </pic:spPr>
                      </pic:pic>
                    </a:graphicData>
                  </a:graphic>
                </wp:inline>
              </w:drawing>
            </w:r>
            <w:r>
              <w:rPr>
                <w:rFonts w:ascii="仿宋_GB2312" w:hAnsi="仿宋" w:eastAsia="仿宋_GB2312" w:cs="仿宋"/>
                <w:bCs/>
                <w:sz w:val="24"/>
                <w:lang w:bidi="ar"/>
              </w:rPr>
              <w:t xml:space="preserve"> 为预测概率，</w:t>
            </w:r>
            <w:r>
              <w:rPr>
                <w:rFonts w:hint="eastAsia" w:ascii="仿宋_GB2312" w:hAnsi="仿宋" w:eastAsia="仿宋_GB2312" w:cs="仿宋"/>
                <w:bCs/>
                <w:sz w:val="24"/>
                <w:lang w:bidi="ar"/>
              </w:rPr>
              <w:drawing>
                <wp:inline distT="0" distB="0" distL="0" distR="0">
                  <wp:extent cx="139700" cy="190500"/>
                  <wp:effectExtent l="0" t="0" r="0" b="0"/>
                  <wp:docPr id="97382920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9206" name="图片 1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39700" cy="190500"/>
                          </a:xfrm>
                          <a:prstGeom prst="rect">
                            <a:avLst/>
                          </a:prstGeom>
                          <a:noFill/>
                          <a:ln>
                            <a:noFill/>
                          </a:ln>
                        </pic:spPr>
                      </pic:pic>
                    </a:graphicData>
                  </a:graphic>
                </wp:inline>
              </w:drawing>
            </w:r>
            <w:r>
              <w:rPr>
                <w:rFonts w:ascii="仿宋_GB2312" w:hAnsi="仿宋" w:eastAsia="仿宋_GB2312" w:cs="仿宋"/>
                <w:bCs/>
                <w:sz w:val="24"/>
                <w:lang w:bidi="ar"/>
              </w:rPr>
              <w:t xml:space="preserve"> 为类别权重。</w:t>
            </w:r>
          </w:p>
          <w:p w14:paraId="0CBDD4A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此外，为实现细粒度多级别判定，引入情绪连续值回归机制。该机制通过最小化均方误差（MSE）实现评分精度优化：</w:t>
            </w:r>
          </w:p>
          <w:p w14:paraId="69942C10">
            <w:pPr>
              <w:snapToGrid w:val="0"/>
              <w:spacing w:line="360" w:lineRule="auto"/>
              <w:ind w:firstLine="470" w:firstLineChars="196"/>
              <w:jc w:val="center"/>
              <w:rPr>
                <w:rFonts w:hint="eastAsia" w:ascii="仿宋_GB2312" w:hAnsi="仿宋" w:eastAsia="仿宋_GB2312" w:cs="仿宋"/>
                <w:bCs/>
                <w:sz w:val="24"/>
                <w:lang w:bidi="ar"/>
              </w:rPr>
            </w:pPr>
            <w:r>
              <w:rPr>
                <w:rFonts w:hint="eastAsia" w:ascii="仿宋_GB2312" w:hAnsi="仿宋" w:eastAsia="仿宋_GB2312" w:cs="仿宋"/>
                <w:bCs/>
                <w:sz w:val="24"/>
                <w:lang w:bidi="ar"/>
              </w:rPr>
              <w:drawing>
                <wp:inline distT="0" distB="0" distL="0" distR="0">
                  <wp:extent cx="1308100" cy="190500"/>
                  <wp:effectExtent l="0" t="0" r="0" b="0"/>
                  <wp:docPr id="139712565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5653" name="图片 1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1308100" cy="190500"/>
                          </a:xfrm>
                          <a:prstGeom prst="rect">
                            <a:avLst/>
                          </a:prstGeom>
                          <a:noFill/>
                          <a:ln>
                            <a:noFill/>
                          </a:ln>
                        </pic:spPr>
                      </pic:pic>
                    </a:graphicData>
                  </a:graphic>
                </wp:inline>
              </w:drawing>
            </w:r>
            <w:r>
              <w:rPr>
                <w:rFonts w:ascii="仿宋_GB2312" w:hAnsi="仿宋" w:eastAsia="仿宋_GB2312" w:cs="仿宋"/>
                <w:bCs/>
                <w:sz w:val="24"/>
                <w:lang w:bidi="ar"/>
              </w:rPr>
              <w:br w:type="textWrapping"/>
            </w:r>
          </w:p>
          <w:p w14:paraId="746B456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其中 </w:t>
            </w:r>
            <w:r>
              <w:rPr>
                <w:rFonts w:hint="eastAsia" w:ascii="仿宋_GB2312" w:hAnsi="仿宋" w:eastAsia="仿宋_GB2312" w:cs="仿宋"/>
                <w:bCs/>
                <w:sz w:val="24"/>
                <w:lang w:bidi="ar"/>
              </w:rPr>
              <w:drawing>
                <wp:inline distT="0" distB="0" distL="0" distR="0">
                  <wp:extent cx="76200" cy="190500"/>
                  <wp:effectExtent l="0" t="0" r="0" b="0"/>
                  <wp:docPr id="105436667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6675" name="图片 1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76200" cy="190500"/>
                          </a:xfrm>
                          <a:prstGeom prst="rect">
                            <a:avLst/>
                          </a:prstGeom>
                          <a:noFill/>
                          <a:ln>
                            <a:noFill/>
                          </a:ln>
                        </pic:spPr>
                      </pic:pic>
                    </a:graphicData>
                  </a:graphic>
                </wp:inline>
              </w:drawing>
            </w:r>
            <w:r>
              <w:rPr>
                <w:rFonts w:ascii="仿宋_GB2312" w:hAnsi="仿宋" w:eastAsia="仿宋_GB2312" w:cs="仿宋"/>
                <w:bCs/>
                <w:sz w:val="24"/>
                <w:lang w:bidi="ar"/>
              </w:rPr>
              <w:t>为平衡系数。通过联合优化分类与回归损失，模型能够在保证分类准确度的同时，输出更具区分度的仇恨强度分值。</w:t>
            </w:r>
          </w:p>
          <w:p w14:paraId="5251F68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算法的核心流程如下（伪代码形式）：</w:t>
            </w:r>
          </w:p>
          <w:p w14:paraId="2D6B73C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Algorithm 1 多模态语音仇恨检测流程</w:t>
            </w:r>
            <w:r>
              <w:rPr>
                <w:rFonts w:ascii="仿宋_GB2312" w:hAnsi="仿宋" w:eastAsia="仿宋_GB2312" w:cs="仿宋"/>
                <w:bCs/>
                <w:sz w:val="24"/>
                <w:lang w:bidi="ar"/>
              </w:rPr>
              <w:br w:type="textWrapping"/>
            </w:r>
            <w:r>
              <w:rPr>
                <w:rFonts w:ascii="仿宋_GB2312" w:hAnsi="仿宋" w:eastAsia="仿宋_GB2312" w:cs="仿宋"/>
                <w:bCs/>
                <w:sz w:val="24"/>
                <w:lang w:bidi="ar"/>
              </w:rPr>
              <w:t>Input: Audio clip A</w:t>
            </w:r>
            <w:r>
              <w:rPr>
                <w:rFonts w:ascii="仿宋_GB2312" w:hAnsi="仿宋" w:eastAsia="仿宋_GB2312" w:cs="仿宋"/>
                <w:bCs/>
                <w:sz w:val="24"/>
                <w:lang w:bidi="ar"/>
              </w:rPr>
              <w:br w:type="textWrapping"/>
            </w:r>
            <w:r>
              <w:rPr>
                <w:rFonts w:ascii="仿宋_GB2312" w:hAnsi="仿宋" w:eastAsia="仿宋_GB2312" w:cs="仿宋"/>
                <w:bCs/>
                <w:sz w:val="24"/>
                <w:lang w:bidi="ar"/>
              </w:rPr>
              <w:t>Output: Hatefulness score s</w:t>
            </w:r>
          </w:p>
          <w:p w14:paraId="0E45983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A ← Preprocess(A) // 预加重、分帧、加窗</w:t>
            </w:r>
          </w:p>
          <w:p w14:paraId="1EED910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X ← MFCC(A); Z_a ← AudioEmbedding(X)</w:t>
            </w:r>
          </w:p>
          <w:p w14:paraId="1AE0CC73">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T ← ASR(A); Z_t ← BERT(T)</w:t>
            </w:r>
          </w:p>
          <w:p w14:paraId="3D101FA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Z_f ← Fusion([Z_t; Z_a])</w:t>
            </w:r>
          </w:p>
          <w:p w14:paraId="2E9A6B1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s ← Classifier(Z_f)</w:t>
            </w:r>
          </w:p>
          <w:p w14:paraId="750BE22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Return s</w:t>
            </w:r>
          </w:p>
          <w:p w14:paraId="63F0730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通过该多模态融合与多级别评分机制，模型能够在识别显性辱骂语的同时，有效捕捉语音中隐晦、讽刺或情绪化的语气信号，为社交媒体平台提供更高鲁棒性的委婉有害内容检测能力。</w:t>
            </w:r>
          </w:p>
          <w:p w14:paraId="0EF7406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3.1.6大模型赋能</w:t>
            </w:r>
          </w:p>
          <w:p w14:paraId="2A3D24FF">
            <w:pPr>
              <w:snapToGrid w:val="0"/>
              <w:spacing w:line="360" w:lineRule="auto"/>
              <w:ind w:firstLine="472" w:firstLineChars="196"/>
              <w:rPr>
                <w:rFonts w:ascii="仿宋_GB2312" w:hAnsi="仿宋" w:eastAsia="仿宋_GB2312" w:cs="仿宋"/>
                <w:b/>
                <w:sz w:val="24"/>
                <w:lang w:bidi="ar"/>
              </w:rPr>
            </w:pPr>
            <w:r>
              <w:rPr>
                <w:rFonts w:hint="eastAsia" w:ascii="仿宋_GB2312" w:hAnsi="仿宋" w:eastAsia="仿宋_GB2312" w:cs="仿宋"/>
                <w:b/>
                <w:sz w:val="24"/>
                <w:lang w:bidi="ar"/>
              </w:rPr>
              <w:t>1.POINTS1.5</w:t>
            </w:r>
          </w:p>
          <w:p w14:paraId="367C7DB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模型概述：POINT 1.5 是一个以大型语言模型为核心的多模态视觉-语言模型。其核心思想是通过一个可训练的适配器（MLP Projector），将预训练的视觉编码器提取的图像特征对齐并“注入”到冻结的 LLM 的词嵌入空间中。这种架构使得 LLM 能够有效地“看到”和理解图像内容，并基于图文结合的上下文进行推理和生成文本响应。模型强调参数高效性，通过仅训练投影层来赋予 LLM 视觉能力。</w:t>
            </w:r>
          </w:p>
          <w:p w14:paraId="60EFA102">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模型流程路径</w:t>
            </w:r>
          </w:p>
          <w:p w14:paraId="0819BD2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模型接收来自用户的原始图像（一张或多张）和文本形式的用户指令/查询（例如：“Please describe this image.”）。原始图像首先被分割成一系列规则大小的图像块（patches），这是 Vision Transformer 处理图像的标准输入格式。这些图像块被送入图像编码器 (NaViT)。NaViT是一个强大的预训练模型（其参数通常在 POINT 1.5 的训练阶段被冻结），它从图像块中提取出高维度的、语义丰富的视觉特征序列。视觉编码器输出的视觉特征序列被送入MLP 投影器。这是模型中唯一可训练的部分，它学习将视觉特征映射到大型语言模型 (LLM) 所理解的词嵌入空间。MLP投影器将视觉特征转换为一系列与 LLM 内部词嵌入维度兼容的“伪令牌”（Pseudo-Tokens）。模型的输入序列被精心构造，以统一的方式将文本和图像信息呈现给 LLM：首先，插入特殊的视觉开始令牌（&lt;vision_start&gt;）。然后，插入由 MLP 投影器生成的图像伪令牌序列。接着，插入特殊的图像结束令牌（&lt;im_end&gt;）。或视觉结束令牌（&lt;vision_end&gt;）。随后，插入用户提供的文本指令/查询（通过 LLM 自身的文本分词器处理）。整个序列可能还包含user和assistant等角色令牌，以模仿对话格式。如果有多个图像，该模板和伪令牌序列可以重复多次，以便 LLM 同时处理多张图片及其相关指令。构建好的混合序列（包含文本令牌和图像伪令牌）被送入大型语言模型 (LLM)。LLM 的核心 Transformer 解码器层（包含多头自注意力机制和前馈网络）对整个序列进行处理。LLM 的自注意力机制允许文本令牌与图像伪令牌之间进行深度且双向的交互。LLM 能够理解文本指令所指的图像区域或概念，并综合图文信息进行复杂的上下文推理。由于 LLM 参数是冻结的，它能够充分利用其庞大的预训练知识库来理解和关联视觉与文本信息。经过 LLM 的处理后，其输出头（通常是一个线性层后接 softmax 激活函数）会根据融合后的信息和用户指令，自回归地生成最终的文本响应。这个响应可以是图像的详细描述、对图像内容的问答、或遵循指令完成的文本任务。在 POINT 1.5 的训练阶段，只有 MLP 投影器及其连接的 LLM 的部分层（如 LoRA 适配器）是可训练的，图像编码器和 LLM 的大部分核心参数保持冻结。这使得模型训练非常高效，可以在较少的计算资源下，将强大的视觉能力注入到 LLM 中。</w:t>
            </w:r>
          </w:p>
          <w:p w14:paraId="5E79E17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4CBBF2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多模态输入接收-&gt;图像预处理与特征提取-&gt;LLM 输入序列构建-&gt;大型语言模型处理与融合-&gt;文本输出生成</w:t>
            </w:r>
          </w:p>
          <w:p w14:paraId="26D03724">
            <w:pPr>
              <w:snapToGrid w:val="0"/>
              <w:spacing w:line="360" w:lineRule="auto"/>
              <w:ind w:firstLine="470" w:firstLineChars="196"/>
              <w:rPr>
                <w:rFonts w:ascii="仿宋_GB2312" w:hAnsi="仿宋" w:eastAsia="仿宋_GB2312" w:cs="仿宋"/>
                <w:bCs/>
                <w:sz w:val="24"/>
                <w:lang w:bidi="ar"/>
              </w:rPr>
            </w:pPr>
            <w:r>
              <w:rPr>
                <w:rFonts w:hint="eastAsia" w:ascii="仿宋_GB2312" w:hAnsi="仿宋" w:eastAsia="仿宋_GB2312" w:cs="仿宋"/>
                <w:bCs/>
                <w:sz w:val="24"/>
                <w:lang w:bidi="ar"/>
              </w:rPr>
              <w:t>2. ERNIE4.5:</w:t>
            </w:r>
          </w:p>
          <w:p w14:paraId="1CE0304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模型概述：ERNIE 4.5 是一个统一的多模态基础模型，旨在实现对多种模态（图像、视频、文本）的深度理解和生成能力。该模型采用高度模块化和可扩展的架构，特别强调了对多分辨率视觉输入的自适应处理，以及通过路由器和专家网络实现高效的模态特异性处理与融合。其核心在于通过多模态自注意力层整合来自不同模态的信息，并支持复杂的跨模态任务。</w:t>
            </w:r>
          </w:p>
          <w:p w14:paraId="5FA7EEB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487E297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模型流程路径：</w:t>
            </w:r>
          </w:p>
          <w:p w14:paraId="2B0A8B0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各种格式的原始数据，包括视频（不同时长和分辨率）、图像（不同分辨率和长宽比）以及文本（用户指令或语料）。例如，用户可以输入一张高分辨率图片和一句“详细描述这张图片”的文本指令。原始视频和图像首先通过视觉编码器进行初步处理，提取基础视觉特征。针对不同分辨率和长宽比的视觉输入，模型会进行自适应的调整或变换，以生成统一格式或多尺度的特征。对处理后的视觉特征进行空间维度的压缩，生成一系列更紧凑的视觉特征序列。针对视频输入，模型会对时间维度进行压缩，捕获视频的动态信息和时序特征，生成时间压缩后的视觉特征序列。压缩后的视觉特征序列通过一个适配器，将其调整到与后续路由和专家模块兼容的维度和格式。用户输入的文本指令（如“Describe this image in detail”）首先通过文本分词器进行分词，生成文本令牌序列。经过适配器处理的视觉特征序列被送入视觉路由器。路由器根据特征的特性和潜在任务需求，智能地将其分配给一个或多个视觉专家。视觉专家是专门处理视觉信息的子网络，进行深度的视觉理解。分词后的文本令牌序列被送入文本路由器。路由器同样将其分配给一个或多个文本专家。文本专家是专门处理文本信息的子网络，进行深度的语义理解。视觉专家和文本专家独立地对其负责的模态信息进行深度分析，提取出各自模态最丰富的语义表示。来自视觉路由器和文本路由器的输出（可能已经经过各自专家的处理）被送入多模态自注意力层。在这个阶段，模型允许视觉特征和文本特征之间进行深度、双向的交互，从而学习它们之间的复杂关联和互补信息，形成统一的多模态上下文理解。融合后的多模态特征（或经过多模态自注意力层输出的统一表示）被进一步送入共享专家模块。这些专家不再区分模态，而是处理融合后的高级语义信息，进行跨模态推理和决策。经过多模态自注意力层和共享专家处理后的最终多模态表示，被模型的输出头（通常是 Transformer 解码器）用于生成最终的输出。根据用户指令，输出可以是文本形式的描述（如对图像的详细描述）、问答，甚至可以支持图像、视频或其他模态内容的生成。ERNIE 4.5 作为一个基础模型，通常在海量且多样化的多模态数据集上进行端到端的联合预训练。模型的所有组件（包括编码器、路由器、专家、自注意力层等）都会在预训练阶段共同学习。这使得模型能够学习到非常通用和强大的跨模态表示。</w:t>
            </w:r>
          </w:p>
          <w:p w14:paraId="4E849DF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50AC70A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269CC4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多模态原始输入-&gt;视觉输入预处理与特征提取-&gt;文本输入预处理与特征提取-&gt;多模态路由与专家处理-&gt;多模态融合与共享专家处理-&gt;输出生成</w:t>
            </w:r>
          </w:p>
          <w:p w14:paraId="3BB26620">
            <w:pPr>
              <w:snapToGrid w:val="0"/>
              <w:spacing w:line="360" w:lineRule="auto"/>
              <w:ind w:firstLine="411" w:firstLineChars="196"/>
              <w:rPr>
                <w:rFonts w:hint="eastAsia"/>
              </w:rPr>
            </w:pPr>
          </w:p>
          <w:p w14:paraId="7C578AF6">
            <w:pPr>
              <w:snapToGrid w:val="0"/>
              <w:spacing w:line="360" w:lineRule="auto"/>
              <w:ind w:firstLine="411" w:firstLineChars="196"/>
            </w:pPr>
          </w:p>
          <w:p w14:paraId="19CDFFD2">
            <w:pPr>
              <w:snapToGrid w:val="0"/>
              <w:spacing w:line="360" w:lineRule="auto"/>
              <w:ind w:firstLine="411" w:firstLineChars="196"/>
            </w:pPr>
          </w:p>
          <w:p w14:paraId="252CFD9F">
            <w:pPr>
              <w:snapToGrid w:val="0"/>
              <w:spacing w:line="360" w:lineRule="auto"/>
              <w:ind w:firstLine="411" w:firstLineChars="196"/>
            </w:pPr>
          </w:p>
          <w:p w14:paraId="11A5561D">
            <w:pPr>
              <w:snapToGrid w:val="0"/>
              <w:spacing w:line="360" w:lineRule="auto"/>
              <w:ind w:firstLine="411" w:firstLineChars="196"/>
              <w:rPr>
                <w:rFonts w:hint="eastAsia" w:ascii="仿宋_GB2312" w:hAnsi="宋体" w:eastAsia="仿宋_GB2312"/>
              </w:rPr>
            </w:pPr>
          </w:p>
          <w:p w14:paraId="3E8DC095">
            <w:pPr>
              <w:snapToGrid w:val="0"/>
              <w:spacing w:line="360" w:lineRule="auto"/>
              <w:ind w:firstLine="411" w:firstLineChars="196"/>
              <w:rPr>
                <w:rFonts w:hint="eastAsia" w:ascii="仿宋_GB2312" w:hAnsi="宋体" w:eastAsia="仿宋_GB2312"/>
              </w:rPr>
            </w:pPr>
          </w:p>
          <w:p w14:paraId="3342F9CF">
            <w:pPr>
              <w:snapToGrid w:val="0"/>
              <w:spacing w:line="360" w:lineRule="auto"/>
              <w:ind w:firstLine="411" w:firstLineChars="196"/>
              <w:rPr>
                <w:rFonts w:hint="eastAsia" w:ascii="仿宋_GB2312" w:hAnsi="宋体" w:eastAsia="仿宋_GB2312"/>
              </w:rPr>
            </w:pPr>
          </w:p>
          <w:p w14:paraId="76886988">
            <w:pPr>
              <w:snapToGrid w:val="0"/>
              <w:spacing w:line="360" w:lineRule="auto"/>
              <w:ind w:firstLine="411" w:firstLineChars="196"/>
              <w:rPr>
                <w:rFonts w:hint="eastAsia" w:ascii="仿宋_GB2312" w:hAnsi="宋体" w:eastAsia="仿宋_GB2312"/>
              </w:rPr>
            </w:pPr>
          </w:p>
          <w:p w14:paraId="09833240">
            <w:pPr>
              <w:snapToGrid w:val="0"/>
              <w:spacing w:line="360" w:lineRule="auto"/>
              <w:ind w:firstLine="411" w:firstLineChars="196"/>
              <w:rPr>
                <w:rFonts w:hint="eastAsia" w:ascii="仿宋_GB2312" w:hAnsi="宋体" w:eastAsia="仿宋_GB2312"/>
              </w:rPr>
            </w:pPr>
          </w:p>
          <w:p w14:paraId="64C4E2BF">
            <w:pPr>
              <w:snapToGrid w:val="0"/>
              <w:spacing w:line="360" w:lineRule="auto"/>
              <w:ind w:firstLine="411" w:firstLineChars="196"/>
              <w:rPr>
                <w:rFonts w:hint="eastAsia" w:ascii="仿宋_GB2312" w:hAnsi="宋体" w:eastAsia="仿宋_GB2312"/>
              </w:rPr>
            </w:pPr>
          </w:p>
          <w:p w14:paraId="3C26A03B">
            <w:pPr>
              <w:snapToGrid w:val="0"/>
              <w:spacing w:line="360" w:lineRule="auto"/>
              <w:ind w:firstLine="411" w:firstLineChars="196"/>
              <w:rPr>
                <w:rFonts w:hint="eastAsia" w:ascii="仿宋_GB2312" w:hAnsi="宋体" w:eastAsia="仿宋_GB2312"/>
              </w:rPr>
            </w:pPr>
          </w:p>
          <w:p w14:paraId="45DDDCB1">
            <w:pPr>
              <w:snapToGrid w:val="0"/>
              <w:spacing w:line="360" w:lineRule="auto"/>
              <w:ind w:firstLine="411" w:firstLineChars="196"/>
              <w:rPr>
                <w:rFonts w:hint="eastAsia" w:ascii="仿宋_GB2312" w:hAnsi="宋体" w:eastAsia="仿宋_GB2312"/>
              </w:rPr>
            </w:pPr>
          </w:p>
          <w:p w14:paraId="1B940EDF">
            <w:pPr>
              <w:snapToGrid w:val="0"/>
              <w:spacing w:line="360" w:lineRule="auto"/>
              <w:ind w:firstLine="411" w:firstLineChars="196"/>
              <w:rPr>
                <w:rFonts w:hint="eastAsia" w:ascii="仿宋_GB2312" w:hAnsi="宋体" w:eastAsia="仿宋_GB2312"/>
              </w:rPr>
            </w:pPr>
          </w:p>
          <w:p w14:paraId="7AD3CC0C">
            <w:pPr>
              <w:snapToGrid w:val="0"/>
              <w:spacing w:line="440" w:lineRule="exact"/>
              <w:rPr>
                <w:rFonts w:hint="eastAsia" w:ascii="仿宋_GB2312" w:hAnsi="宋体" w:eastAsia="仿宋_GB2312"/>
              </w:rPr>
            </w:pPr>
          </w:p>
          <w:p w14:paraId="258ED898">
            <w:pPr>
              <w:snapToGrid w:val="0"/>
              <w:spacing w:line="440" w:lineRule="exact"/>
              <w:rPr>
                <w:rFonts w:hint="eastAsia" w:ascii="仿宋_GB2312" w:hAnsi="宋体" w:eastAsia="仿宋_GB2312"/>
              </w:rPr>
            </w:pPr>
          </w:p>
          <w:p w14:paraId="34BA9197">
            <w:pPr>
              <w:snapToGrid w:val="0"/>
              <w:spacing w:line="440" w:lineRule="exact"/>
              <w:rPr>
                <w:rFonts w:hint="eastAsia" w:ascii="仿宋_GB2312" w:hAnsi="宋体" w:eastAsia="仿宋_GB2312"/>
              </w:rPr>
            </w:pPr>
          </w:p>
        </w:tc>
      </w:tr>
      <w:tr w14:paraId="2ADB9A38">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4117AE74">
            <w:pPr>
              <w:snapToGrid w:val="0"/>
              <w:spacing w:line="440" w:lineRule="exact"/>
              <w:rPr>
                <w:rFonts w:hint="eastAsia" w:ascii="仿宋_GB2312" w:hAnsi="宋体" w:eastAsia="仿宋_GB2312"/>
                <w:u w:val="single"/>
              </w:rPr>
            </w:pPr>
            <w:r>
              <w:rPr>
                <w:rFonts w:ascii="楷体" w:hAnsi="楷体" w:eastAsia="楷体"/>
                <w:sz w:val="28"/>
                <w:szCs w:val="28"/>
              </w:rPr>
              <w:t>4</w:t>
            </w:r>
            <w:r>
              <w:rPr>
                <w:rFonts w:hint="eastAsia" w:ascii="楷体" w:hAnsi="楷体" w:eastAsia="楷体" w:cs="楷体_GB2312"/>
                <w:sz w:val="28"/>
                <w:szCs w:val="28"/>
              </w:rPr>
              <w:t>．</w:t>
            </w:r>
            <w:r>
              <w:rPr>
                <w:rFonts w:hint="eastAsia" w:ascii="楷体" w:hAnsi="楷体" w:eastAsia="楷体" w:cs="楷体_GB2312"/>
                <w:b/>
                <w:bCs/>
                <w:sz w:val="28"/>
                <w:szCs w:val="28"/>
              </w:rPr>
              <w:t>本项目的特色与创新点（</w:t>
            </w:r>
            <w:r>
              <w:rPr>
                <w:rFonts w:hint="eastAsia" w:ascii="楷体" w:hAnsi="楷体" w:eastAsia="楷体" w:cs="楷体_GB2312"/>
                <w:sz w:val="28"/>
                <w:szCs w:val="28"/>
              </w:rPr>
              <w:t>建议2-3点</w:t>
            </w:r>
            <w:r>
              <w:rPr>
                <w:rFonts w:hint="eastAsia" w:ascii="楷体" w:hAnsi="楷体" w:eastAsia="楷体" w:cs="楷体_GB2312"/>
                <w:b/>
                <w:bCs/>
                <w:sz w:val="28"/>
                <w:szCs w:val="28"/>
              </w:rPr>
              <w:t>）</w:t>
            </w:r>
            <w:r>
              <w:rPr>
                <w:rFonts w:hint="eastAsia" w:ascii="楷体" w:hAnsi="楷体" w:eastAsia="楷体" w:cs="楷体_GB2312"/>
                <w:bCs/>
                <w:sz w:val="28"/>
                <w:szCs w:val="28"/>
              </w:rPr>
              <w:t>；</w:t>
            </w:r>
          </w:p>
        </w:tc>
      </w:tr>
      <w:tr w14:paraId="1C1AECC8">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0DFDD90">
            <w:pPr>
              <w:snapToGrid w:val="0"/>
              <w:spacing w:line="440" w:lineRule="exact"/>
              <w:ind w:firstLine="411" w:firstLineChars="196"/>
              <w:rPr>
                <w:rFonts w:hint="eastAsia" w:ascii="仿宋_GB2312" w:hAnsi="宋体" w:eastAsia="仿宋_GB2312"/>
                <w:u w:val="single"/>
              </w:rPr>
            </w:pPr>
          </w:p>
        </w:tc>
      </w:tr>
    </w:tbl>
    <w:p w14:paraId="24248451">
      <w:pPr>
        <w:snapToGrid w:val="0"/>
        <w:spacing w:line="440" w:lineRule="exact"/>
        <w:rPr>
          <w:rFonts w:hint="eastAsia" w:ascii="宋体" w:hAnsi="宋体"/>
          <w:sz w:val="24"/>
        </w:rPr>
      </w:pPr>
    </w:p>
    <w:p w14:paraId="5136203A">
      <w:pPr>
        <w:snapToGrid w:val="0"/>
        <w:spacing w:line="440" w:lineRule="exact"/>
        <w:rPr>
          <w:rFonts w:hint="eastAsia" w:ascii="楷体" w:hAnsi="楷体" w:eastAsia="楷体" w:cs="楷体_GB2312"/>
          <w:color w:val="0070C0"/>
          <w:sz w:val="28"/>
          <w:szCs w:val="28"/>
        </w:rPr>
      </w:pPr>
    </w:p>
    <w:tbl>
      <w:tblPr>
        <w:tblStyle w:val="13"/>
        <w:tblW w:w="8336" w:type="dxa"/>
        <w:tblInd w:w="0" w:type="dxa"/>
        <w:tblLayout w:type="fixed"/>
        <w:tblCellMar>
          <w:top w:w="0" w:type="dxa"/>
          <w:left w:w="0" w:type="dxa"/>
          <w:bottom w:w="0" w:type="dxa"/>
          <w:right w:w="0" w:type="dxa"/>
        </w:tblCellMar>
      </w:tblPr>
      <w:tblGrid>
        <w:gridCol w:w="8336"/>
      </w:tblGrid>
      <w:tr w14:paraId="7AE2BCB8">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678FB8E8">
            <w:pPr>
              <w:pStyle w:val="21"/>
              <w:numPr>
                <w:ilvl w:val="0"/>
                <w:numId w:val="1"/>
              </w:numPr>
              <w:snapToGrid w:val="0"/>
              <w:spacing w:before="120" w:line="440" w:lineRule="exact"/>
              <w:ind w:firstLineChars="0"/>
              <w:rPr>
                <w:rFonts w:hint="eastAsia" w:ascii="楷体" w:hAnsi="楷体" w:eastAsia="楷体" w:cs="楷体_GB2312"/>
                <w:b/>
                <w:bCs/>
                <w:sz w:val="28"/>
                <w:szCs w:val="28"/>
              </w:rPr>
            </w:pPr>
            <w:r>
              <w:rPr>
                <w:rFonts w:hint="eastAsia" w:ascii="楷体" w:hAnsi="楷体" w:eastAsia="楷体" w:cs="楷体_GB2312"/>
                <w:b/>
                <w:bCs/>
                <w:sz w:val="28"/>
                <w:szCs w:val="28"/>
              </w:rPr>
              <w:t>研究基础与工作条件</w:t>
            </w:r>
          </w:p>
        </w:tc>
      </w:tr>
      <w:tr w14:paraId="61F02A9F">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355E8645">
            <w:pPr>
              <w:snapToGrid w:val="0"/>
              <w:spacing w:line="440" w:lineRule="exact"/>
              <w:rPr>
                <w:rFonts w:hint="eastAsia" w:ascii="仿宋_GB2312" w:hAnsi="宋体" w:eastAsia="仿宋_GB2312"/>
                <w:szCs w:val="21"/>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sz w:val="28"/>
                <w:szCs w:val="28"/>
              </w:rPr>
              <w:t>项目负责人</w:t>
            </w:r>
            <w:r>
              <w:rPr>
                <w:rFonts w:hint="eastAsia" w:ascii="楷体" w:hAnsi="楷体" w:eastAsia="楷体" w:cs="楷体_GB2312"/>
                <w:b/>
                <w:bCs/>
                <w:sz w:val="28"/>
                <w:szCs w:val="28"/>
              </w:rPr>
              <w:t>研究基础</w:t>
            </w:r>
            <w:r>
              <w:rPr>
                <w:rFonts w:hint="eastAsia" w:ascii="楷体" w:hAnsi="楷体" w:eastAsia="楷体" w:cs="楷体_GB2312"/>
                <w:sz w:val="28"/>
                <w:szCs w:val="28"/>
              </w:rPr>
              <w:t>（建议300字以内）</w:t>
            </w:r>
          </w:p>
        </w:tc>
      </w:tr>
      <w:tr w14:paraId="35F6AF57">
        <w:tblPrEx>
          <w:tblCellMar>
            <w:top w:w="0" w:type="dxa"/>
            <w:left w:w="0" w:type="dxa"/>
            <w:bottom w:w="0" w:type="dxa"/>
            <w:right w:w="0" w:type="dxa"/>
          </w:tblCellMar>
        </w:tblPrEx>
        <w:trPr>
          <w:trHeight w:val="6048" w:hRule="atLeast"/>
        </w:trPr>
        <w:tc>
          <w:tcPr>
            <w:tcW w:w="8336" w:type="dxa"/>
            <w:tcBorders>
              <w:top w:val="single" w:color="auto" w:sz="4" w:space="0"/>
              <w:left w:val="single" w:color="auto" w:sz="4" w:space="0"/>
              <w:bottom w:val="nil"/>
              <w:right w:val="single" w:color="000000" w:sz="4" w:space="0"/>
            </w:tcBorders>
            <w:tcMar>
              <w:top w:w="15" w:type="dxa"/>
              <w:left w:w="15" w:type="dxa"/>
              <w:bottom w:w="0" w:type="dxa"/>
              <w:right w:w="15" w:type="dxa"/>
            </w:tcMar>
            <w:vAlign w:val="center"/>
          </w:tcPr>
          <w:p w14:paraId="2B96BB49">
            <w:pPr>
              <w:jc w:val="left"/>
              <w:rPr>
                <w:rFonts w:hint="eastAsia" w:ascii="仿宋_GB2312" w:hAnsi="宋体" w:eastAsia="仿宋_GB2312"/>
                <w:color w:val="4472C4" w:themeColor="accent1"/>
                <w:szCs w:val="21"/>
                <w14:textFill>
                  <w14:solidFill>
                    <w14:schemeClr w14:val="accent1"/>
                  </w14:solidFill>
                </w14:textFill>
              </w:rPr>
            </w:pPr>
          </w:p>
          <w:p w14:paraId="3B07802A">
            <w:pPr>
              <w:jc w:val="left"/>
              <w:rPr>
                <w:rFonts w:hint="eastAsia" w:ascii="仿宋_GB2312" w:hAnsi="宋体" w:eastAsia="仿宋_GB2312"/>
                <w:color w:val="4472C4" w:themeColor="accent1"/>
                <w:szCs w:val="21"/>
                <w14:textFill>
                  <w14:solidFill>
                    <w14:schemeClr w14:val="accent1"/>
                  </w14:solidFill>
                </w14:textFill>
              </w:rPr>
            </w:pPr>
          </w:p>
        </w:tc>
      </w:tr>
      <w:tr w14:paraId="676636E5">
        <w:tblPrEx>
          <w:tblCellMar>
            <w:top w:w="0" w:type="dxa"/>
            <w:left w:w="0" w:type="dxa"/>
            <w:bottom w:w="0" w:type="dxa"/>
            <w:right w:w="0" w:type="dxa"/>
          </w:tblCellMar>
        </w:tblPrEx>
        <w:trPr>
          <w:trHeight w:val="567" w:hRule="atLeast"/>
        </w:trPr>
        <w:tc>
          <w:tcPr>
            <w:tcW w:w="8336" w:type="dxa"/>
            <w:tcBorders>
              <w:top w:val="nil"/>
              <w:left w:val="nil"/>
              <w:bottom w:val="nil"/>
              <w:right w:val="nil"/>
            </w:tcBorders>
            <w:tcMar>
              <w:top w:w="15" w:type="dxa"/>
              <w:left w:w="15" w:type="dxa"/>
              <w:bottom w:w="0" w:type="dxa"/>
              <w:right w:w="15" w:type="dxa"/>
            </w:tcMar>
          </w:tcPr>
          <w:p w14:paraId="212659AF">
            <w:pPr>
              <w:snapToGrid w:val="0"/>
              <w:spacing w:line="440" w:lineRule="exact"/>
              <w:rPr>
                <w:rFonts w:hint="eastAsia" w:ascii="仿宋_GB2312" w:hAnsi="宋体" w:eastAsia="仿宋_GB2312"/>
                <w:szCs w:val="21"/>
              </w:rPr>
            </w:pPr>
            <w:r>
              <w:rPr>
                <w:rFonts w:hint="eastAsia" w:ascii="楷体" w:hAnsi="楷体" w:eastAsia="楷体" w:cs="楷体_GB2312"/>
                <w:sz w:val="28"/>
                <w:szCs w:val="28"/>
              </w:rPr>
              <w:t>2.</w:t>
            </w:r>
            <w:r>
              <w:rPr>
                <w:rFonts w:hint="eastAsia" w:ascii="楷体" w:hAnsi="楷体" w:eastAsia="楷体" w:cs="楷体_GB2312"/>
                <w:b/>
                <w:sz w:val="28"/>
                <w:szCs w:val="28"/>
              </w:rPr>
              <w:t>指导教师</w:t>
            </w:r>
            <w:r>
              <w:rPr>
                <w:rFonts w:hint="eastAsia" w:ascii="楷体" w:hAnsi="楷体" w:eastAsia="楷体" w:cs="楷体_GB2312"/>
                <w:b/>
                <w:bCs/>
                <w:sz w:val="28"/>
                <w:szCs w:val="28"/>
              </w:rPr>
              <w:t>研究基础</w:t>
            </w:r>
            <w:r>
              <w:rPr>
                <w:rFonts w:hint="eastAsia" w:ascii="楷体" w:hAnsi="楷体" w:eastAsia="楷体" w:cs="楷体_GB2312"/>
                <w:bCs/>
                <w:sz w:val="28"/>
                <w:szCs w:val="28"/>
              </w:rPr>
              <w:t>（</w:t>
            </w:r>
            <w:r>
              <w:rPr>
                <w:rFonts w:hint="eastAsia" w:ascii="楷体" w:hAnsi="楷体" w:eastAsia="楷体" w:cs="楷体_GB2312"/>
                <w:sz w:val="28"/>
                <w:szCs w:val="28"/>
              </w:rPr>
              <w:t>与本项目相关的研究工作积累和已取得的研究工作成绩，建议300字以内）；</w:t>
            </w:r>
          </w:p>
        </w:tc>
      </w:tr>
      <w:tr w14:paraId="0B1E3E5F">
        <w:tblPrEx>
          <w:tblCellMar>
            <w:top w:w="0" w:type="dxa"/>
            <w:left w:w="0" w:type="dxa"/>
            <w:bottom w:w="0" w:type="dxa"/>
            <w:right w:w="0" w:type="dxa"/>
          </w:tblCellMar>
        </w:tblPrEx>
        <w:trPr>
          <w:trHeight w:val="4316" w:hRule="atLeast"/>
        </w:trPr>
        <w:tc>
          <w:tcPr>
            <w:tcW w:w="8336" w:type="dxa"/>
            <w:tcBorders>
              <w:top w:val="nil"/>
              <w:left w:val="single" w:color="auto" w:sz="4" w:space="0"/>
              <w:bottom w:val="single" w:color="auto" w:sz="4" w:space="0"/>
              <w:right w:val="single" w:color="000000" w:sz="4" w:space="0"/>
            </w:tcBorders>
            <w:tcMar>
              <w:top w:w="15" w:type="dxa"/>
              <w:left w:w="15" w:type="dxa"/>
              <w:bottom w:w="0" w:type="dxa"/>
              <w:right w:w="15" w:type="dxa"/>
            </w:tcMar>
            <w:vAlign w:val="center"/>
          </w:tcPr>
          <w:p w14:paraId="6B5866C0">
            <w:pPr>
              <w:snapToGrid w:val="0"/>
              <w:spacing w:line="440" w:lineRule="exact"/>
              <w:ind w:firstLine="411" w:firstLineChars="196"/>
              <w:rPr>
                <w:rFonts w:hint="eastAsia" w:ascii="仿宋_GB2312" w:hAnsi="宋体" w:eastAsia="仿宋_GB2312"/>
                <w:szCs w:val="21"/>
              </w:rPr>
            </w:pPr>
          </w:p>
        </w:tc>
      </w:tr>
      <w:tr w14:paraId="031BD9F2">
        <w:tblPrEx>
          <w:tblCellMar>
            <w:top w:w="0" w:type="dxa"/>
            <w:left w:w="0" w:type="dxa"/>
            <w:bottom w:w="0" w:type="dxa"/>
            <w:right w:w="0" w:type="dxa"/>
          </w:tblCellMar>
        </w:tblPrEx>
        <w:trPr>
          <w:trHeight w:val="1701" w:hRule="atLeast"/>
        </w:trPr>
        <w:tc>
          <w:tcPr>
            <w:tcW w:w="8336" w:type="dxa"/>
            <w:tcBorders>
              <w:bottom w:val="single" w:color="auto" w:sz="4" w:space="0"/>
            </w:tcBorders>
            <w:tcMar>
              <w:top w:w="15" w:type="dxa"/>
              <w:left w:w="15" w:type="dxa"/>
              <w:bottom w:w="0" w:type="dxa"/>
              <w:right w:w="15" w:type="dxa"/>
            </w:tcMar>
          </w:tcPr>
          <w:p w14:paraId="089D0D3C">
            <w:pPr>
              <w:snapToGrid w:val="0"/>
              <w:spacing w:line="440" w:lineRule="exact"/>
              <w:rPr>
                <w:rFonts w:hint="eastAsia" w:ascii="楷体" w:hAnsi="楷体" w:eastAsia="楷体"/>
                <w:sz w:val="28"/>
                <w:szCs w:val="28"/>
              </w:rPr>
            </w:pPr>
          </w:p>
          <w:p w14:paraId="6E96545A">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3</w:t>
            </w:r>
            <w:r>
              <w:rPr>
                <w:rFonts w:hint="eastAsia" w:ascii="楷体" w:hAnsi="楷体" w:eastAsia="楷体" w:cs="楷体_GB2312"/>
                <w:sz w:val="28"/>
                <w:szCs w:val="28"/>
              </w:rPr>
              <w:t>．</w:t>
            </w:r>
            <w:r>
              <w:rPr>
                <w:rFonts w:hint="eastAsia" w:ascii="楷体" w:hAnsi="楷体" w:eastAsia="楷体" w:cs="楷体_GB2312"/>
                <w:b/>
                <w:bCs/>
                <w:sz w:val="28"/>
                <w:szCs w:val="28"/>
              </w:rPr>
              <w:t>工作条件</w:t>
            </w:r>
            <w:r>
              <w:rPr>
                <w:rFonts w:hint="eastAsia" w:ascii="楷体" w:hAnsi="楷体" w:eastAsia="楷体" w:cs="楷体_GB2312"/>
                <w:sz w:val="28"/>
                <w:szCs w:val="28"/>
              </w:rPr>
              <w:t>（建议200字以内）</w:t>
            </w:r>
          </w:p>
        </w:tc>
      </w:tr>
      <w:tr w14:paraId="692FDA5E">
        <w:tblPrEx>
          <w:tblCellMar>
            <w:top w:w="0" w:type="dxa"/>
            <w:left w:w="0" w:type="dxa"/>
            <w:bottom w:w="0" w:type="dxa"/>
            <w:right w:w="0" w:type="dxa"/>
          </w:tblCellMar>
        </w:tblPrEx>
        <w:trPr>
          <w:trHeight w:val="4316"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6D6F621">
            <w:pPr>
              <w:snapToGrid w:val="0"/>
              <w:spacing w:line="440" w:lineRule="exact"/>
              <w:ind w:firstLine="411" w:firstLineChars="196"/>
              <w:rPr>
                <w:rFonts w:hint="eastAsia" w:ascii="仿宋_GB2312" w:hAnsi="宋体" w:eastAsia="仿宋_GB2312"/>
                <w:szCs w:val="21"/>
              </w:rPr>
            </w:pPr>
          </w:p>
        </w:tc>
      </w:tr>
    </w:tbl>
    <w:p w14:paraId="5ACE1114">
      <w:pPr>
        <w:snapToGrid w:val="0"/>
        <w:spacing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B9A8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tcPr>
          <w:p w14:paraId="6FC7016B">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（三）</w:t>
            </w:r>
            <w:r>
              <w:rPr>
                <w:rFonts w:hint="eastAsia" w:ascii="楷体" w:hAnsi="楷体" w:eastAsia="楷体" w:cs="楷体_GB2312"/>
                <w:b/>
                <w:bCs/>
                <w:sz w:val="28"/>
                <w:szCs w:val="28"/>
              </w:rPr>
              <w:t>承担的与本项目相关的科研项目情况</w:t>
            </w:r>
          </w:p>
          <w:p w14:paraId="427D229C">
            <w:pPr>
              <w:rPr>
                <w:rFonts w:ascii="仿宋_GB2312" w:eastAsia="仿宋_GB2312"/>
                <w:color w:val="000000" w:themeColor="text1"/>
                <w:sz w:val="24"/>
                <w14:textFill>
                  <w14:solidFill>
                    <w14:schemeClr w14:val="tx1"/>
                  </w14:solidFill>
                </w14:textFill>
              </w:rPr>
            </w:pPr>
          </w:p>
        </w:tc>
      </w:tr>
      <w:tr w14:paraId="78964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9424EF">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指导教师曾经和正在承担和参加的省部级以上科研和教改项目情况</w:t>
            </w:r>
          </w:p>
        </w:tc>
        <w:tc>
          <w:tcPr>
            <w:tcW w:w="6575" w:type="dxa"/>
            <w:tcMar>
              <w:top w:w="15" w:type="dxa"/>
              <w:left w:w="15" w:type="dxa"/>
              <w:bottom w:w="0" w:type="dxa"/>
              <w:right w:w="15" w:type="dxa"/>
            </w:tcMar>
            <w:vAlign w:val="center"/>
          </w:tcPr>
          <w:p w14:paraId="76149E6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D8C4855">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格式：项目类别，批准号，名称，研究起止年月，获资助金额，项目状态（已结题或在研等），主持或参加</w:t>
            </w:r>
          </w:p>
          <w:p w14:paraId="5DBED23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例如：国家自然科学基金面上项目，</w:t>
            </w:r>
            <w:r>
              <w:rPr>
                <w:rFonts w:ascii="仿宋_GB2312" w:eastAsia="仿宋_GB2312"/>
                <w:color w:val="4472C4" w:themeColor="accent1"/>
                <w:sz w:val="24"/>
                <w14:textFill>
                  <w14:solidFill>
                    <w14:schemeClr w14:val="accent1"/>
                  </w14:solidFill>
                </w14:textFill>
              </w:rPr>
              <w:t>2</w:t>
            </w:r>
            <w:r>
              <w:rPr>
                <w:rFonts w:hint="eastAsia" w:ascii="仿宋_GB2312" w:eastAsia="仿宋_GB2312"/>
                <w:color w:val="4472C4" w:themeColor="accent1"/>
                <w:sz w:val="24"/>
                <w14:textFill>
                  <w14:solidFill>
                    <w14:schemeClr w14:val="accent1"/>
                  </w14:solidFill>
                </w14:textFill>
              </w:rPr>
              <w:t>17</w:t>
            </w:r>
            <w:r>
              <w:rPr>
                <w:rFonts w:ascii="仿宋_GB2312" w:eastAsia="仿宋_GB2312"/>
                <w:color w:val="4472C4" w:themeColor="accent1"/>
                <w:sz w:val="24"/>
                <w14:textFill>
                  <w14:solidFill>
                    <w14:schemeClr w14:val="accent1"/>
                  </w14:solidFill>
                </w14:textFill>
              </w:rPr>
              <w:t>73999</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000000" w:themeColor="text1"/>
                <w:sz w:val="24"/>
                <w14:textFill>
                  <w14:solidFill>
                    <w14:schemeClr w14:val="tx1"/>
                  </w14:solidFill>
                </w14:textFill>
              </w:rPr>
              <w:t>，</w:t>
            </w:r>
            <w:r>
              <w:rPr>
                <w:rFonts w:ascii="仿宋_GB2312" w:eastAsia="仿宋_GB2312"/>
                <w:color w:val="4472C4" w:themeColor="accent1"/>
                <w:sz w:val="24"/>
                <w14:textFill>
                  <w14:solidFill>
                    <w14:schemeClr w14:val="accent1"/>
                  </w14:solidFill>
                </w14:textFill>
              </w:rPr>
              <w:t>20</w:t>
            </w:r>
            <w:r>
              <w:rPr>
                <w:rFonts w:hint="eastAsia" w:ascii="仿宋_GB2312" w:eastAsia="仿宋_GB2312"/>
                <w:color w:val="4472C4" w:themeColor="accent1"/>
                <w:sz w:val="24"/>
                <w14:textFill>
                  <w14:solidFill>
                    <w14:schemeClr w14:val="accent1"/>
                  </w14:solidFill>
                </w14:textFill>
              </w:rPr>
              <w:t>1</w:t>
            </w:r>
            <w:r>
              <w:rPr>
                <w:rFonts w:ascii="仿宋_GB2312" w:eastAsia="仿宋_GB2312"/>
                <w:color w:val="4472C4" w:themeColor="accent1"/>
                <w:sz w:val="24"/>
                <w14:textFill>
                  <w14:solidFill>
                    <w14:schemeClr w14:val="accent1"/>
                  </w14:solidFill>
                </w14:textFill>
              </w:rPr>
              <w:t>8/01-20</w:t>
            </w:r>
            <w:r>
              <w:rPr>
                <w:rFonts w:hint="eastAsia" w:ascii="仿宋_GB2312" w:eastAsia="仿宋_GB2312"/>
                <w:color w:val="4472C4" w:themeColor="accent1"/>
                <w:sz w:val="24"/>
                <w14:textFill>
                  <w14:solidFill>
                    <w14:schemeClr w14:val="accent1"/>
                  </w14:solidFill>
                </w14:textFill>
              </w:rPr>
              <w:t>21</w:t>
            </w:r>
            <w:r>
              <w:rPr>
                <w:rFonts w:ascii="仿宋_GB2312" w:eastAsia="仿宋_GB2312"/>
                <w:color w:val="4472C4" w:themeColor="accent1"/>
                <w:sz w:val="24"/>
                <w14:textFill>
                  <w14:solidFill>
                    <w14:schemeClr w14:val="accent1"/>
                  </w14:solidFill>
                </w14:textFill>
              </w:rPr>
              <w:t>/12</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30</w:t>
            </w:r>
            <w:r>
              <w:rPr>
                <w:rFonts w:hint="eastAsia" w:ascii="仿宋_GB2312" w:eastAsia="仿宋_GB2312"/>
                <w:color w:val="4472C4" w:themeColor="accent1"/>
                <w:sz w:val="24"/>
                <w14:textFill>
                  <w14:solidFill>
                    <w14:schemeClr w14:val="accent1"/>
                  </w14:solidFill>
                </w14:textFill>
              </w:rPr>
              <w:t>万元，已结题，主持</w:t>
            </w:r>
          </w:p>
          <w:p w14:paraId="5FA06541">
            <w:pPr>
              <w:jc w:val="left"/>
              <w:rPr>
                <w:rFonts w:ascii="仿宋_GB2312" w:eastAsia="仿宋_GB2312"/>
                <w:color w:val="000000" w:themeColor="text1"/>
                <w:sz w:val="24"/>
                <w14:textFill>
                  <w14:solidFill>
                    <w14:schemeClr w14:val="tx1"/>
                  </w14:solidFill>
                </w14:textFill>
              </w:rPr>
            </w:pPr>
            <w:r>
              <w:rPr>
                <w:rFonts w:hint="eastAsia" w:ascii="仿宋_GB2312" w:eastAsia="仿宋_GB2312"/>
                <w:color w:val="4472C4" w:themeColor="accent1"/>
                <w:sz w:val="24"/>
                <w14:textFill>
                  <w14:solidFill>
                    <w14:schemeClr w14:val="accent1"/>
                  </w14:solidFill>
                </w14:textFill>
              </w:rPr>
              <w:t>2. ……</w:t>
            </w:r>
          </w:p>
        </w:tc>
      </w:tr>
      <w:tr w14:paraId="717E1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4867256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负责人之前参与</w:t>
            </w:r>
            <w:r>
              <w:rPr>
                <w:rFonts w:ascii="仿宋_GB2312" w:eastAsia="仿宋_GB2312"/>
                <w:color w:val="000000" w:themeColor="text1"/>
                <w:sz w:val="24"/>
                <w14:textFill>
                  <w14:solidFill>
                    <w14:schemeClr w14:val="tx1"/>
                  </w14:solidFill>
                </w14:textFill>
              </w:rPr>
              <w:t>大创项目情况</w:t>
            </w:r>
          </w:p>
        </w:tc>
        <w:tc>
          <w:tcPr>
            <w:tcW w:w="6575" w:type="dxa"/>
            <w:tcMar>
              <w:top w:w="15" w:type="dxa"/>
              <w:left w:w="15" w:type="dxa"/>
              <w:bottom w:w="0" w:type="dxa"/>
              <w:right w:w="15" w:type="dxa"/>
            </w:tcMar>
            <w:vAlign w:val="center"/>
          </w:tcPr>
          <w:p w14:paraId="16CDD72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CF2D4DF">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，项目类别</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59366C69">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r w14:paraId="660D4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4B08EC3">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w:t>
            </w:r>
            <w:r>
              <w:rPr>
                <w:rFonts w:ascii="仿宋_GB2312" w:eastAsia="仿宋_GB2312"/>
                <w:color w:val="000000" w:themeColor="text1"/>
                <w:sz w:val="24"/>
                <w14:textFill>
                  <w14:solidFill>
                    <w14:schemeClr w14:val="tx1"/>
                  </w14:solidFill>
                </w14:textFill>
              </w:rPr>
              <w:t>成员之前参与大创项目情况</w:t>
            </w:r>
          </w:p>
        </w:tc>
        <w:tc>
          <w:tcPr>
            <w:tcW w:w="6575" w:type="dxa"/>
            <w:tcMar>
              <w:top w:w="15" w:type="dxa"/>
              <w:left w:w="15" w:type="dxa"/>
              <w:bottom w:w="0" w:type="dxa"/>
              <w:right w:w="15" w:type="dxa"/>
            </w:tcMar>
            <w:vAlign w:val="center"/>
          </w:tcPr>
          <w:p w14:paraId="28E4301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姓名</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类别，</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01843908">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bl>
    <w:p w14:paraId="2EC9CC5C">
      <w:pPr>
        <w:snapToGrid w:val="0"/>
        <w:spacing w:after="156" w:afterLines="50"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9FD1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7730E53C">
            <w:pPr>
              <w:jc w:val="left"/>
              <w:rPr>
                <w:rFonts w:ascii="仿宋_GB2312" w:eastAsia="仿宋_GB2312"/>
                <w:color w:val="000000" w:themeColor="text1"/>
                <w:sz w:val="24"/>
                <w14:textFill>
                  <w14:solidFill>
                    <w14:schemeClr w14:val="tx1"/>
                  </w14:solidFill>
                </w14:textFill>
              </w:rPr>
            </w:pPr>
            <w:r>
              <w:rPr>
                <w:rFonts w:hint="eastAsia" w:ascii="楷体" w:hAnsi="楷体" w:eastAsia="楷体"/>
                <w:sz w:val="28"/>
                <w:szCs w:val="28"/>
              </w:rPr>
              <w:t>（四）</w:t>
            </w:r>
            <w:r>
              <w:rPr>
                <w:rFonts w:hint="eastAsia" w:ascii="楷体" w:hAnsi="楷体" w:eastAsia="楷体" w:cs="楷体_GB2312"/>
                <w:b/>
                <w:bCs/>
                <w:sz w:val="28"/>
                <w:szCs w:val="28"/>
              </w:rPr>
              <w:t>完成大创项目情况</w:t>
            </w:r>
            <w:r>
              <w:rPr>
                <w:rFonts w:hint="eastAsia" w:ascii="楷体" w:hAnsi="楷体" w:eastAsia="楷体" w:cs="楷体_GB2312"/>
                <w:sz w:val="28"/>
                <w:szCs w:val="28"/>
              </w:rPr>
              <w:t>（对负责人负责的前一个大创（项目名称及编号）完成情况、后续研究进展及与本申请项目的关系加以详细说明。另附该已结题项目研究工作总结摘要和创新点（限</w:t>
            </w:r>
            <w:r>
              <w:rPr>
                <w:rFonts w:hint="eastAsia" w:ascii="楷体" w:hAnsi="楷体" w:eastAsia="楷体"/>
                <w:sz w:val="28"/>
                <w:szCs w:val="28"/>
              </w:rPr>
              <w:t>2</w:t>
            </w:r>
            <w:r>
              <w:rPr>
                <w:rFonts w:ascii="楷体" w:hAnsi="楷体" w:eastAsia="楷体"/>
                <w:sz w:val="28"/>
                <w:szCs w:val="28"/>
              </w:rPr>
              <w:t>00</w:t>
            </w:r>
            <w:r>
              <w:rPr>
                <w:rFonts w:hint="eastAsia" w:ascii="楷体" w:hAnsi="楷体" w:eastAsia="楷体" w:cs="楷体_GB2312"/>
                <w:sz w:val="28"/>
                <w:szCs w:val="28"/>
              </w:rPr>
              <w:t>字）和相关成果的详细目录。未承担过的写“无”）。</w:t>
            </w:r>
          </w:p>
        </w:tc>
      </w:tr>
      <w:tr w14:paraId="2D5CB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1E28C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项目名称及编号</w:t>
            </w:r>
          </w:p>
        </w:tc>
        <w:tc>
          <w:tcPr>
            <w:tcW w:w="6575" w:type="dxa"/>
            <w:tcMar>
              <w:top w:w="15" w:type="dxa"/>
              <w:left w:w="15" w:type="dxa"/>
              <w:bottom w:w="0" w:type="dxa"/>
              <w:right w:w="15" w:type="dxa"/>
            </w:tcMar>
            <w:vAlign w:val="center"/>
          </w:tcPr>
          <w:p w14:paraId="72EDAA14">
            <w:pPr>
              <w:jc w:val="left"/>
              <w:rPr>
                <w:rFonts w:ascii="仿宋_GB2312" w:eastAsia="仿宋_GB2312"/>
                <w:color w:val="000000" w:themeColor="text1"/>
                <w:sz w:val="24"/>
                <w14:textFill>
                  <w14:solidFill>
                    <w14:schemeClr w14:val="tx1"/>
                  </w14:solidFill>
                </w14:textFill>
              </w:rPr>
            </w:pPr>
          </w:p>
        </w:tc>
      </w:tr>
      <w:tr w14:paraId="36296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5341511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完成情况与后续研究进展</w:t>
            </w:r>
          </w:p>
        </w:tc>
        <w:tc>
          <w:tcPr>
            <w:tcW w:w="6575" w:type="dxa"/>
            <w:tcMar>
              <w:top w:w="15" w:type="dxa"/>
              <w:left w:w="15" w:type="dxa"/>
              <w:bottom w:w="0" w:type="dxa"/>
              <w:right w:w="15" w:type="dxa"/>
            </w:tcMar>
            <w:vAlign w:val="center"/>
          </w:tcPr>
          <w:p w14:paraId="330EBF99">
            <w:pPr>
              <w:jc w:val="left"/>
              <w:rPr>
                <w:rFonts w:ascii="仿宋_GB2312" w:eastAsia="仿宋_GB2312"/>
                <w:color w:val="000000" w:themeColor="text1"/>
                <w:sz w:val="24"/>
                <w14:textFill>
                  <w14:solidFill>
                    <w14:schemeClr w14:val="tx1"/>
                  </w14:solidFill>
                </w14:textFill>
              </w:rPr>
            </w:pPr>
          </w:p>
        </w:tc>
      </w:tr>
      <w:tr w14:paraId="37FDE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46" w:hRule="atLeast"/>
        </w:trPr>
        <w:tc>
          <w:tcPr>
            <w:tcW w:w="1720" w:type="dxa"/>
            <w:tcMar>
              <w:top w:w="15" w:type="dxa"/>
              <w:left w:w="15" w:type="dxa"/>
              <w:bottom w:w="0" w:type="dxa"/>
              <w:right w:w="15" w:type="dxa"/>
            </w:tcMar>
            <w:vAlign w:val="center"/>
          </w:tcPr>
          <w:p w14:paraId="6291DD1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与本申请项目的关系</w:t>
            </w:r>
          </w:p>
        </w:tc>
        <w:tc>
          <w:tcPr>
            <w:tcW w:w="6575" w:type="dxa"/>
            <w:tcMar>
              <w:top w:w="15" w:type="dxa"/>
              <w:left w:w="15" w:type="dxa"/>
              <w:bottom w:w="0" w:type="dxa"/>
              <w:right w:w="15" w:type="dxa"/>
            </w:tcMar>
            <w:vAlign w:val="center"/>
          </w:tcPr>
          <w:p w14:paraId="0C80DE35">
            <w:pPr>
              <w:jc w:val="left"/>
              <w:rPr>
                <w:rFonts w:ascii="仿宋_GB2312" w:eastAsia="仿宋_GB2312"/>
                <w:color w:val="000000" w:themeColor="text1"/>
                <w:sz w:val="24"/>
                <w14:textFill>
                  <w14:solidFill>
                    <w14:schemeClr w14:val="tx1"/>
                  </w14:solidFill>
                </w14:textFill>
              </w:rPr>
            </w:pPr>
          </w:p>
        </w:tc>
      </w:tr>
      <w:tr w14:paraId="260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539" w:hRule="atLeast"/>
        </w:trPr>
        <w:tc>
          <w:tcPr>
            <w:tcW w:w="1720" w:type="dxa"/>
            <w:tcMar>
              <w:top w:w="15" w:type="dxa"/>
              <w:left w:w="15" w:type="dxa"/>
              <w:bottom w:w="0" w:type="dxa"/>
              <w:right w:w="15" w:type="dxa"/>
            </w:tcMar>
            <w:vAlign w:val="center"/>
          </w:tcPr>
          <w:p w14:paraId="0E45C34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工作总结摘要及创新点</w:t>
            </w:r>
          </w:p>
        </w:tc>
        <w:tc>
          <w:tcPr>
            <w:tcW w:w="6575" w:type="dxa"/>
            <w:tcMar>
              <w:top w:w="15" w:type="dxa"/>
              <w:left w:w="15" w:type="dxa"/>
              <w:bottom w:w="0" w:type="dxa"/>
              <w:right w:w="15" w:type="dxa"/>
            </w:tcMar>
            <w:vAlign w:val="center"/>
          </w:tcPr>
          <w:p w14:paraId="323B1BAC">
            <w:pPr>
              <w:jc w:val="left"/>
              <w:rPr>
                <w:rFonts w:ascii="仿宋_GB2312" w:eastAsia="仿宋_GB2312"/>
                <w:color w:val="000000" w:themeColor="text1"/>
                <w:sz w:val="24"/>
                <w14:textFill>
                  <w14:solidFill>
                    <w14:schemeClr w14:val="tx1"/>
                  </w14:solidFill>
                </w14:textFill>
              </w:rPr>
            </w:pPr>
          </w:p>
        </w:tc>
      </w:tr>
    </w:tbl>
    <w:p w14:paraId="6211EF98">
      <w:pPr>
        <w:spacing w:before="156" w:beforeLines="50"/>
        <w:rPr>
          <w:rFonts w:hint="eastAsia" w:ascii="楷体" w:hAnsi="楷体" w:eastAsia="楷体" w:cs="宋体"/>
          <w:b/>
          <w:bCs/>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1308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78521AD3">
            <w:pPr>
              <w:jc w:val="left"/>
              <w:rPr>
                <w:rFonts w:hint="eastAsia" w:ascii="楷体" w:hAnsi="楷体" w:eastAsia="楷体" w:cs="楷体_GB2312"/>
                <w:b/>
                <w:bCs/>
                <w:sz w:val="28"/>
                <w:szCs w:val="28"/>
              </w:rPr>
            </w:pPr>
            <w:r>
              <w:rPr>
                <w:rFonts w:hint="eastAsia" w:ascii="楷体" w:hAnsi="楷体" w:eastAsia="楷体" w:cs="楷体_GB2312"/>
                <w:b/>
                <w:bCs/>
                <w:sz w:val="28"/>
                <w:szCs w:val="28"/>
              </w:rPr>
              <w:t>（五）申请人成果和奖励情况</w:t>
            </w:r>
          </w:p>
          <w:p w14:paraId="2E56C477">
            <w:pPr>
              <w:jc w:val="left"/>
              <w:rPr>
                <w:rFonts w:ascii="仿宋_GB2312" w:eastAsia="仿宋_GB2312"/>
                <w:color w:val="000000" w:themeColor="text1"/>
                <w:sz w:val="28"/>
                <w:szCs w:val="28"/>
                <w14:textFill>
                  <w14:solidFill>
                    <w14:schemeClr w14:val="tx1"/>
                  </w14:solidFill>
                </w14:textFill>
              </w:rPr>
            </w:pPr>
            <w:r>
              <w:rPr>
                <w:rFonts w:hint="eastAsia" w:ascii="楷体" w:hAnsi="楷体" w:eastAsia="楷体" w:cs="宋体"/>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hAnsi="楷体" w:eastAsia="楷体" w:cs="宋体"/>
              </w:rPr>
              <w:t>/</w:t>
            </w:r>
            <w:r>
              <w:rPr>
                <w:rFonts w:hint="eastAsia" w:ascii="楷体" w:hAnsi="楷体" w:eastAsia="楷体" w:cs="宋体"/>
              </w:rPr>
              <w:t>通讯作者情况：所有共同第一作者均加注上标“</w:t>
            </w:r>
            <w:r>
              <w:rPr>
                <w:rFonts w:ascii="楷体" w:hAnsi="楷体" w:eastAsia="楷体" w:cs="宋体"/>
              </w:rPr>
              <w:t>#</w:t>
            </w:r>
            <w:r>
              <w:rPr>
                <w:rFonts w:hint="eastAsia" w:ascii="楷体" w:hAnsi="楷体" w:eastAsia="楷体" w:cs="宋体"/>
              </w:rPr>
              <w:t>”字样，通讯作者及共同通讯作者均加注上标“</w:t>
            </w:r>
            <w:r>
              <w:rPr>
                <w:rFonts w:ascii="楷体" w:hAnsi="楷体" w:eastAsia="楷体" w:cs="宋体"/>
              </w:rPr>
              <w:t>*</w:t>
            </w:r>
            <w:r>
              <w:rPr>
                <w:rFonts w:hint="eastAsia" w:ascii="楷体" w:hAnsi="楷体" w:eastAsia="楷体" w:cs="宋体"/>
              </w:rPr>
              <w:t>”字样，唯一第一作者且非通讯作者无需加注；⑤所有代表性研究成果和学术奖励中本人姓名加粗显示。）</w:t>
            </w:r>
          </w:p>
          <w:p w14:paraId="137EA2EF">
            <w:pPr>
              <w:spacing w:line="440" w:lineRule="atLeast"/>
              <w:rPr>
                <w:rFonts w:hint="eastAsia" w:ascii="楷体" w:hAnsi="楷体" w:eastAsia="楷体" w:cs="宋体"/>
                <w:b/>
                <w:bCs/>
                <w:color w:val="0070C0"/>
              </w:rPr>
            </w:pPr>
          </w:p>
        </w:tc>
      </w:tr>
      <w:tr w14:paraId="0B4A0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42FF316C">
            <w:pPr>
              <w:spacing w:before="156" w:beforeLines="50"/>
              <w:rPr>
                <w:rFonts w:hint="eastAsia" w:ascii="楷体" w:hAnsi="楷体" w:eastAsia="楷体" w:cs="宋体"/>
                <w:b/>
                <w:bCs/>
                <w:sz w:val="28"/>
                <w:szCs w:val="28"/>
              </w:rPr>
            </w:pPr>
            <w:r>
              <w:rPr>
                <w:rFonts w:hint="eastAsia" w:ascii="楷体" w:hAnsi="楷体" w:eastAsia="楷体" w:cs="宋体"/>
                <w:b/>
                <w:bCs/>
                <w:sz w:val="28"/>
                <w:szCs w:val="28"/>
              </w:rPr>
              <w:t>1.</w:t>
            </w:r>
            <w:r>
              <w:rPr>
                <w:rFonts w:ascii="楷体" w:hAnsi="楷体" w:eastAsia="楷体" w:cs="宋体"/>
                <w:b/>
                <w:bCs/>
                <w:sz w:val="28"/>
                <w:szCs w:val="28"/>
              </w:rPr>
              <w:t>代表性</w:t>
            </w:r>
            <w:r>
              <w:rPr>
                <w:rFonts w:hint="eastAsia" w:ascii="楷体" w:hAnsi="楷体" w:eastAsia="楷体" w:cs="宋体"/>
                <w:b/>
                <w:bCs/>
                <w:sz w:val="28"/>
                <w:szCs w:val="28"/>
              </w:rPr>
              <w:t>成果（</w:t>
            </w:r>
            <w:r>
              <w:rPr>
                <w:rFonts w:hint="eastAsia" w:ascii="楷体" w:hAnsi="楷体" w:eastAsia="楷体" w:cs="宋体"/>
                <w:sz w:val="28"/>
                <w:szCs w:val="28"/>
              </w:rPr>
              <w:t>包括论文、专利、专著、科创竞赛获奖、学术交流活动、奖学金等，限合计</w:t>
            </w:r>
            <w:r>
              <w:rPr>
                <w:rFonts w:ascii="楷体" w:hAnsi="楷体" w:eastAsia="楷体" w:cs="宋体"/>
                <w:sz w:val="28"/>
                <w:szCs w:val="28"/>
              </w:rPr>
              <w:t>5项</w:t>
            </w:r>
            <w:r>
              <w:rPr>
                <w:rFonts w:hint="eastAsia" w:ascii="楷体" w:hAnsi="楷体" w:eastAsia="楷体" w:cs="宋体"/>
                <w:b/>
                <w:bCs/>
                <w:sz w:val="28"/>
                <w:szCs w:val="28"/>
              </w:rPr>
              <w:t>）</w:t>
            </w:r>
          </w:p>
        </w:tc>
      </w:tr>
      <w:tr w14:paraId="2071E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5F8D79C">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论文</w:t>
            </w:r>
          </w:p>
        </w:tc>
        <w:tc>
          <w:tcPr>
            <w:tcW w:w="6575" w:type="dxa"/>
            <w:tcMar>
              <w:top w:w="15" w:type="dxa"/>
              <w:left w:w="15" w:type="dxa"/>
              <w:bottom w:w="0" w:type="dxa"/>
              <w:right w:w="15" w:type="dxa"/>
            </w:tcMar>
            <w:vAlign w:val="center"/>
          </w:tcPr>
          <w:p w14:paraId="2CC6E753">
            <w:pPr>
              <w:spacing w:line="440" w:lineRule="atLeast"/>
              <w:ind w:firstLine="402" w:firstLineChars="200"/>
              <w:outlineLvl w:val="0"/>
              <w:rPr>
                <w:rFonts w:hint="eastAsia" w:ascii="楷体" w:hAnsi="楷体" w:eastAsia="楷体" w:cs="宋体"/>
                <w:b/>
                <w:bCs/>
                <w:color w:val="4472C4" w:themeColor="accent1"/>
                <w:sz w:val="20"/>
                <w14:textFill>
                  <w14:solidFill>
                    <w14:schemeClr w14:val="accent1"/>
                  </w14:solidFill>
                </w14:textFill>
              </w:rPr>
            </w:pPr>
            <w:r>
              <w:rPr>
                <w:rFonts w:hint="eastAsia" w:ascii="楷体" w:hAnsi="楷体" w:eastAsia="楷体" w:cs="宋体"/>
                <w:b/>
                <w:bCs/>
                <w:color w:val="4472C4" w:themeColor="accent1"/>
                <w:sz w:val="20"/>
                <w14:textFill>
                  <w14:solidFill>
                    <w14:schemeClr w14:val="accent1"/>
                  </w14:solidFill>
                </w14:textFill>
              </w:rPr>
              <w:t>期刊论文</w:t>
            </w:r>
          </w:p>
          <w:p w14:paraId="4C1A989D">
            <w:pPr>
              <w:spacing w:line="440" w:lineRule="atLeast"/>
              <w:ind w:firstLine="440" w:firstLineChars="200"/>
              <w:rPr>
                <w:rFonts w:hint="eastAsia" w:ascii="宋体" w:hAnsi="宋体" w:cs="宋体"/>
                <w:bCs/>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p>
          <w:p w14:paraId="0A0A0F6B">
            <w:pPr>
              <w:spacing w:line="440" w:lineRule="atLeast"/>
              <w:ind w:firstLine="440" w:firstLineChars="200"/>
              <w:rPr>
                <w:rFonts w:hint="eastAsia" w:hAnsi="宋体"/>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hAnsi="宋体"/>
                <w:b/>
                <w:color w:val="4472C4" w:themeColor="accent1"/>
                <w:sz w:val="22"/>
                <w14:textFill>
                  <w14:solidFill>
                    <w14:schemeClr w14:val="accent1"/>
                  </w14:solidFill>
                </w14:textFill>
              </w:rPr>
              <w:t>冯建涛</w:t>
            </w:r>
            <w:r>
              <w:rPr>
                <w:rFonts w:hint="eastAsia" w:hAnsi="宋体"/>
                <w:color w:val="4472C4" w:themeColor="accent1"/>
                <w:sz w:val="22"/>
                <w14:textFill>
                  <w14:solidFill>
                    <w14:schemeClr w14:val="accent1"/>
                  </w14:solidFill>
                </w14:textFill>
              </w:rPr>
              <w:t>，陈海峰，李良超</w:t>
            </w:r>
            <w:r>
              <w:rPr>
                <w:rFonts w:hAnsi="宋体"/>
                <w:color w:val="4472C4" w:themeColor="accent1"/>
                <w:sz w:val="22"/>
                <w:vertAlign w:val="superscript"/>
                <w14:textFill>
                  <w14:solidFill>
                    <w14:schemeClr w14:val="accent1"/>
                  </w14:solidFill>
                </w14:textFill>
              </w:rPr>
              <w:t>*</w:t>
            </w:r>
            <w:r>
              <w:rPr>
                <w:rFonts w:hint="eastAsia" w:hAnsi="宋体"/>
                <w:color w:val="4472C4" w:themeColor="accent1"/>
                <w:sz w:val="22"/>
                <w14:textFill>
                  <w14:solidFill>
                    <w14:schemeClr w14:val="accent1"/>
                  </w14:solidFill>
                </w14:textFill>
              </w:rPr>
              <w:t>，</w:t>
            </w:r>
            <w:r>
              <w:rPr>
                <w:rFonts w:hAnsi="宋体"/>
                <w:color w:val="4472C4" w:themeColor="accent1"/>
                <w:sz w:val="22"/>
                <w14:textFill>
                  <w14:solidFill>
                    <w14:schemeClr w14:val="accent1"/>
                  </w14:solidFill>
                </w14:textFill>
              </w:rPr>
              <w:t>ZnTi</w:t>
            </w:r>
            <w:r>
              <w:rPr>
                <w:rFonts w:hAnsi="宋体"/>
                <w:color w:val="4472C4" w:themeColor="accent1"/>
                <w:sz w:val="22"/>
                <w:vertAlign w:val="subscript"/>
                <w14:textFill>
                  <w14:solidFill>
                    <w14:schemeClr w14:val="accent1"/>
                  </w14:solidFill>
                </w14:textFill>
              </w:rPr>
              <w:t>0.6</w:t>
            </w:r>
            <w:r>
              <w:rPr>
                <w:rFonts w:hAnsi="宋体"/>
                <w:color w:val="4472C4" w:themeColor="accent1"/>
                <w:sz w:val="22"/>
                <w14:textFill>
                  <w14:solidFill>
                    <w14:schemeClr w14:val="accent1"/>
                  </w14:solidFill>
                </w14:textFill>
              </w:rPr>
              <w:t>Fe</w:t>
            </w:r>
            <w:r>
              <w:rPr>
                <w:rFonts w:hAnsi="宋体"/>
                <w:color w:val="4472C4" w:themeColor="accent1"/>
                <w:sz w:val="22"/>
                <w:vertAlign w:val="subscript"/>
                <w14:textFill>
                  <w14:solidFill>
                    <w14:schemeClr w14:val="accent1"/>
                  </w14:solidFill>
                </w14:textFill>
              </w:rPr>
              <w:t>1.4</w:t>
            </w:r>
            <w:r>
              <w:rPr>
                <w:rFonts w:hAnsi="宋体"/>
                <w:color w:val="4472C4" w:themeColor="accent1"/>
                <w:sz w:val="22"/>
                <w14:textFill>
                  <w14:solidFill>
                    <w14:schemeClr w14:val="accent1"/>
                  </w14:solidFill>
                </w14:textFill>
              </w:rPr>
              <w:t>O</w:t>
            </w:r>
            <w:r>
              <w:rPr>
                <w:rFonts w:hAnsi="宋体"/>
                <w:color w:val="4472C4" w:themeColor="accent1"/>
                <w:sz w:val="22"/>
                <w:vertAlign w:val="subscript"/>
                <w14:textFill>
                  <w14:solidFill>
                    <w14:schemeClr w14:val="accent1"/>
                  </w14:solidFill>
                </w14:textFill>
              </w:rPr>
              <w:t>4</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膨胀石墨复合物对污染物的吸附</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光催化降解活性，中国科学：化学，</w:t>
            </w:r>
            <w:r>
              <w:rPr>
                <w:rFonts w:hAnsi="宋体"/>
                <w:color w:val="4472C4" w:themeColor="accent1"/>
                <w:sz w:val="22"/>
                <w14:textFill>
                  <w14:solidFill>
                    <w14:schemeClr w14:val="accent1"/>
                  </w14:solidFill>
                </w14:textFill>
              </w:rPr>
              <w:t>201</w:t>
            </w:r>
            <w:r>
              <w:rPr>
                <w:rFonts w:hint="eastAsia" w:hAnsi="宋体"/>
                <w:color w:val="4472C4" w:themeColor="accent1"/>
                <w:sz w:val="22"/>
                <w14:textFill>
                  <w14:solidFill>
                    <w14:schemeClr w14:val="accent1"/>
                  </w14:solidFill>
                </w14:textFill>
              </w:rPr>
              <w:t>5，45（10）：</w:t>
            </w:r>
            <w:r>
              <w:rPr>
                <w:rFonts w:hAnsi="宋体"/>
                <w:color w:val="4472C4" w:themeColor="accent1"/>
                <w:sz w:val="22"/>
                <w14:textFill>
                  <w14:solidFill>
                    <w14:schemeClr w14:val="accent1"/>
                  </w14:solidFill>
                </w14:textFill>
              </w:rPr>
              <w:t>1075 ~ 1088</w:t>
            </w:r>
          </w:p>
          <w:p w14:paraId="42716960">
            <w:pPr>
              <w:spacing w:line="440" w:lineRule="atLeast"/>
              <w:ind w:firstLine="440" w:firstLineChars="200"/>
              <w:rPr>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Liming Tan</w:t>
            </w:r>
            <w:r>
              <w:rPr>
                <w:b/>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Kelvin Xi Zhang</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Matthew Y. Pecot, Sonal Nagarkar-Jaiswal, Pei-Tseng Lee, Shin-ya Takemura, Jason M. McEwen, Aljoscha Nern, Shuwa Xu, Wael Tadros, Zhenqing Chen, Kai Zinn, Hugo J. Bellen, Marta Morey</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S. Lawrence Zipursky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Ig Superfamily Ligand and Receptor Pairs Expressed in Synaptic Partners in Drosophila</w:t>
            </w:r>
            <w:r>
              <w:rPr>
                <w:rFonts w:hint="eastAsia"/>
                <w:color w:val="4472C4" w:themeColor="accent1"/>
                <w:sz w:val="22"/>
                <w14:textFill>
                  <w14:solidFill>
                    <w14:schemeClr w14:val="accent1"/>
                  </w14:solidFill>
                </w14:textFill>
              </w:rPr>
              <w:t>, Cell, 2015, 163(7): 1756-1769</w:t>
            </w:r>
          </w:p>
          <w:p w14:paraId="54309958">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会议论文</w:t>
            </w:r>
          </w:p>
          <w:p w14:paraId="1934FC12">
            <w:pPr>
              <w:spacing w:after="48" w:line="440" w:lineRule="atLeast"/>
              <w:ind w:firstLine="440" w:firstLineChars="200"/>
              <w:rPr>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r>
              <w:rPr>
                <w:b/>
                <w:color w:val="4472C4" w:themeColor="accent1"/>
                <w:sz w:val="22"/>
                <w14:textFill>
                  <w14:solidFill>
                    <w14:schemeClr w14:val="accent1"/>
                  </w14:solidFill>
                </w14:textFill>
              </w:rPr>
              <w:t>Lou 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Zhang H.</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Wu W.</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Hu Z.</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Magic view: An optimized ultra-large scientific image viewer for SAGE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tiled-display environment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9th IEEE International Conference on e-Science, e-Science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2013</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Beijing</w:t>
            </w:r>
            <w:r>
              <w:rPr>
                <w:rFonts w:hint="eastAsia"/>
                <w:color w:val="4472C4" w:themeColor="accent1"/>
                <w:sz w:val="22"/>
                <w14:textFill>
                  <w14:solidFill>
                    <w14:schemeClr w14:val="accent1"/>
                  </w14:solidFill>
                </w14:textFill>
              </w:rPr>
              <w:t>, P.R. China, 2013.</w:t>
            </w:r>
            <w:r>
              <w:rPr>
                <w:color w:val="4472C4" w:themeColor="accent1"/>
                <w:sz w:val="22"/>
                <w14:textFill>
                  <w14:solidFill>
                    <w14:schemeClr w14:val="accent1"/>
                  </w14:solidFill>
                </w14:textFill>
              </w:rPr>
              <w:t>10.22-10.25</w:t>
            </w:r>
          </w:p>
          <w:p w14:paraId="17C4E978">
            <w:pPr>
              <w:spacing w:after="48" w:line="440" w:lineRule="atLeast"/>
              <w:ind w:firstLine="480" w:firstLineChars="200"/>
              <w:rPr>
                <w:rFonts w:ascii="仿宋_GB2312" w:eastAsia="仿宋_GB2312"/>
                <w:color w:val="4472C4" w:themeColor="accent1"/>
                <w:sz w:val="24"/>
                <w14:textFill>
                  <w14:solidFill>
                    <w14:schemeClr w14:val="accent1"/>
                  </w14:solidFill>
                </w14:textFill>
              </w:rPr>
            </w:pPr>
          </w:p>
        </w:tc>
      </w:tr>
      <w:tr w14:paraId="1E2D6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334F46D">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专利</w:t>
            </w:r>
          </w:p>
        </w:tc>
        <w:tc>
          <w:tcPr>
            <w:tcW w:w="6575" w:type="dxa"/>
            <w:tcMar>
              <w:top w:w="15" w:type="dxa"/>
              <w:left w:w="15" w:type="dxa"/>
              <w:bottom w:w="0" w:type="dxa"/>
              <w:right w:w="15" w:type="dxa"/>
            </w:tcMar>
            <w:vAlign w:val="center"/>
          </w:tcPr>
          <w:p w14:paraId="082BC7F1">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授权发明专利</w:t>
            </w:r>
          </w:p>
          <w:p w14:paraId="2F0CEFE6">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格式：发明人，专利名称，授权时间，国别，专利号</w:t>
            </w:r>
          </w:p>
          <w:p w14:paraId="79103E75">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王凡</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 xml:space="preserve"> </w:t>
            </w:r>
            <w:r>
              <w:rPr>
                <w:rStyle w:val="23"/>
                <w:color w:val="4472C4" w:themeColor="accent1"/>
                <w:sz w:val="22"/>
                <w14:textFill>
                  <w14:solidFill>
                    <w14:schemeClr w14:val="accent1"/>
                  </w14:solidFill>
                </w14:textFill>
              </w:rPr>
              <w:t>一种改善营养性贫血的</w:t>
            </w:r>
            <w:r>
              <w:rPr>
                <w:rStyle w:val="24"/>
                <w:color w:val="4472C4" w:themeColor="accent1"/>
                <w:sz w:val="22"/>
                <w14:textFill>
                  <w14:solidFill>
                    <w14:schemeClr w14:val="accent1"/>
                  </w14:solidFill>
                </w14:textFill>
              </w:rPr>
              <w:t>中药组合物及其制备方法</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4</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11.1</w:t>
            </w:r>
            <w:r>
              <w:rPr>
                <w:rFonts w:ascii="宋体" w:hAnsi="宋体" w:cs="楷体_GB2312"/>
                <w:color w:val="4472C4" w:themeColor="accent1"/>
                <w:sz w:val="22"/>
                <w14:textFill>
                  <w14:solidFill>
                    <w14:schemeClr w14:val="accent1"/>
                  </w14:solidFill>
                </w14:textFill>
              </w:rPr>
              <w:t>9</w:t>
            </w:r>
            <w:r>
              <w:rPr>
                <w:rFonts w:hint="eastAsia" w:ascii="宋体" w:hAnsi="宋体" w:cs="楷体_GB2312"/>
                <w:color w:val="4472C4" w:themeColor="accent1"/>
                <w:sz w:val="22"/>
                <w14:textFill>
                  <w14:solidFill>
                    <w14:schemeClr w14:val="accent1"/>
                  </w14:solidFill>
                </w14:textFill>
              </w:rPr>
              <w:t>，中国，ZL201210020610.9</w:t>
            </w:r>
          </w:p>
          <w:p w14:paraId="1BFFD755">
            <w:pPr>
              <w:snapToGrid w:val="0"/>
              <w:spacing w:after="62" w:afterLines="20" w:line="440" w:lineRule="exact"/>
              <w:ind w:firstLine="480" w:firstLineChars="200"/>
              <w:rPr>
                <w:rFonts w:ascii="仿宋_GB2312" w:eastAsia="仿宋_GB2312"/>
                <w:color w:val="4472C4" w:themeColor="accent1"/>
                <w:sz w:val="24"/>
                <w14:textFill>
                  <w14:solidFill>
                    <w14:schemeClr w14:val="accent1"/>
                  </w14:solidFill>
                </w14:textFill>
              </w:rPr>
            </w:pPr>
          </w:p>
        </w:tc>
      </w:tr>
      <w:tr w14:paraId="56002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A3BB03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专著</w:t>
            </w:r>
          </w:p>
        </w:tc>
        <w:tc>
          <w:tcPr>
            <w:tcW w:w="6575" w:type="dxa"/>
            <w:tcMar>
              <w:top w:w="15" w:type="dxa"/>
              <w:left w:w="15" w:type="dxa"/>
              <w:bottom w:w="0" w:type="dxa"/>
              <w:right w:w="15" w:type="dxa"/>
            </w:tcMar>
            <w:vAlign w:val="center"/>
          </w:tcPr>
          <w:p w14:paraId="473B5042">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专著</w:t>
            </w:r>
          </w:p>
          <w:p w14:paraId="2FF5C247">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格式：所有作者，专著名称（章节标题），出版社</w:t>
            </w:r>
            <w:r>
              <w:rPr>
                <w:rFonts w:ascii="宋体" w:hAnsi="宋体" w:cs="楷体_GB2312"/>
                <w:color w:val="4472C4" w:themeColor="accent1"/>
                <w:sz w:val="22"/>
                <w14:textFill>
                  <w14:solidFill>
                    <w14:schemeClr w14:val="accent1"/>
                  </w14:solidFill>
                </w14:textFill>
              </w:rPr>
              <w:t xml:space="preserve">, </w:t>
            </w:r>
            <w:r>
              <w:rPr>
                <w:rFonts w:hint="eastAsia" w:ascii="宋体" w:hAnsi="宋体" w:cs="楷体_GB2312"/>
                <w:color w:val="4472C4" w:themeColor="accent1"/>
                <w:sz w:val="22"/>
                <w14:textFill>
                  <w14:solidFill>
                    <w14:schemeClr w14:val="accent1"/>
                  </w14:solidFill>
                </w14:textFill>
              </w:rPr>
              <w:t>总字数，出版年份。</w:t>
            </w:r>
          </w:p>
          <w:p w14:paraId="758ED100">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示例：许智宏，</w:t>
            </w:r>
            <w:r>
              <w:rPr>
                <w:rFonts w:hint="eastAsia" w:ascii="宋体" w:hAnsi="宋体" w:cs="楷体_GB2312"/>
                <w:b/>
                <w:color w:val="4472C4" w:themeColor="accent1"/>
                <w:sz w:val="22"/>
                <w14:textFill>
                  <w14:solidFill>
                    <w14:schemeClr w14:val="accent1"/>
                  </w14:solidFill>
                </w14:textFill>
              </w:rPr>
              <w:t>种康</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植物细胞分化与器官发生</w:t>
            </w:r>
            <w:r>
              <w:rPr>
                <w:rFonts w:hint="eastAsia" w:ascii="宋体" w:hAnsi="宋体" w:cs="楷体_GB2312"/>
                <w:color w:val="4472C4" w:themeColor="accent1"/>
                <w:sz w:val="22"/>
                <w14:textFill>
                  <w14:solidFill>
                    <w14:schemeClr w14:val="accent1"/>
                  </w14:solidFill>
                </w14:textFill>
              </w:rPr>
              <w:t>，科学出版社，420千字，</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5</w:t>
            </w:r>
          </w:p>
          <w:p w14:paraId="65F5BDC2">
            <w:pPr>
              <w:snapToGrid w:val="0"/>
              <w:spacing w:after="62" w:afterLines="20" w:line="440" w:lineRule="exact"/>
              <w:ind w:firstLine="480" w:firstLineChars="200"/>
              <w:rPr>
                <w:rFonts w:ascii="仿宋_GB2312" w:eastAsia="仿宋_GB2312"/>
                <w:color w:val="000000" w:themeColor="text1"/>
                <w:sz w:val="24"/>
                <w14:textFill>
                  <w14:solidFill>
                    <w14:schemeClr w14:val="tx1"/>
                  </w14:solidFill>
                </w14:textFill>
              </w:rPr>
            </w:pPr>
          </w:p>
        </w:tc>
      </w:tr>
      <w:tr w14:paraId="73AF9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01F4FB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科创竞赛获奖</w:t>
            </w:r>
          </w:p>
        </w:tc>
        <w:tc>
          <w:tcPr>
            <w:tcW w:w="6575" w:type="dxa"/>
            <w:tcMar>
              <w:top w:w="15" w:type="dxa"/>
              <w:left w:w="15" w:type="dxa"/>
              <w:bottom w:w="0" w:type="dxa"/>
              <w:right w:w="15" w:type="dxa"/>
            </w:tcMar>
            <w:vAlign w:val="center"/>
          </w:tcPr>
          <w:p w14:paraId="1EEB1BBC">
            <w:pPr>
              <w:jc w:val="left"/>
              <w:rPr>
                <w:rFonts w:ascii="仿宋_GB2312" w:eastAsia="仿宋_GB2312"/>
                <w:color w:val="000000" w:themeColor="text1"/>
                <w:sz w:val="24"/>
                <w14:textFill>
                  <w14:solidFill>
                    <w14:schemeClr w14:val="tx1"/>
                  </w14:solidFill>
                </w14:textFill>
              </w:rPr>
            </w:pPr>
          </w:p>
        </w:tc>
      </w:tr>
      <w:tr w14:paraId="52250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172C119">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学术交流活动</w:t>
            </w:r>
          </w:p>
        </w:tc>
        <w:tc>
          <w:tcPr>
            <w:tcW w:w="6575" w:type="dxa"/>
            <w:tcMar>
              <w:top w:w="15" w:type="dxa"/>
              <w:left w:w="15" w:type="dxa"/>
              <w:bottom w:w="0" w:type="dxa"/>
              <w:right w:w="15" w:type="dxa"/>
            </w:tcMar>
            <w:vAlign w:val="center"/>
          </w:tcPr>
          <w:p w14:paraId="77017C6A">
            <w:pPr>
              <w:spacing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会议特邀学术报告</w:t>
            </w:r>
          </w:p>
          <w:p w14:paraId="078D4881">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格式：报告人，报告名称，会议名称，会议地址，会议时间</w:t>
            </w:r>
          </w:p>
          <w:p w14:paraId="0A899B5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b/>
                <w:color w:val="4472C4" w:themeColor="accent1"/>
                <w:sz w:val="22"/>
                <w14:textFill>
                  <w14:solidFill>
                    <w14:schemeClr w14:val="accent1"/>
                  </w14:solidFill>
                </w14:textFill>
              </w:rPr>
              <w:t>郑晓静</w:t>
            </w:r>
            <w:r>
              <w:rPr>
                <w:rFonts w:hint="eastAsia"/>
                <w:color w:val="4472C4" w:themeColor="accent1"/>
                <w:sz w:val="22"/>
                <w14:textFill>
                  <w14:solidFill>
                    <w14:schemeClr w14:val="accent1"/>
                  </w14:solidFill>
                </w14:textFill>
              </w:rPr>
              <w:t>，风沙环境下高雷诺数壁湍流研究，第八届全国流体力学学术会议，中国，兰州，</w:t>
            </w:r>
            <w:r>
              <w:rPr>
                <w:color w:val="4472C4" w:themeColor="accent1"/>
                <w:sz w:val="22"/>
                <w14:textFill>
                  <w14:solidFill>
                    <w14:schemeClr w14:val="accent1"/>
                  </w14:solidFill>
                </w14:textFill>
              </w:rPr>
              <w:t>2014</w:t>
            </w:r>
            <w:r>
              <w:rPr>
                <w:rFonts w:hint="eastAsia"/>
                <w:color w:val="4472C4" w:themeColor="accent1"/>
                <w:sz w:val="22"/>
                <w14:textFill>
                  <w14:solidFill>
                    <w14:schemeClr w14:val="accent1"/>
                  </w14:solidFill>
                </w14:textFill>
              </w:rPr>
              <w:t>年</w:t>
            </w:r>
            <w:r>
              <w:rPr>
                <w:color w:val="4472C4" w:themeColor="accent1"/>
                <w:sz w:val="22"/>
                <w14:textFill>
                  <w14:solidFill>
                    <w14:schemeClr w14:val="accent1"/>
                  </w14:solidFill>
                </w14:textFill>
              </w:rPr>
              <w:t>9</w:t>
            </w:r>
            <w:r>
              <w:rPr>
                <w:rFonts w:hint="eastAsia"/>
                <w:color w:val="4472C4" w:themeColor="accent1"/>
                <w:sz w:val="22"/>
                <w14:textFill>
                  <w14:solidFill>
                    <w14:schemeClr w14:val="accent1"/>
                  </w14:solidFill>
                </w14:textFill>
              </w:rPr>
              <w:t>月</w:t>
            </w:r>
            <w:r>
              <w:rPr>
                <w:color w:val="4472C4" w:themeColor="accent1"/>
                <w:sz w:val="22"/>
                <w14:textFill>
                  <w14:solidFill>
                    <w14:schemeClr w14:val="accent1"/>
                  </w14:solidFill>
                </w14:textFill>
              </w:rPr>
              <w:t>18-21</w:t>
            </w:r>
            <w:r>
              <w:rPr>
                <w:rFonts w:hint="eastAsia"/>
                <w:color w:val="4472C4" w:themeColor="accent1"/>
                <w:sz w:val="22"/>
                <w14:textFill>
                  <w14:solidFill>
                    <w14:schemeClr w14:val="accent1"/>
                  </w14:solidFill>
                </w14:textFill>
              </w:rPr>
              <w:t>日</w:t>
            </w:r>
          </w:p>
          <w:p w14:paraId="279B7B2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Jiang Zonglin</w:t>
            </w:r>
            <w:r>
              <w:rPr>
                <w:color w:val="4472C4" w:themeColor="accent1"/>
                <w:sz w:val="22"/>
                <w14:textFill>
                  <w14:solidFill>
                    <w14:schemeClr w14:val="accent1"/>
                  </w14:solidFill>
                </w14:textFill>
              </w:rPr>
              <w:t>, Experiments and Development of Long-test-duration Hypervelocity Detonation-driven Shock Tunnel , 2014 AIAA Science and Technology Forum and Exposition, National Harbor, Maryland , 13 - 17 January 2014</w:t>
            </w:r>
          </w:p>
          <w:p w14:paraId="0659852D">
            <w:pPr>
              <w:spacing w:after="48" w:line="440" w:lineRule="atLeast"/>
              <w:ind w:firstLine="480" w:firstLineChars="200"/>
              <w:rPr>
                <w:rFonts w:ascii="仿宋_GB2312" w:eastAsia="仿宋_GB2312"/>
                <w:color w:val="000000" w:themeColor="text1"/>
                <w:sz w:val="24"/>
                <w14:textFill>
                  <w14:solidFill>
                    <w14:schemeClr w14:val="tx1"/>
                  </w14:solidFill>
                </w14:textFill>
              </w:rPr>
            </w:pPr>
          </w:p>
        </w:tc>
      </w:tr>
      <w:tr w14:paraId="4E65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Borders>
              <w:bottom w:val="single" w:color="auto" w:sz="4" w:space="0"/>
            </w:tcBorders>
            <w:tcMar>
              <w:top w:w="15" w:type="dxa"/>
              <w:left w:w="15" w:type="dxa"/>
              <w:bottom w:w="0" w:type="dxa"/>
              <w:right w:w="15" w:type="dxa"/>
            </w:tcMar>
            <w:vAlign w:val="center"/>
          </w:tcPr>
          <w:p w14:paraId="77C4724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奖学金</w:t>
            </w:r>
          </w:p>
        </w:tc>
        <w:tc>
          <w:tcPr>
            <w:tcW w:w="6575" w:type="dxa"/>
            <w:tcBorders>
              <w:bottom w:val="single" w:color="auto" w:sz="4" w:space="0"/>
            </w:tcBorders>
            <w:tcMar>
              <w:top w:w="15" w:type="dxa"/>
              <w:left w:w="15" w:type="dxa"/>
              <w:bottom w:w="0" w:type="dxa"/>
              <w:right w:w="15" w:type="dxa"/>
            </w:tcMar>
            <w:vAlign w:val="center"/>
          </w:tcPr>
          <w:p w14:paraId="7AB87F1E">
            <w:pPr>
              <w:jc w:val="left"/>
              <w:rPr>
                <w:rFonts w:ascii="仿宋_GB2312" w:eastAsia="仿宋_GB2312"/>
                <w:color w:val="000000" w:themeColor="text1"/>
                <w:sz w:val="24"/>
                <w14:textFill>
                  <w14:solidFill>
                    <w14:schemeClr w14:val="tx1"/>
                  </w14:solidFill>
                </w14:textFill>
              </w:rPr>
            </w:pPr>
          </w:p>
        </w:tc>
      </w:tr>
      <w:tr w14:paraId="372CF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left w:val="nil"/>
              <w:right w:val="nil"/>
            </w:tcBorders>
            <w:tcMar>
              <w:top w:w="15" w:type="dxa"/>
              <w:left w:w="15" w:type="dxa"/>
              <w:bottom w:w="0" w:type="dxa"/>
              <w:right w:w="15" w:type="dxa"/>
            </w:tcMar>
            <w:vAlign w:val="center"/>
          </w:tcPr>
          <w:p w14:paraId="5287B32F">
            <w:pPr>
              <w:jc w:val="left"/>
              <w:rPr>
                <w:rFonts w:hint="eastAsia" w:ascii="楷体" w:hAnsi="楷体" w:eastAsia="楷体" w:cs="宋体"/>
                <w:b/>
                <w:bCs/>
                <w:sz w:val="28"/>
                <w:szCs w:val="28"/>
              </w:rPr>
            </w:pPr>
          </w:p>
          <w:p w14:paraId="0DC863A0">
            <w:pPr>
              <w:jc w:val="left"/>
              <w:rPr>
                <w:rFonts w:ascii="仿宋_GB2312" w:eastAsia="仿宋_GB2312"/>
                <w:color w:val="000000" w:themeColor="text1"/>
                <w:sz w:val="24"/>
                <w14:textFill>
                  <w14:solidFill>
                    <w14:schemeClr w14:val="tx1"/>
                  </w14:solidFill>
                </w14:textFill>
              </w:rPr>
            </w:pPr>
            <w:r>
              <w:rPr>
                <w:rFonts w:hint="eastAsia" w:ascii="楷体" w:hAnsi="楷体" w:eastAsia="楷体" w:cs="宋体"/>
                <w:b/>
                <w:bCs/>
                <w:sz w:val="28"/>
                <w:szCs w:val="28"/>
              </w:rPr>
              <w:t>2.代表性之外成果和奖励（</w:t>
            </w:r>
            <w:r>
              <w:rPr>
                <w:rFonts w:hint="eastAsia" w:ascii="楷体" w:hAnsi="楷体" w:eastAsia="楷体" w:cs="宋体"/>
                <w:sz w:val="28"/>
                <w:szCs w:val="28"/>
              </w:rPr>
              <w:t>限合计不超过5项</w:t>
            </w:r>
            <w:r>
              <w:rPr>
                <w:rFonts w:hint="eastAsia" w:ascii="楷体" w:hAnsi="楷体" w:eastAsia="楷体" w:cs="宋体"/>
                <w:b/>
                <w:bCs/>
                <w:sz w:val="28"/>
                <w:szCs w:val="28"/>
              </w:rPr>
              <w:t>）。</w:t>
            </w:r>
          </w:p>
        </w:tc>
      </w:tr>
      <w:tr w14:paraId="0F49C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Mar>
              <w:top w:w="15" w:type="dxa"/>
              <w:left w:w="15" w:type="dxa"/>
              <w:bottom w:w="0" w:type="dxa"/>
              <w:right w:w="15" w:type="dxa"/>
            </w:tcMar>
            <w:vAlign w:val="center"/>
          </w:tcPr>
          <w:p w14:paraId="003940E9">
            <w:pPr>
              <w:snapToGrid w:val="0"/>
              <w:spacing w:after="62" w:afterLines="20" w:line="440" w:lineRule="exact"/>
              <w:ind w:firstLine="442" w:firstLineChars="20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获得奖励</w:t>
            </w:r>
          </w:p>
          <w:p w14:paraId="66B1258C">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格式：获奖人（获奖人排名</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获奖人数），获奖项目名称，奖励机构，奖励类别，奖励等级，颁奖年份（所有获奖人名单附后）</w:t>
            </w:r>
          </w:p>
          <w:p w14:paraId="634EC837">
            <w:pPr>
              <w:widowControl/>
              <w:spacing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1/15</w:t>
            </w:r>
            <w:r>
              <w:rPr>
                <w:rFonts w:hint="eastAsia" w:ascii="宋体" w:hAnsi="宋体" w:cs="楷体_GB2312"/>
                <w:color w:val="4472C4" w:themeColor="accent1"/>
                <w:sz w:val="22"/>
                <w14:textFill>
                  <w14:solidFill>
                    <w14:schemeClr w14:val="accent1"/>
                  </w14:solidFill>
                </w14:textFill>
              </w:rPr>
              <w:t>），重症肝病诊治的理论创新与技术突破，国家科技部，国家科学技术进步奖，一等奖，</w:t>
            </w:r>
            <w:r>
              <w:rPr>
                <w:rFonts w:ascii="宋体" w:hAnsi="宋体" w:cs="楷体_GB2312"/>
                <w:color w:val="4472C4" w:themeColor="accent1"/>
                <w:sz w:val="22"/>
                <w14:textFill>
                  <w14:solidFill>
                    <w14:schemeClr w14:val="accent1"/>
                  </w14:solidFill>
                </w14:textFill>
              </w:rPr>
              <w:t>2013</w:t>
            </w:r>
          </w:p>
          <w:p w14:paraId="32EF562D">
            <w:pPr>
              <w:snapToGrid w:val="0"/>
              <w:spacing w:after="156" w:line="440" w:lineRule="exact"/>
              <w:ind w:firstLine="431" w:firstLineChars="196"/>
              <w:jc w:val="left"/>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，郑树森，陈智，李君，王英杰，徐凯进，徐骁，陈瑜，刁宏燕，杜维波，王伟林，姚航平，吴健，曹红翠，潘小平）</w:t>
            </w:r>
          </w:p>
          <w:p w14:paraId="79743F7A">
            <w:pPr>
              <w:jc w:val="left"/>
              <w:rPr>
                <w:rFonts w:hint="eastAsia" w:ascii="楷体" w:hAnsi="楷体" w:eastAsia="楷体" w:cs="宋体"/>
                <w:b/>
                <w:bCs/>
                <w:color w:val="0070C0"/>
                <w:sz w:val="28"/>
                <w:szCs w:val="28"/>
              </w:rPr>
            </w:pPr>
          </w:p>
        </w:tc>
      </w:tr>
    </w:tbl>
    <w:p w14:paraId="5475AE3B">
      <w:pPr>
        <w:jc w:val="left"/>
        <w:rPr>
          <w:color w:val="000000" w:themeColor="text1"/>
          <w14:textFill>
            <w14:solidFill>
              <w14:schemeClr w14:val="tx1"/>
            </w14:solidFill>
          </w14:textFill>
        </w:rPr>
      </w:pPr>
    </w:p>
    <w:tbl>
      <w:tblPr>
        <w:tblStyle w:val="13"/>
        <w:tblW w:w="8295" w:type="dxa"/>
        <w:tblInd w:w="0" w:type="dxa"/>
        <w:tblLayout w:type="autofit"/>
        <w:tblCellMar>
          <w:top w:w="0" w:type="dxa"/>
          <w:left w:w="0" w:type="dxa"/>
          <w:bottom w:w="0" w:type="dxa"/>
          <w:right w:w="0" w:type="dxa"/>
        </w:tblCellMar>
      </w:tblPr>
      <w:tblGrid>
        <w:gridCol w:w="1620"/>
        <w:gridCol w:w="6675"/>
      </w:tblGrid>
      <w:tr w14:paraId="6AEB3CB7">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18A52524">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（六）预期成果形式（</w:t>
            </w:r>
            <w:r>
              <w:rPr>
                <w:rFonts w:hint="eastAsia" w:ascii="仿宋_GB2312" w:eastAsia="仿宋_GB2312"/>
                <w:color w:val="000000" w:themeColor="text1"/>
                <w:sz w:val="28"/>
                <w14:textFill>
                  <w14:solidFill>
                    <w14:schemeClr w14:val="tx1"/>
                  </w14:solidFill>
                </w14:textFill>
              </w:rPr>
              <w:t>可多选</w:t>
            </w:r>
            <w:r>
              <w:rPr>
                <w:rFonts w:hint="eastAsia" w:ascii="仿宋_GB2312" w:eastAsia="仿宋_GB2312"/>
                <w:b/>
                <w:bCs/>
                <w:color w:val="000000" w:themeColor="text1"/>
                <w:sz w:val="28"/>
                <w14:textFill>
                  <w14:solidFill>
                    <w14:schemeClr w14:val="tx1"/>
                  </w14:solidFill>
                </w14:textFill>
              </w:rPr>
              <w:t>）</w:t>
            </w:r>
          </w:p>
        </w:tc>
      </w:tr>
      <w:tr w14:paraId="5D5D1146">
        <w:tblPrEx>
          <w:tblCellMar>
            <w:top w:w="0" w:type="dxa"/>
            <w:left w:w="0" w:type="dxa"/>
            <w:bottom w:w="0" w:type="dxa"/>
            <w:right w:w="0" w:type="dxa"/>
          </w:tblCellMar>
        </w:tblPrEx>
        <w:trPr>
          <w:trHeight w:val="3467"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49DA000">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1.□SCI论文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0E51A01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2.□核心期刊论文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5FF38C9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3.□会议论文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6C445EB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4.□内部编印期刊</w:t>
            </w:r>
            <w:r>
              <w:rPr>
                <w:rFonts w:ascii="宋体" w:hAnsi="宋体"/>
                <w:color w:val="000000" w:themeColor="text1"/>
                <w:szCs w:val="21"/>
                <w14:textFill>
                  <w14:solidFill>
                    <w14:schemeClr w14:val="tx1"/>
                  </w14:solidFill>
                </w14:textFill>
              </w:rPr>
              <w:t>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篇</w:t>
            </w:r>
          </w:p>
          <w:p w14:paraId="5D999B63">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5.□授权发明专利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p>
          <w:p w14:paraId="2305945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6.□申请</w:t>
            </w:r>
            <w:r>
              <w:rPr>
                <w:rFonts w:ascii="宋体" w:hAnsi="宋体"/>
                <w:color w:val="000000" w:themeColor="text1"/>
                <w:szCs w:val="21"/>
                <w14:textFill>
                  <w14:solidFill>
                    <w14:schemeClr w14:val="tx1"/>
                  </w14:solidFill>
                </w14:textFill>
              </w:rPr>
              <w:t>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 </w:t>
            </w:r>
          </w:p>
          <w:p w14:paraId="20CF0A60">
            <w:pPr>
              <w:spacing w:line="360" w:lineRule="auto"/>
              <w:ind w:firstLine="315" w:firstLineChars="150"/>
              <w:rPr>
                <w:rFonts w:hint="eastAsia" w:ascii="宋体" w:hAnsi="宋体"/>
                <w:szCs w:val="21"/>
              </w:rPr>
            </w:pPr>
            <w:r>
              <w:rPr>
                <w:rFonts w:hint="eastAsia" w:ascii="宋体" w:hAnsi="宋体"/>
                <w:color w:val="000000" w:themeColor="text1"/>
                <w:szCs w:val="21"/>
                <w14:textFill>
                  <w14:solidFill>
                    <w14:schemeClr w14:val="tx1"/>
                  </w14:solidFill>
                </w14:textFill>
              </w:rPr>
              <w:t>7</w:t>
            </w:r>
            <w:r>
              <w:rPr>
                <w:rFonts w:hint="eastAsia" w:ascii="宋体" w:hAnsi="宋体"/>
                <w:szCs w:val="21"/>
              </w:rPr>
              <w:t>.□创新创业类</w:t>
            </w:r>
            <w:r>
              <w:rPr>
                <w:rFonts w:ascii="宋体" w:hAnsi="宋体"/>
                <w:szCs w:val="21"/>
              </w:rPr>
              <w:t>竞赛获奖</w:t>
            </w:r>
            <w:r>
              <w:rPr>
                <w:rFonts w:hint="eastAsia" w:ascii="宋体" w:hAnsi="宋体"/>
                <w:szCs w:val="21"/>
              </w:rPr>
              <w:t xml:space="preserve">  </w:t>
            </w:r>
          </w:p>
          <w:p w14:paraId="60552734">
            <w:pPr>
              <w:spacing w:line="360" w:lineRule="auto"/>
              <w:ind w:firstLine="315" w:firstLineChars="150"/>
              <w:rPr>
                <w:rFonts w:hint="eastAsia" w:ascii="宋体" w:hAnsi="宋体"/>
                <w:szCs w:val="21"/>
              </w:rPr>
            </w:pPr>
            <w:r>
              <w:rPr>
                <w:rFonts w:ascii="宋体" w:hAnsi="宋体"/>
                <w:szCs w:val="21"/>
              </w:rPr>
              <w:t>8.</w:t>
            </w:r>
            <w:r>
              <w:rPr>
                <w:rFonts w:hint="eastAsia" w:ascii="宋体" w:hAnsi="宋体"/>
                <w:szCs w:val="21"/>
              </w:rPr>
              <w:t>□参加国际国内学术交流活动</w:t>
            </w:r>
          </w:p>
          <w:p w14:paraId="739BB818">
            <w:pPr>
              <w:ind w:firstLine="315" w:firstLineChars="150"/>
              <w:rPr>
                <w:rFonts w:hint="eastAsia" w:ascii="仿宋_GB2312" w:hAnsi="宋体" w:eastAsia="仿宋_GB2312"/>
                <w:b/>
                <w:bCs/>
                <w:color w:val="000000" w:themeColor="text1"/>
                <w:sz w:val="28"/>
                <w14:textFill>
                  <w14:solidFill>
                    <w14:schemeClr w14:val="tx1"/>
                  </w14:solidFill>
                </w14:textFill>
              </w:rPr>
            </w:pP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.□其他      名称：</w:t>
            </w:r>
            <w:r>
              <w:rPr>
                <w:rFonts w:hint="eastAsia" w:ascii="宋体" w:hAnsi="宋体"/>
                <w:color w:val="000000" w:themeColor="text1"/>
                <w:szCs w:val="21"/>
                <w:u w:val="single"/>
                <w:vertAlign w:val="subscript"/>
                <w14:textFill>
                  <w14:solidFill>
                    <w14:schemeClr w14:val="tx1"/>
                  </w14:solidFill>
                </w14:textFill>
              </w:rPr>
              <w:t xml:space="preserve">                                                           </w:t>
            </w:r>
          </w:p>
        </w:tc>
      </w:tr>
      <w:tr w14:paraId="3381C57A">
        <w:tblPrEx>
          <w:tblCellMar>
            <w:top w:w="0" w:type="dxa"/>
            <w:left w:w="0" w:type="dxa"/>
            <w:bottom w:w="0" w:type="dxa"/>
            <w:right w:w="0" w:type="dxa"/>
          </w:tblCellMar>
        </w:tblPrEx>
        <w:trPr>
          <w:trHeight w:val="285" w:hRule="atLeast"/>
        </w:trPr>
        <w:tc>
          <w:tcPr>
            <w:tcW w:w="1620" w:type="dxa"/>
            <w:tcBorders>
              <w:top w:val="nil"/>
              <w:left w:val="nil"/>
              <w:bottom w:val="nil"/>
              <w:right w:val="nil"/>
            </w:tcBorders>
            <w:tcMar>
              <w:top w:w="15" w:type="dxa"/>
              <w:left w:w="15" w:type="dxa"/>
              <w:bottom w:w="0" w:type="dxa"/>
              <w:right w:w="15" w:type="dxa"/>
            </w:tcMar>
            <w:vAlign w:val="center"/>
          </w:tcPr>
          <w:p w14:paraId="4DBB0BBD">
            <w:pPr>
              <w:rPr>
                <w:rFonts w:hint="eastAsia" w:ascii="仿宋_GB2312" w:hAnsi="宋体" w:eastAsia="仿宋_GB2312"/>
                <w:b/>
                <w:bCs/>
                <w:color w:val="000000" w:themeColor="text1"/>
                <w:sz w:val="28"/>
                <w14:textFill>
                  <w14:solidFill>
                    <w14:schemeClr w14:val="tx1"/>
                  </w14:solidFill>
                </w14:textFill>
              </w:rPr>
            </w:pPr>
          </w:p>
        </w:tc>
        <w:tc>
          <w:tcPr>
            <w:tcW w:w="6675" w:type="dxa"/>
            <w:tcBorders>
              <w:top w:val="nil"/>
              <w:left w:val="nil"/>
              <w:bottom w:val="nil"/>
              <w:right w:val="nil"/>
            </w:tcBorders>
            <w:tcMar>
              <w:top w:w="15" w:type="dxa"/>
              <w:left w:w="15" w:type="dxa"/>
              <w:bottom w:w="0" w:type="dxa"/>
              <w:right w:w="15" w:type="dxa"/>
            </w:tcMar>
            <w:vAlign w:val="center"/>
          </w:tcPr>
          <w:p w14:paraId="2C73378F">
            <w:pPr>
              <w:rPr>
                <w:rFonts w:hint="eastAsia" w:ascii="仿宋_GB2312" w:hAnsi="宋体" w:eastAsia="仿宋_GB2312"/>
                <w:b/>
                <w:bCs/>
                <w:color w:val="000000" w:themeColor="text1"/>
                <w:sz w:val="28"/>
                <w14:textFill>
                  <w14:solidFill>
                    <w14:schemeClr w14:val="tx1"/>
                  </w14:solidFill>
                </w14:textFill>
              </w:rPr>
            </w:pPr>
          </w:p>
        </w:tc>
      </w:tr>
      <w:tr w14:paraId="02BAF10A">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06F26D46">
            <w:pPr>
              <w:rPr>
                <w:rFonts w:hint="eastAsia" w:ascii="楷体" w:hAnsi="楷体" w:eastAsia="楷体" w:cs="楷体"/>
                <w:color w:val="000000" w:themeColor="text1"/>
                <w:sz w:val="28"/>
                <w:szCs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（七）项目经费概要</w:t>
            </w:r>
            <w:r>
              <w:rPr>
                <w:rFonts w:hint="eastAsia" w:ascii="楷体" w:hAnsi="楷体" w:eastAsia="楷体" w:cs="楷体"/>
                <w:color w:val="000000" w:themeColor="text1"/>
                <w:sz w:val="28"/>
                <w:szCs w:val="28"/>
                <w14:textFill>
                  <w14:solidFill>
                    <w14:schemeClr w14:val="tx1"/>
                  </w14:solidFill>
                </w14:textFill>
              </w:rPr>
              <w:t>（按申报项目目标任务需要进行预算，经费执行情况将与结题考核成绩挂钩）</w:t>
            </w:r>
          </w:p>
          <w:p w14:paraId="7FBE8D9E">
            <w:pPr>
              <w:rPr>
                <w:rFonts w:ascii="仿宋_GB2312" w:eastAsia="仿宋_GB2312"/>
                <w:b/>
                <w:bCs/>
                <w:color w:val="000000" w:themeColor="text1"/>
                <w:sz w:val="28"/>
                <w14:textFill>
                  <w14:solidFill>
                    <w14:schemeClr w14:val="tx1"/>
                  </w14:solidFill>
                </w14:textFill>
              </w:rPr>
            </w:pPr>
          </w:p>
        </w:tc>
      </w:tr>
      <w:tr w14:paraId="25DE73C8">
        <w:tblPrEx>
          <w:tblCellMar>
            <w:top w:w="0" w:type="dxa"/>
            <w:left w:w="0" w:type="dxa"/>
            <w:bottom w:w="0" w:type="dxa"/>
            <w:right w:w="0" w:type="dxa"/>
          </w:tblCellMar>
        </w:tblPrEx>
        <w:trPr>
          <w:trHeight w:val="3935"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E2F2CDA">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eastAsia="仿宋_GB2312"/>
                <w:b/>
                <w:bCs/>
                <w:color w:val="000000" w:themeColor="text1"/>
                <w:sz w:val="24"/>
                <w14:textFill>
                  <w14:solidFill>
                    <w14:schemeClr w14:val="tx1"/>
                  </w14:solidFill>
                </w14:textFill>
              </w:rPr>
              <w:t>1.申请</w:t>
            </w:r>
            <w:r>
              <w:rPr>
                <w:rFonts w:hint="eastAsia" w:ascii="仿宋_GB2312" w:hAnsi="宋体" w:eastAsia="仿宋_GB2312"/>
                <w:b/>
                <w:bCs/>
                <w:color w:val="000000" w:themeColor="text1"/>
                <w:sz w:val="24"/>
                <w14:textFill>
                  <w14:solidFill>
                    <w14:schemeClr w14:val="tx1"/>
                  </w14:solidFill>
                </w14:textFill>
              </w:rPr>
              <w:t>经费明细</w:t>
            </w:r>
          </w:p>
          <w:p w14:paraId="3C52E3EE">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（1）仪器设备费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471C165">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（2）耗材费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0CDD8BF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（3）测试加工费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02559F1">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（4）国内会务及差旅费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480C75EB">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（5）国外会务及差旅费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1F8197D">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6</w:t>
            </w:r>
            <w:r>
              <w:rPr>
                <w:rFonts w:hint="eastAsia" w:ascii="仿宋_GB2312" w:hAnsi="宋体" w:eastAsia="仿宋_GB2312"/>
                <w:bCs/>
                <w:color w:val="000000" w:themeColor="text1"/>
                <w:sz w:val="24"/>
                <w14:textFill>
                  <w14:solidFill>
                    <w14:schemeClr w14:val="tx1"/>
                  </w14:solidFill>
                </w14:textFill>
              </w:rPr>
              <w:t>）文献/知识产权事务费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p>
          <w:p w14:paraId="3076C7FC">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7</w:t>
            </w:r>
            <w:r>
              <w:rPr>
                <w:rFonts w:hint="eastAsia" w:ascii="仿宋_GB2312" w:hAnsi="宋体" w:eastAsia="仿宋_GB2312"/>
                <w:bCs/>
                <w:color w:val="000000" w:themeColor="text1"/>
                <w:sz w:val="24"/>
                <w14:textFill>
                  <w14:solidFill>
                    <w14:schemeClr w14:val="tx1"/>
                  </w14:solidFill>
                </w14:textFill>
              </w:rPr>
              <w:t>）办公费（含</w:t>
            </w:r>
            <w:r>
              <w:rPr>
                <w:rFonts w:ascii="仿宋_GB2312" w:hAnsi="宋体" w:eastAsia="仿宋_GB2312"/>
                <w:bCs/>
                <w:color w:val="000000" w:themeColor="text1"/>
                <w:sz w:val="24"/>
                <w14:textFill>
                  <w14:solidFill>
                    <w14:schemeClr w14:val="tx1"/>
                  </w14:solidFill>
                </w14:textFill>
              </w:rPr>
              <w:t>文印、办公用品等</w:t>
            </w: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115BD70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8</w:t>
            </w:r>
            <w:r>
              <w:rPr>
                <w:rFonts w:hint="eastAsia" w:ascii="仿宋_GB2312" w:hAnsi="宋体" w:eastAsia="仿宋_GB2312"/>
                <w:bCs/>
                <w:color w:val="000000" w:themeColor="text1"/>
                <w:sz w:val="24"/>
                <w14:textFill>
                  <w14:solidFill>
                    <w14:schemeClr w14:val="tx1"/>
                  </w14:solidFill>
                </w14:textFill>
              </w:rPr>
              <w:t>）其他费用</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AEEAD57">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hAnsi="宋体" w:eastAsia="仿宋_GB2312"/>
                <w:b/>
                <w:bCs/>
                <w:color w:val="000000" w:themeColor="text1"/>
                <w:sz w:val="24"/>
                <w14:textFill>
                  <w14:solidFill>
                    <w14:schemeClr w14:val="tx1"/>
                  </w14:solidFill>
                </w14:textFill>
              </w:rPr>
              <w:t>2.合计</w:t>
            </w:r>
            <w:r>
              <w:rPr>
                <w:rFonts w:hint="eastAsia" w:ascii="仿宋_GB2312" w:hAnsi="宋体" w:eastAsia="仿宋_GB2312"/>
                <w:b/>
                <w:bCs/>
                <w:color w:val="000000" w:themeColor="text1"/>
                <w:sz w:val="24"/>
                <w:u w:val="single"/>
                <w14:textFill>
                  <w14:solidFill>
                    <w14:schemeClr w14:val="tx1"/>
                  </w14:solidFill>
                </w14:textFill>
              </w:rPr>
              <w:t xml:space="preserve"> </w:t>
            </w:r>
            <w:r>
              <w:rPr>
                <w:rFonts w:ascii="仿宋_GB2312" w:hAnsi="宋体" w:eastAsia="仿宋_GB2312"/>
                <w:b/>
                <w:bCs/>
                <w:color w:val="000000" w:themeColor="text1"/>
                <w:sz w:val="24"/>
                <w:u w:val="single"/>
                <w14:textFill>
                  <w14:solidFill>
                    <w14:schemeClr w14:val="tx1"/>
                  </w14:solidFill>
                </w14:textFill>
              </w:rPr>
              <w:t xml:space="preserve">        </w:t>
            </w:r>
          </w:p>
          <w:p w14:paraId="6AD14B66">
            <w:pPr>
              <w:spacing w:line="276" w:lineRule="auto"/>
              <w:rPr>
                <w:rFonts w:hint="eastAsia" w:ascii="仿宋_GB2312" w:hAnsi="宋体" w:eastAsia="仿宋_GB2312"/>
                <w:bCs/>
                <w:color w:val="000000" w:themeColor="text1"/>
                <w:sz w:val="24"/>
                <w14:textFill>
                  <w14:solidFill>
                    <w14:schemeClr w14:val="tx1"/>
                  </w14:solidFill>
                </w14:textFill>
              </w:rPr>
            </w:pPr>
          </w:p>
        </w:tc>
      </w:tr>
    </w:tbl>
    <w:p w14:paraId="2C0C3264">
      <w:pPr>
        <w:jc w:val="left"/>
        <w:rPr>
          <w:color w:val="000000" w:themeColor="text1"/>
          <w14:textFill>
            <w14:solidFill>
              <w14:schemeClr w14:val="tx1"/>
            </w14:solidFill>
          </w14:textFill>
        </w:rPr>
      </w:pPr>
      <w:r>
        <w:rPr>
          <w:color w:val="000000" w:themeColor="text1"/>
          <w14:textFill>
            <w14:solidFill>
              <w14:schemeClr w14:val="tx1"/>
            </w14:solidFill>
          </w14:textFill>
        </w:rPr>
        <w:br w:type="page"/>
      </w:r>
    </w:p>
    <w:tbl>
      <w:tblPr>
        <w:tblStyle w:val="13"/>
        <w:tblW w:w="8295" w:type="dxa"/>
        <w:tblInd w:w="0" w:type="dxa"/>
        <w:tblLayout w:type="autofit"/>
        <w:tblCellMar>
          <w:top w:w="0" w:type="dxa"/>
          <w:left w:w="0" w:type="dxa"/>
          <w:bottom w:w="0" w:type="dxa"/>
          <w:right w:w="0" w:type="dxa"/>
        </w:tblCellMar>
      </w:tblPr>
      <w:tblGrid>
        <w:gridCol w:w="8295"/>
      </w:tblGrid>
      <w:tr w14:paraId="3B4AFB41">
        <w:tblPrEx>
          <w:tblCellMar>
            <w:top w:w="0" w:type="dxa"/>
            <w:left w:w="0" w:type="dxa"/>
            <w:bottom w:w="0" w:type="dxa"/>
            <w:right w:w="0" w:type="dxa"/>
          </w:tblCellMar>
        </w:tblPrEx>
        <w:trPr>
          <w:trHeight w:val="285" w:hRule="atLeast"/>
        </w:trPr>
        <w:tc>
          <w:tcPr>
            <w:tcW w:w="8295" w:type="dxa"/>
            <w:tcBorders>
              <w:top w:val="nil"/>
              <w:left w:val="nil"/>
              <w:bottom w:val="single" w:color="auto" w:sz="4" w:space="0"/>
              <w:right w:val="nil"/>
            </w:tcBorders>
            <w:tcMar>
              <w:top w:w="15" w:type="dxa"/>
              <w:left w:w="15" w:type="dxa"/>
              <w:bottom w:w="0" w:type="dxa"/>
              <w:right w:w="15" w:type="dxa"/>
            </w:tcMar>
            <w:vAlign w:val="center"/>
          </w:tcPr>
          <w:p w14:paraId="01778137">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评审情况</w:t>
            </w:r>
          </w:p>
        </w:tc>
      </w:tr>
      <w:tr w14:paraId="0FE7B228">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7C1A000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指导教师意见：</w:t>
            </w:r>
          </w:p>
        </w:tc>
      </w:tr>
      <w:tr w14:paraId="351FFFF6">
        <w:tblPrEx>
          <w:tblCellMar>
            <w:top w:w="0" w:type="dxa"/>
            <w:left w:w="0" w:type="dxa"/>
            <w:bottom w:w="0" w:type="dxa"/>
            <w:right w:w="0" w:type="dxa"/>
          </w:tblCellMar>
        </w:tblPrEx>
        <w:trPr>
          <w:trHeight w:val="1506"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6AF0441">
            <w:pPr>
              <w:jc w:val="cente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3EA8A2C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2B823177">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1CD7AF5">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0CB55B7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学院推荐意见：</w:t>
            </w:r>
          </w:p>
        </w:tc>
      </w:tr>
      <w:tr w14:paraId="4E9263AB">
        <w:tblPrEx>
          <w:tblCellMar>
            <w:top w:w="0" w:type="dxa"/>
            <w:left w:w="0" w:type="dxa"/>
            <w:bottom w:w="0" w:type="dxa"/>
            <w:right w:w="0" w:type="dxa"/>
          </w:tblCellMar>
        </w:tblPrEx>
        <w:trPr>
          <w:cantSplit/>
          <w:trHeight w:val="1500"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43E89B5E">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089B6366">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654182A5">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主管院长签名：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0571CEB">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7262B48">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学校专家评审意见：</w:t>
            </w:r>
          </w:p>
        </w:tc>
      </w:tr>
      <w:tr w14:paraId="705E047B">
        <w:tblPrEx>
          <w:tblCellMar>
            <w:top w:w="0" w:type="dxa"/>
            <w:left w:w="0" w:type="dxa"/>
            <w:bottom w:w="0" w:type="dxa"/>
            <w:right w:w="0" w:type="dxa"/>
          </w:tblCellMar>
        </w:tblPrEx>
        <w:trPr>
          <w:trHeight w:val="2415"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5CB7FEB">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1531301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AC48586">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组长签名：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4203D51F">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5A8C58F">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学校认定意见及批准经费：</w:t>
            </w:r>
          </w:p>
        </w:tc>
      </w:tr>
      <w:tr w14:paraId="4ECAC830">
        <w:tblPrEx>
          <w:tblCellMar>
            <w:top w:w="0" w:type="dxa"/>
            <w:left w:w="0" w:type="dxa"/>
            <w:bottom w:w="0" w:type="dxa"/>
            <w:right w:w="0" w:type="dxa"/>
          </w:tblCellMar>
        </w:tblPrEx>
        <w:trPr>
          <w:trHeight w:val="1839"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2E2D5B5D">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6E57EFE1">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016651E">
            <w:pPr>
              <w:jc w:val="right"/>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xml:space="preserve">    学校负责人签名：                年  月  日 </w:t>
            </w:r>
          </w:p>
        </w:tc>
      </w:tr>
    </w:tbl>
    <w:p w14:paraId="1774BA8C">
      <w:pPr>
        <w:rPr>
          <w:color w:val="000000" w:themeColor="text1"/>
          <w14:textFill>
            <w14:solidFill>
              <w14:schemeClr w14:val="tx1"/>
            </w14:solidFill>
          </w14:textFill>
        </w:rPr>
      </w:pPr>
    </w:p>
    <w:p w14:paraId="2D4B8EC9"/>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郑煬阳" w:date="2025-10-23T10:18:00Z" w:initials="">
    <w:p w14:paraId="3522B0B1">
      <w:pPr>
        <w:pStyle w:val="7"/>
      </w:pPr>
      <w:r>
        <w:rPr>
          <w:rFonts w:hint="eastAsia"/>
        </w:rPr>
        <w:t>需要两个实例的图片</w:t>
      </w:r>
    </w:p>
  </w:comment>
  <w:comment w:id="1" w:author="郑煬阳" w:date="2025-10-23T10:24:00Z" w:initials="">
    <w:p w14:paraId="0E1EE3C0">
      <w:pPr>
        <w:pStyle w:val="7"/>
      </w:pPr>
      <w:r>
        <w:rPr>
          <w:rFonts w:hint="eastAsia"/>
        </w:rPr>
        <w:t>实例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22B0B1" w15:done="0"/>
  <w15:commentEx w15:paraId="0E1EE3C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MS Mincho">
    <w:altName w:val="ksdb"/>
    <w:panose1 w:val="00000000000000000000"/>
    <w:charset w:val="00"/>
    <w:family w:val="auto"/>
    <w:pitch w:val="default"/>
    <w:sig w:usb0="00000000" w:usb1="00000000" w:usb2="00000000" w:usb3="00000000" w:csb0="00000000" w:csb1="00000000"/>
  </w:font>
  <w:font w:name="ksdb">
    <w:panose1 w:val="02000500000000000000"/>
    <w:charset w:val="00"/>
    <w:family w:val="auto"/>
    <w:pitch w:val="default"/>
    <w:sig w:usb0="00000001"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7FA869"/>
    <w:multiLevelType w:val="singleLevel"/>
    <w:tmpl w:val="8F7FA869"/>
    <w:lvl w:ilvl="0" w:tentative="0">
      <w:start w:val="1"/>
      <w:numFmt w:val="decimal"/>
      <w:lvlText w:val="%1."/>
      <w:lvlJc w:val="left"/>
      <w:pPr>
        <w:tabs>
          <w:tab w:val="left" w:pos="312"/>
        </w:tabs>
      </w:pPr>
    </w:lvl>
  </w:abstractNum>
  <w:abstractNum w:abstractNumId="1">
    <w:nsid w:val="4E682DED"/>
    <w:multiLevelType w:val="multilevel"/>
    <w:tmpl w:val="4E682DED"/>
    <w:lvl w:ilvl="0" w:tentative="0">
      <w:start w:val="1"/>
      <w:numFmt w:val="japaneseCounting"/>
      <w:lvlText w:val="（%1）"/>
      <w:lvlJc w:val="left"/>
      <w:pPr>
        <w:ind w:left="885" w:hanging="885"/>
      </w:pPr>
      <w:rPr>
        <w:rFonts w:hint="default"/>
        <w:b/>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1C88401"/>
    <w:multiLevelType w:val="singleLevel"/>
    <w:tmpl w:val="71C88401"/>
    <w:lvl w:ilvl="0" w:tentative="0">
      <w:start w:val="3"/>
      <w:numFmt w:val="decimal"/>
      <w:suff w:val="nothing"/>
      <w:lvlText w:val="（%1）"/>
      <w:lvlJc w:val="left"/>
    </w:lvl>
  </w:abstractNum>
  <w:abstractNum w:abstractNumId="3">
    <w:nsid w:val="7A111722"/>
    <w:multiLevelType w:val="singleLevel"/>
    <w:tmpl w:val="7A111722"/>
    <w:lvl w:ilvl="0" w:tentative="0">
      <w:start w:val="1"/>
      <w:numFmt w:val="decimal"/>
      <w:suff w:val="nothing"/>
      <w:lvlText w:val="（%1）"/>
      <w:lvlJc w:val="left"/>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郑煬阳">
    <w15:presenceInfo w15:providerId="None" w15:userId="郑煬阳"/>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B7651"/>
    <w:rsid w:val="000C182F"/>
    <w:rsid w:val="00123B90"/>
    <w:rsid w:val="00131A56"/>
    <w:rsid w:val="00195743"/>
    <w:rsid w:val="001A348B"/>
    <w:rsid w:val="001A7023"/>
    <w:rsid w:val="001B1C6B"/>
    <w:rsid w:val="001B4DB7"/>
    <w:rsid w:val="001E419B"/>
    <w:rsid w:val="001E7B12"/>
    <w:rsid w:val="001F7089"/>
    <w:rsid w:val="002125BF"/>
    <w:rsid w:val="00220BB9"/>
    <w:rsid w:val="00277645"/>
    <w:rsid w:val="002846A3"/>
    <w:rsid w:val="002B15CF"/>
    <w:rsid w:val="002E6A18"/>
    <w:rsid w:val="002F1D9E"/>
    <w:rsid w:val="002F45D7"/>
    <w:rsid w:val="00301F1A"/>
    <w:rsid w:val="00313124"/>
    <w:rsid w:val="00315C75"/>
    <w:rsid w:val="003402A5"/>
    <w:rsid w:val="003712C2"/>
    <w:rsid w:val="00376C95"/>
    <w:rsid w:val="003C60CC"/>
    <w:rsid w:val="003E61F7"/>
    <w:rsid w:val="003F2158"/>
    <w:rsid w:val="0040129F"/>
    <w:rsid w:val="00412152"/>
    <w:rsid w:val="00417D7A"/>
    <w:rsid w:val="0042057A"/>
    <w:rsid w:val="00421C69"/>
    <w:rsid w:val="004339DB"/>
    <w:rsid w:val="004A50F8"/>
    <w:rsid w:val="004A5B8C"/>
    <w:rsid w:val="00504DFD"/>
    <w:rsid w:val="00522D91"/>
    <w:rsid w:val="005307F3"/>
    <w:rsid w:val="00540A35"/>
    <w:rsid w:val="005600E8"/>
    <w:rsid w:val="00564B10"/>
    <w:rsid w:val="0059217D"/>
    <w:rsid w:val="005B5D42"/>
    <w:rsid w:val="005B76FE"/>
    <w:rsid w:val="005E4D33"/>
    <w:rsid w:val="005F0AA0"/>
    <w:rsid w:val="005F254A"/>
    <w:rsid w:val="005F259B"/>
    <w:rsid w:val="0064657C"/>
    <w:rsid w:val="006651C3"/>
    <w:rsid w:val="00667725"/>
    <w:rsid w:val="00673DEF"/>
    <w:rsid w:val="006B1B4A"/>
    <w:rsid w:val="006B4188"/>
    <w:rsid w:val="006D0267"/>
    <w:rsid w:val="006D5506"/>
    <w:rsid w:val="006D681D"/>
    <w:rsid w:val="007022DD"/>
    <w:rsid w:val="00720689"/>
    <w:rsid w:val="00774321"/>
    <w:rsid w:val="007A48F4"/>
    <w:rsid w:val="007D13F7"/>
    <w:rsid w:val="007F67FE"/>
    <w:rsid w:val="008058A4"/>
    <w:rsid w:val="00820E53"/>
    <w:rsid w:val="00822458"/>
    <w:rsid w:val="00824393"/>
    <w:rsid w:val="00847DC6"/>
    <w:rsid w:val="008A0BF3"/>
    <w:rsid w:val="008B64AB"/>
    <w:rsid w:val="008C6AB7"/>
    <w:rsid w:val="008D645F"/>
    <w:rsid w:val="008E1CAB"/>
    <w:rsid w:val="008F07FB"/>
    <w:rsid w:val="00905A7A"/>
    <w:rsid w:val="009148D8"/>
    <w:rsid w:val="009247B1"/>
    <w:rsid w:val="009606E8"/>
    <w:rsid w:val="00972EB6"/>
    <w:rsid w:val="00983427"/>
    <w:rsid w:val="009964FB"/>
    <w:rsid w:val="009A203A"/>
    <w:rsid w:val="009B5E17"/>
    <w:rsid w:val="009C3F62"/>
    <w:rsid w:val="009C4CEE"/>
    <w:rsid w:val="009E18EB"/>
    <w:rsid w:val="009E39A0"/>
    <w:rsid w:val="009F3239"/>
    <w:rsid w:val="00A0021A"/>
    <w:rsid w:val="00A075E0"/>
    <w:rsid w:val="00A23B3C"/>
    <w:rsid w:val="00A53EB0"/>
    <w:rsid w:val="00A603A6"/>
    <w:rsid w:val="00A6479B"/>
    <w:rsid w:val="00B10A8A"/>
    <w:rsid w:val="00B477ED"/>
    <w:rsid w:val="00B56A78"/>
    <w:rsid w:val="00B6648D"/>
    <w:rsid w:val="00B83448"/>
    <w:rsid w:val="00B8705A"/>
    <w:rsid w:val="00BA708F"/>
    <w:rsid w:val="00BF44EA"/>
    <w:rsid w:val="00BF495A"/>
    <w:rsid w:val="00C10BE0"/>
    <w:rsid w:val="00C1281C"/>
    <w:rsid w:val="00C219B0"/>
    <w:rsid w:val="00C60488"/>
    <w:rsid w:val="00C70968"/>
    <w:rsid w:val="00C73F8F"/>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706A2"/>
    <w:rsid w:val="00E9463F"/>
    <w:rsid w:val="00EB58C1"/>
    <w:rsid w:val="00EC7D4E"/>
    <w:rsid w:val="00ED40A3"/>
    <w:rsid w:val="00EF43CF"/>
    <w:rsid w:val="00EF6EA3"/>
    <w:rsid w:val="00F01DD0"/>
    <w:rsid w:val="00F16BF6"/>
    <w:rsid w:val="00F47E40"/>
    <w:rsid w:val="00F96338"/>
    <w:rsid w:val="00FB5412"/>
    <w:rsid w:val="00FC0EE9"/>
    <w:rsid w:val="00FD3008"/>
    <w:rsid w:val="00FF7B4E"/>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F7C32D2"/>
    <w:rsid w:val="60A341A3"/>
    <w:rsid w:val="625B42A9"/>
    <w:rsid w:val="64FC04CF"/>
    <w:rsid w:val="6A322F22"/>
    <w:rsid w:val="6A9B2DC8"/>
    <w:rsid w:val="6E057694"/>
    <w:rsid w:val="70F249D4"/>
    <w:rsid w:val="74CA2DEA"/>
    <w:rsid w:val="755A1A27"/>
    <w:rsid w:val="7EB12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b/>
      <w:bCs/>
      <w:kern w:val="0"/>
      <w:sz w:val="36"/>
      <w:szCs w:val="36"/>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b/>
      <w:bCs/>
      <w:kern w:val="0"/>
      <w:sz w:val="24"/>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b/>
      <w:bCs/>
      <w:kern w:val="0"/>
      <w:sz w:val="20"/>
      <w:szCs w:val="20"/>
    </w:rPr>
  </w:style>
  <w:style w:type="character" w:default="1" w:styleId="14">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Date"/>
    <w:basedOn w:val="1"/>
    <w:next w:val="1"/>
    <w:link w:val="18"/>
    <w:qFormat/>
    <w:uiPriority w:val="0"/>
    <w:pPr>
      <w:ind w:left="100" w:leftChars="2500"/>
    </w:pPr>
    <w:rPr>
      <w:rFonts w:ascii="宋体" w:hAnsi="宋体"/>
      <w:b/>
      <w:sz w:val="32"/>
      <w:szCs w:val="32"/>
    </w:rPr>
  </w:style>
  <w:style w:type="paragraph" w:styleId="9">
    <w:name w:val="Balloon Text"/>
    <w:basedOn w:val="1"/>
    <w:link w:val="22"/>
    <w:qFormat/>
    <w:uiPriority w:val="0"/>
    <w:rPr>
      <w:sz w:val="18"/>
      <w:szCs w:val="18"/>
    </w:rPr>
  </w:style>
  <w:style w:type="paragraph" w:styleId="10">
    <w:name w:val="footer"/>
    <w:basedOn w:val="1"/>
    <w:link w:val="20"/>
    <w:qFormat/>
    <w:uiPriority w:val="0"/>
    <w:pPr>
      <w:tabs>
        <w:tab w:val="center" w:pos="4153"/>
        <w:tab w:val="right" w:pos="8306"/>
      </w:tabs>
      <w:snapToGrid w:val="0"/>
      <w:jc w:val="left"/>
    </w:pPr>
    <w:rPr>
      <w:sz w:val="18"/>
      <w:szCs w:val="18"/>
    </w:rPr>
  </w:style>
  <w:style w:type="paragraph" w:styleId="11">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annotation reference"/>
    <w:basedOn w:val="14"/>
    <w:qFormat/>
    <w:uiPriority w:val="0"/>
    <w:rPr>
      <w:sz w:val="21"/>
      <w:szCs w:val="21"/>
    </w:rPr>
  </w:style>
  <w:style w:type="character" w:customStyle="1" w:styleId="18">
    <w:name w:val="日期 字符"/>
    <w:basedOn w:val="14"/>
    <w:link w:val="8"/>
    <w:qFormat/>
    <w:uiPriority w:val="0"/>
    <w:rPr>
      <w:rFonts w:ascii="宋体" w:hAnsi="宋体" w:eastAsia="宋体"/>
      <w:b/>
      <w:kern w:val="2"/>
      <w:sz w:val="32"/>
      <w:szCs w:val="32"/>
      <w:lang w:val="en-US" w:eastAsia="zh-CN" w:bidi="ar-SA"/>
    </w:rPr>
  </w:style>
  <w:style w:type="character" w:customStyle="1" w:styleId="19">
    <w:name w:val="页眉 字符"/>
    <w:basedOn w:val="14"/>
    <w:link w:val="11"/>
    <w:qFormat/>
    <w:uiPriority w:val="0"/>
    <w:rPr>
      <w:kern w:val="2"/>
      <w:sz w:val="18"/>
      <w:szCs w:val="18"/>
    </w:rPr>
  </w:style>
  <w:style w:type="character" w:customStyle="1" w:styleId="20">
    <w:name w:val="页脚 字符"/>
    <w:basedOn w:val="14"/>
    <w:link w:val="10"/>
    <w:qFormat/>
    <w:uiPriority w:val="0"/>
    <w:rPr>
      <w:kern w:val="2"/>
      <w:sz w:val="18"/>
      <w:szCs w:val="18"/>
    </w:rPr>
  </w:style>
  <w:style w:type="paragraph" w:styleId="21">
    <w:name w:val="List Paragraph"/>
    <w:basedOn w:val="1"/>
    <w:qFormat/>
    <w:uiPriority w:val="34"/>
    <w:pPr>
      <w:ind w:firstLine="420" w:firstLineChars="200"/>
    </w:pPr>
  </w:style>
  <w:style w:type="character" w:customStyle="1" w:styleId="22">
    <w:name w:val="批注框文本 字符"/>
    <w:basedOn w:val="14"/>
    <w:link w:val="9"/>
    <w:qFormat/>
    <w:uiPriority w:val="0"/>
    <w:rPr>
      <w:kern w:val="2"/>
      <w:sz w:val="18"/>
      <w:szCs w:val="18"/>
    </w:rPr>
  </w:style>
  <w:style w:type="character" w:customStyle="1" w:styleId="23">
    <w:name w:val="nlkfqirnlfjer1dfgzxcyiuro"/>
    <w:basedOn w:val="14"/>
    <w:qFormat/>
    <w:uiPriority w:val="0"/>
  </w:style>
  <w:style w:type="character" w:customStyle="1" w:styleId="24">
    <w:name w:val="nlkfqirnlfjerldfgzxcyiuro"/>
    <w:basedOn w:val="14"/>
    <w:qFormat/>
    <w:uiPriority w:val="0"/>
  </w:style>
</w:styles>
</file>

<file path=word/_rels/document.xml.rels><?xml version="1.0" encoding="UTF-8" standalone="yes"?>
<Relationships xmlns="http://schemas.openxmlformats.org/package/2006/relationships"><Relationship Id="rId92" Type="http://schemas.microsoft.com/office/2011/relationships/people" Target="people.xml"/><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image" Target="media/image4.jpeg"/><Relationship Id="rId89" Type="http://schemas.openxmlformats.org/officeDocument/2006/relationships/numbering" Target="numbering.xml"/><Relationship Id="rId88" Type="http://schemas.openxmlformats.org/officeDocument/2006/relationships/image" Target="media/image74.jpeg"/><Relationship Id="rId87" Type="http://schemas.openxmlformats.org/officeDocument/2006/relationships/image" Target="media/image73.jpeg"/><Relationship Id="rId86" Type="http://schemas.openxmlformats.org/officeDocument/2006/relationships/image" Target="media/image72.jpeg"/><Relationship Id="rId85" Type="http://schemas.openxmlformats.org/officeDocument/2006/relationships/image" Target="media/image71.jpeg"/><Relationship Id="rId84" Type="http://schemas.openxmlformats.org/officeDocument/2006/relationships/image" Target="media/image70.jpeg"/><Relationship Id="rId83" Type="http://schemas.openxmlformats.org/officeDocument/2006/relationships/image" Target="media/image69.jpeg"/><Relationship Id="rId82" Type="http://schemas.openxmlformats.org/officeDocument/2006/relationships/image" Target="media/image68.jpeg"/><Relationship Id="rId81" Type="http://schemas.openxmlformats.org/officeDocument/2006/relationships/image" Target="media/image67.jpeg"/><Relationship Id="rId80" Type="http://schemas.openxmlformats.org/officeDocument/2006/relationships/image" Target="media/image66.jpeg"/><Relationship Id="rId8" Type="http://schemas.openxmlformats.org/officeDocument/2006/relationships/image" Target="media/image3.jpeg"/><Relationship Id="rId79" Type="http://schemas.openxmlformats.org/officeDocument/2006/relationships/image" Target="media/image65.jpeg"/><Relationship Id="rId78" Type="http://schemas.openxmlformats.org/officeDocument/2006/relationships/image" Target="media/image64.jpeg"/><Relationship Id="rId77" Type="http://schemas.openxmlformats.org/officeDocument/2006/relationships/image" Target="media/image63.jpeg"/><Relationship Id="rId76" Type="http://schemas.openxmlformats.org/officeDocument/2006/relationships/image" Target="media/image62.jpeg"/><Relationship Id="rId75" Type="http://schemas.openxmlformats.org/officeDocument/2006/relationships/image" Target="media/image61.jpeg"/><Relationship Id="rId74" Type="http://schemas.openxmlformats.org/officeDocument/2006/relationships/image" Target="media/image60.jpeg"/><Relationship Id="rId73" Type="http://schemas.openxmlformats.org/officeDocument/2006/relationships/image" Target="media/image59.jpeg"/><Relationship Id="rId72" Type="http://schemas.openxmlformats.org/officeDocument/2006/relationships/image" Target="media/image58.jpeg"/><Relationship Id="rId71" Type="http://schemas.openxmlformats.org/officeDocument/2006/relationships/image" Target="media/image57.jpeg"/><Relationship Id="rId70" Type="http://schemas.openxmlformats.org/officeDocument/2006/relationships/image" Target="media/image56.jpeg"/><Relationship Id="rId7" Type="http://schemas.openxmlformats.org/officeDocument/2006/relationships/image" Target="media/image2.jpeg"/><Relationship Id="rId69" Type="http://schemas.openxmlformats.org/officeDocument/2006/relationships/image" Target="media/image55.jpeg"/><Relationship Id="rId68" Type="http://schemas.openxmlformats.org/officeDocument/2006/relationships/image" Target="media/image54.jpeg"/><Relationship Id="rId67" Type="http://schemas.openxmlformats.org/officeDocument/2006/relationships/image" Target="media/image53.jpeg"/><Relationship Id="rId66" Type="http://schemas.openxmlformats.org/officeDocument/2006/relationships/image" Target="media/image52.jpeg"/><Relationship Id="rId65" Type="http://schemas.openxmlformats.org/officeDocument/2006/relationships/image" Target="media/image51.jpeg"/><Relationship Id="rId64" Type="http://schemas.openxmlformats.org/officeDocument/2006/relationships/image" Target="media/image50.jpeg"/><Relationship Id="rId63" Type="http://schemas.openxmlformats.org/officeDocument/2006/relationships/image" Target="media/image49.jpeg"/><Relationship Id="rId62" Type="http://schemas.openxmlformats.org/officeDocument/2006/relationships/image" Target="media/image48.jpeg"/><Relationship Id="rId61" Type="http://schemas.openxmlformats.org/officeDocument/2006/relationships/image" Target="media/image47.jpeg"/><Relationship Id="rId60" Type="http://schemas.openxmlformats.org/officeDocument/2006/relationships/image" Target="media/image46.jpeg"/><Relationship Id="rId6" Type="http://schemas.openxmlformats.org/officeDocument/2006/relationships/image" Target="media/image1.jpeg"/><Relationship Id="rId59" Type="http://schemas.openxmlformats.org/officeDocument/2006/relationships/image" Target="media/image45.jpeg"/><Relationship Id="rId58" Type="http://schemas.openxmlformats.org/officeDocument/2006/relationships/image" Target="media/image44.jpeg"/><Relationship Id="rId57" Type="http://schemas.openxmlformats.org/officeDocument/2006/relationships/image" Target="media/image43.jpeg"/><Relationship Id="rId56" Type="http://schemas.openxmlformats.org/officeDocument/2006/relationships/image" Target="media/image42.jpeg"/><Relationship Id="rId55" Type="http://schemas.openxmlformats.org/officeDocument/2006/relationships/image" Target="media/image41.jpeg"/><Relationship Id="rId54" Type="http://schemas.openxmlformats.org/officeDocument/2006/relationships/image" Target="media/image40.jpeg"/><Relationship Id="rId53" Type="http://schemas.openxmlformats.org/officeDocument/2006/relationships/image" Target="media/image39.jpeg"/><Relationship Id="rId52" Type="http://schemas.openxmlformats.org/officeDocument/2006/relationships/image" Target="media/image38.jpeg"/><Relationship Id="rId51" Type="http://schemas.openxmlformats.org/officeDocument/2006/relationships/image" Target="media/image37.jpeg"/><Relationship Id="rId50" Type="http://schemas.openxmlformats.org/officeDocument/2006/relationships/image" Target="media/image36.jpeg"/><Relationship Id="rId5" Type="http://schemas.openxmlformats.org/officeDocument/2006/relationships/theme" Target="theme/theme1.xml"/><Relationship Id="rId49" Type="http://schemas.openxmlformats.org/officeDocument/2006/relationships/image" Target="media/image35.jpeg"/><Relationship Id="rId48" Type="http://schemas.openxmlformats.org/officeDocument/2006/relationships/image" Target="media/image34.jpeg"/><Relationship Id="rId47" Type="http://schemas.openxmlformats.org/officeDocument/2006/relationships/image" Target="media/image33.jpeg"/><Relationship Id="rId46" Type="http://schemas.openxmlformats.org/officeDocument/2006/relationships/image" Target="media/image32.jpeg"/><Relationship Id="rId45" Type="http://schemas.openxmlformats.org/officeDocument/2006/relationships/image" Target="media/image31.jpeg"/><Relationship Id="rId44" Type="http://schemas.openxmlformats.org/officeDocument/2006/relationships/image" Target="media/image30.emf"/><Relationship Id="rId43" Type="http://schemas.openxmlformats.org/officeDocument/2006/relationships/package" Target="embeddings/Microsoft_Visio___5.vsdx"/><Relationship Id="rId42" Type="http://schemas.openxmlformats.org/officeDocument/2006/relationships/image" Target="media/image29.jpeg"/><Relationship Id="rId41" Type="http://schemas.openxmlformats.org/officeDocument/2006/relationships/image" Target="media/image28.jpeg"/><Relationship Id="rId40" Type="http://schemas.openxmlformats.org/officeDocument/2006/relationships/image" Target="media/image27.jpeg"/><Relationship Id="rId4" Type="http://schemas.microsoft.com/office/2011/relationships/commentsExtended" Target="commentsExtended.xml"/><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jpeg"/><Relationship Id="rId33" Type="http://schemas.openxmlformats.org/officeDocument/2006/relationships/image" Target="media/image20.jpe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jpeg"/><Relationship Id="rId3" Type="http://schemas.openxmlformats.org/officeDocument/2006/relationships/comments" Target="comments.xml"/><Relationship Id="rId29" Type="http://schemas.openxmlformats.org/officeDocument/2006/relationships/image" Target="media/image16.emf"/><Relationship Id="rId28" Type="http://schemas.openxmlformats.org/officeDocument/2006/relationships/package" Target="embeddings/Microsoft_Visio___4.vsdx"/><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emf"/><Relationship Id="rId22" Type="http://schemas.openxmlformats.org/officeDocument/2006/relationships/package" Target="embeddings/Microsoft_Visio___3.vsdx"/><Relationship Id="rId21" Type="http://schemas.openxmlformats.org/officeDocument/2006/relationships/image" Target="media/image10.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3.bin"/><Relationship Id="rId17" Type="http://schemas.openxmlformats.org/officeDocument/2006/relationships/image" Target="media/image8.emf"/><Relationship Id="rId16" Type="http://schemas.openxmlformats.org/officeDocument/2006/relationships/package" Target="embeddings/Microsoft_Visio___2.vsdx"/><Relationship Id="rId15" Type="http://schemas.openxmlformats.org/officeDocument/2006/relationships/image" Target="media/image7.emf"/><Relationship Id="rId14" Type="http://schemas.openxmlformats.org/officeDocument/2006/relationships/oleObject" Target="embeddings/oleObject2.bin"/><Relationship Id="rId13" Type="http://schemas.openxmlformats.org/officeDocument/2006/relationships/image" Target="media/image6.emf"/><Relationship Id="rId12" Type="http://schemas.openxmlformats.org/officeDocument/2006/relationships/oleObject" Target="embeddings/oleObject1.bin"/><Relationship Id="rId11" Type="http://schemas.openxmlformats.org/officeDocument/2006/relationships/image" Target="media/image5.emf"/><Relationship Id="rId10" Type="http://schemas.openxmlformats.org/officeDocument/2006/relationships/package" Target="embeddings/Microsoft_Visio___1.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1738E-959B-43D4-8021-2119B7F3982F}">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56</Pages>
  <Words>12808</Words>
  <Characters>16402</Characters>
  <Lines>839</Lines>
  <Paragraphs>604</Paragraphs>
  <TotalTime>35</TotalTime>
  <ScaleCrop>false</ScaleCrop>
  <LinksUpToDate>false</LinksUpToDate>
  <CharactersWithSpaces>17464</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2023-10-31T01:23:00Z</dcterms:created>
  <dc:creator>User</dc:creator>
  <cp:lastModifiedBy>郑煬阳</cp:lastModifiedBy>
  <dcterms:modified xsi:type="dcterms:W3CDTF">2025-10-31T14:36:49Z</dcterms:modified>
  <dc:title>四川大学</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