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972A" w:sz="48"/>
        </w:pBdr>
        <w:shd w:fill="007A6E" w:val="clear"/>
        <w:spacing w:after="0" w:before="0"/>
      </w:pPr>
      <w:r>
        <w:rPr>
          <w:rFonts w:ascii="Arial" w:cs="Arial" w:eastAsia="Arial" w:hAnsi="Arial"/>
          <w:sz w:val="4"/>
          <w:szCs w:val="4"/>
        </w:rPr>
        <w:t xml:space="preserve"> </w:t>
      </w:r>
    </w:p>
    <w:p>
      <w:pPr>
        <w:spacing w:after="200" w:before="800"/>
      </w:pPr>
      <w:r>
        <w:t xml:space="preserve"/>
      </w:r>
    </w:p>
    <w:p>
      <w:pPr>
        <w:spacing w:after="80"/>
        <w:jc w:val="center"/>
      </w:pPr>
      <w:r>
        <w:rPr>
          <w:rFonts w:ascii="Arial" w:cs="Arial" w:eastAsia="Arial" w:hAnsi="Arial"/>
          <w:sz w:val="72"/>
          <w:szCs w:val="72"/>
        </w:rPr>
        <w:t xml:space="preserve">🚻</w:t>
      </w:r>
    </w:p>
    <w:p>
      <w:pPr>
        <w:spacing w:after="40"/>
        <w:jc w:val="center"/>
      </w:pPr>
      <w:r>
        <w:rPr>
          <w:rFonts w:ascii="Arial" w:cs="Arial" w:eastAsia="Arial" w:hAnsi="Arial"/>
          <w:b/>
          <w:bCs/>
          <w:color w:val="007A6E"/>
          <w:sz w:val="72"/>
          <w:szCs w:val="72"/>
        </w:rPr>
        <w:t xml:space="preserve">GottaGo</w:t>
      </w:r>
    </w:p>
    <w:p>
      <w:pPr>
        <w:spacing w:after="200"/>
        <w:jc w:val="center"/>
      </w:pPr>
      <w:r>
        <w:rPr>
          <w:rFonts w:ascii="Arial" w:cs="Arial" w:eastAsia="Arial" w:hAnsi="Arial"/>
          <w:i/>
          <w:iCs/>
          <w:color w:val="6B7C8A"/>
          <w:sz w:val="28"/>
          <w:szCs w:val="28"/>
        </w:rPr>
        <w:t xml:space="preserve">Never Be Caught Short</w:t>
      </w:r>
    </w:p>
    <w:p>
      <w:pPr>
        <w:spacing w:after="600"/>
        <w:jc w:val="center"/>
      </w:pPr>
      <w:r>
        <w:rPr>
          <w:rFonts w:ascii="Arial" w:cs="Arial" w:eastAsia="Arial" w:hAnsi="Arial"/>
          <w:b/>
          <w:bCs/>
          <w:color w:val="1A2E3B"/>
          <w:spacing w:val="60"/>
          <w:sz w:val="20"/>
          <w:szCs w:val="20"/>
        </w:rPr>
        <w:t xml:space="preserve">P R O D U C T   C O N C E P T   P R O P O S A L</w:t>
      </w:r>
    </w:p>
    <w:p>
      <w:pPr>
        <w:pBdr>
          <w:bottom w:val="single" w:color="007A6E" w:sz="6"/>
        </w:pBdr>
        <w:spacing w:after="400"/>
      </w:pPr>
      <w:r>
        <w:rPr>
          <w:rFonts w:ascii="Arial" w:cs="Arial" w:eastAsia="Arial" w:hAnsi="Arial"/>
        </w:rPr>
        <w:t xml:space="preserve"/>
      </w:r>
    </w:p>
    <w:p>
      <w:pPr>
        <w:spacing w:after="120"/>
        <w:jc w:val="center"/>
      </w:pPr>
      <w:r>
        <w:rPr>
          <w:rFonts w:ascii="Arial" w:cs="Arial" w:eastAsia="Arial" w:hAnsi="Arial"/>
          <w:color w:val="1A2E3B"/>
          <w:sz w:val="24"/>
          <w:szCs w:val="24"/>
        </w:rPr>
        <w:t xml:space="preserve">A route-aware, real-time public convenience locator for navigation apps —</w:t>
      </w:r>
    </w:p>
    <w:p>
      <w:pPr>
        <w:spacing w:after="600"/>
        <w:jc w:val="center"/>
      </w:pPr>
      <w:r>
        <w:rPr>
          <w:rFonts w:ascii="Arial" w:cs="Arial" w:eastAsia="Arial" w:hAnsi="Arial"/>
          <w:i/>
          <w:iCs/>
          <w:color w:val="1A2E3B"/>
          <w:sz w:val="24"/>
          <w:szCs w:val="24"/>
        </w:rPr>
        <w:t xml:space="preserve">the missing layer every driver, family, and ageing traveller has been waiting for.</w:t>
      </w:r>
    </w:p>
    <w:p>
      <w:pPr>
        <w:spacing w:after="200" w:before="4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shd w:fill="E6F5F3" w:val="clear"/>
            <w:tcMar>
              <w:top w:type="dxa" w:w="80"/>
              <w:left w:type="dxa" w:w="120"/>
              <w:bottom w:type="dxa" w:w="80"/>
              <w:right w:type="dxa" w:w="120"/>
            </w:tcMar>
          </w:tcPr>
          <w:p>
            <w:r>
              <w:rPr>
                <w:rFonts w:ascii="Arial" w:cs="Arial" w:eastAsia="Arial" w:hAnsi="Arial"/>
                <w:b/>
                <w:bCs/>
                <w:color w:val="005A52"/>
                <w:sz w:val="20"/>
                <w:szCs w:val="20"/>
              </w:rPr>
              <w:t xml:space="preserve">Document Type</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Concept Proposal — Partnership / Investment</w:t>
            </w:r>
          </w:p>
        </w:tc>
      </w:tr>
      <w:tr>
        <w:tc>
          <w:tcPr>
            <w:tcW w:type="dxa" w:w="2400"/>
            <w:tcBorders>
              <w:top w:val="none" w:color="FFFFFF" w:sz="0"/>
              <w:left w:val="none" w:color="FFFFFF" w:sz="0"/>
              <w:bottom w:val="none" w:color="FFFFFF" w:sz="0"/>
              <w:right w:val="none" w:color="FFFFFF" w:sz="0"/>
            </w:tcBorders>
            <w:shd w:fill="E6F5F3" w:val="clear"/>
            <w:tcMar>
              <w:top w:type="dxa" w:w="80"/>
              <w:left w:type="dxa" w:w="120"/>
              <w:bottom w:type="dxa" w:w="80"/>
              <w:right w:type="dxa" w:w="120"/>
            </w:tcMar>
          </w:tcPr>
          <w:p>
            <w:r>
              <w:rPr>
                <w:rFonts w:ascii="Arial" w:cs="Arial" w:eastAsia="Arial" w:hAnsi="Arial"/>
                <w:b/>
                <w:bCs/>
                <w:color w:val="005A52"/>
                <w:sz w:val="20"/>
                <w:szCs w:val="20"/>
              </w:rPr>
              <w:t xml:space="preserve">Prepared By</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Scott — Concept Originator</w:t>
            </w:r>
          </w:p>
        </w:tc>
      </w:tr>
      <w:tr>
        <w:tc>
          <w:tcPr>
            <w:tcW w:type="dxa" w:w="2400"/>
            <w:tcBorders>
              <w:top w:val="none" w:color="FFFFFF" w:sz="0"/>
              <w:left w:val="none" w:color="FFFFFF" w:sz="0"/>
              <w:bottom w:val="none" w:color="FFFFFF" w:sz="0"/>
              <w:right w:val="none" w:color="FFFFFF" w:sz="0"/>
            </w:tcBorders>
            <w:shd w:fill="E6F5F3" w:val="clear"/>
            <w:tcMar>
              <w:top w:type="dxa" w:w="80"/>
              <w:left w:type="dxa" w:w="120"/>
              <w:bottom w:type="dxa" w:w="80"/>
              <w:right w:type="dxa" w:w="120"/>
            </w:tcMar>
          </w:tcPr>
          <w:p>
            <w:r>
              <w:rPr>
                <w:rFonts w:ascii="Arial" w:cs="Arial" w:eastAsia="Arial" w:hAnsi="Arial"/>
                <w:b/>
                <w:bCs/>
                <w:color w:val="005A52"/>
                <w:sz w:val="20"/>
                <w:szCs w:val="20"/>
              </w:rPr>
              <w:t xml:space="preserve">Date</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April 2026</w:t>
            </w:r>
          </w:p>
        </w:tc>
      </w:tr>
      <w:tr>
        <w:tc>
          <w:tcPr>
            <w:tcW w:type="dxa" w:w="2400"/>
            <w:tcBorders>
              <w:top w:val="none" w:color="FFFFFF" w:sz="0"/>
              <w:left w:val="none" w:color="FFFFFF" w:sz="0"/>
              <w:bottom w:val="none" w:color="FFFFFF" w:sz="0"/>
              <w:right w:val="none" w:color="FFFFFF" w:sz="0"/>
            </w:tcBorders>
            <w:shd w:fill="E6F5F3" w:val="clear"/>
            <w:tcMar>
              <w:top w:type="dxa" w:w="80"/>
              <w:left w:type="dxa" w:w="120"/>
              <w:bottom w:type="dxa" w:w="80"/>
              <w:right w:type="dxa" w:w="120"/>
            </w:tcMar>
          </w:tcPr>
          <w:p>
            <w:r>
              <w:rPr>
                <w:rFonts w:ascii="Arial" w:cs="Arial" w:eastAsia="Arial" w:hAnsi="Arial"/>
                <w:b/>
                <w:bCs/>
                <w:color w:val="005A52"/>
                <w:sz w:val="20"/>
                <w:szCs w:val="20"/>
              </w:rPr>
              <w:t xml:space="preserve">Version</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1.0 — Confidential</w:t>
            </w:r>
          </w:p>
        </w:tc>
      </w:tr>
      <w:tr>
        <w:tc>
          <w:tcPr>
            <w:tcW w:type="dxa" w:w="2400"/>
            <w:tcBorders>
              <w:top w:val="none" w:color="FFFFFF" w:sz="0"/>
              <w:left w:val="none" w:color="FFFFFF" w:sz="0"/>
              <w:bottom w:val="none" w:color="FFFFFF" w:sz="0"/>
              <w:right w:val="none" w:color="FFFFFF" w:sz="0"/>
            </w:tcBorders>
            <w:shd w:fill="E6F5F3" w:val="clear"/>
            <w:tcMar>
              <w:top w:type="dxa" w:w="80"/>
              <w:left w:type="dxa" w:w="120"/>
              <w:bottom w:type="dxa" w:w="80"/>
              <w:right w:type="dxa" w:w="120"/>
            </w:tcMar>
          </w:tcPr>
          <w:p>
            <w:r>
              <w:rPr>
                <w:rFonts w:ascii="Arial" w:cs="Arial" w:eastAsia="Arial" w:hAnsi="Arial"/>
                <w:b/>
                <w:bCs/>
                <w:color w:val="005A52"/>
                <w:sz w:val="20"/>
                <w:szCs w:val="20"/>
              </w:rPr>
              <w:t xml:space="preserve">Contact</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Available on request</w:t>
            </w:r>
          </w:p>
        </w:tc>
      </w:tr>
    </w:tbl>
    <w:p>
      <w:r>
        <w:br w:type="page"/>
      </w:r>
    </w:p>
    <w:p>
      <w:pPr>
        <w:pStyle w:val="Heading1"/>
        <w:pBdr>
          <w:bottom w:val="single" w:color="007A6E" w:sz="6"/>
        </w:pBdr>
        <w:spacing w:after="120" w:before="320"/>
      </w:pPr>
      <w:r>
        <w:rPr>
          <w:rFonts w:ascii="Arial" w:cs="Arial" w:eastAsia="Arial" w:hAnsi="Arial"/>
          <w:b/>
          <w:bCs/>
          <w:color w:val="007A6E"/>
          <w:sz w:val="32"/>
          <w:szCs w:val="32"/>
        </w:rPr>
        <w:t xml:space="preserve">01  </w:t>
      </w:r>
      <w:r>
        <w:rPr>
          <w:rFonts w:ascii="Arial" w:cs="Arial" w:eastAsia="Arial" w:hAnsi="Arial"/>
          <w:b/>
          <w:bCs/>
          <w:color w:val="1A2E3B"/>
          <w:sz w:val="32"/>
          <w:szCs w:val="32"/>
        </w:rPr>
        <w:t xml:space="preserve">Executive Summary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A6E" w:sz="1"/>
              <w:left w:val="single" w:color="007A6E" w:sz="18"/>
              <w:bottom w:val="single" w:color="007A6E" w:sz="1"/>
              <w:right w:val="none" w:color="FFFFFF" w:sz="0"/>
            </w:tcBorders>
            <w:shd w:fill="E6F5F3" w:val="clear"/>
            <w:tcMar>
              <w:top w:type="dxa" w:w="120"/>
              <w:left w:type="dxa" w:w="200"/>
              <w:bottom w:type="dxa" w:w="120"/>
              <w:right w:type="dxa" w:w="200"/>
            </w:tcMar>
          </w:tcPr>
          <w:p>
            <w:r>
              <w:rPr>
                <w:rFonts w:ascii="Arial" w:cs="Arial" w:eastAsia="Arial" w:hAnsi="Arial"/>
                <w:i/>
                <w:iCs/>
                <w:color w:val="005A52"/>
                <w:sz w:val="22"/>
                <w:szCs w:val="22"/>
              </w:rPr>
              <w:t xml:space="preserve">"GottaGo is the navigation layer that every road-tripper, young family, and ageing traveller has been silently screaming for. It transforms a universal human need into a smart, route-aware, voice-guided experience — and nobody has built it yet."</w:t>
            </w:r>
          </w:p>
        </w:tc>
      </w:tr>
    </w:tbl>
    <w:p>
      <w:pPr>
        <w:spacing w:after="120" w:before="120"/>
      </w:pPr>
      <w:r>
        <w:t xml:space="preserve"/>
      </w:r>
    </w:p>
    <w:p>
      <w:pPr>
        <w:spacing w:after="160"/>
      </w:pPr>
      <w:r>
        <w:rPr>
          <w:rFonts w:ascii="Arial" w:cs="Arial" w:eastAsia="Arial" w:hAnsi="Arial"/>
          <w:color w:val="1A1A1A"/>
          <w:sz w:val="22"/>
          <w:szCs w:val="22"/>
        </w:rPr>
        <w:t xml:space="preserve">GottaGo is a mobile navigation companion — and potential feature layer for existing mapping platforms — that intelligently plots public toilet and restroom facilities along any calculated route. Unlike static directory apps, GottaGo is dynamic: it analyses your journey, identifies facility gaps, issues advance warnings, and guides you to the nearest suitable stop with culturally localised voice avatars that make the experience genuinely fun.</w:t>
      </w:r>
    </w:p>
    <w:p>
      <w:pPr>
        <w:spacing w:after="160"/>
      </w:pPr>
      <w:r>
        <w:rPr>
          <w:rFonts w:ascii="Arial" w:cs="Arial" w:eastAsia="Arial" w:hAnsi="Arial"/>
          <w:color w:val="1A1A1A"/>
          <w:sz w:val="22"/>
          <w:szCs w:val="22"/>
        </w:rPr>
        <w:t xml:space="preserve">The concept addresses a gap that is simultaneously obvious and completely ignored by every major GPS platform. Waze alerts drivers to speed cameras. Google Maps finds your nearest cafe. Nobody tells you where you can reliably stop for a necessary break — particularly critical over longer drives.</w:t>
      </w:r>
    </w:p>
    <w:p>
      <w:pPr>
        <w:spacing w:after="160"/>
      </w:pPr>
      <w:r>
        <w:rPr>
          <w:rFonts w:ascii="Arial" w:cs="Arial" w:eastAsia="Arial" w:hAnsi="Arial"/>
          <w:color w:val="1A1A1A"/>
          <w:sz w:val="22"/>
          <w:szCs w:val="22"/>
        </w:rPr>
        <w:t xml:space="preserve">This proposal outlines the market opportunity, product concept, differentiating features, technical pathway, and partnership potential. It is intended as a starting point for discussion with navigation platforms, motoring organisations, aged care bodies, and potential investors or technical co-founders.</w:t>
      </w:r>
    </w:p>
    <w:p>
      <w:pPr>
        <w:spacing w:after="200" w:before="0"/>
      </w:pPr>
      <w:r>
        <w:t xml:space="preserve"/>
      </w:r>
    </w:p>
    <w:p>
      <w:pPr>
        <w:pStyle w:val="Heading1"/>
        <w:pBdr>
          <w:bottom w:val="single" w:color="007A6E" w:sz="6"/>
        </w:pBdr>
        <w:spacing w:after="120" w:before="320"/>
      </w:pPr>
      <w:r>
        <w:rPr>
          <w:rFonts w:ascii="Arial" w:cs="Arial" w:eastAsia="Arial" w:hAnsi="Arial"/>
          <w:b/>
          <w:bCs/>
          <w:color w:val="007A6E"/>
          <w:sz w:val="32"/>
          <w:szCs w:val="32"/>
        </w:rPr>
        <w:t xml:space="preserve">02  </w:t>
      </w:r>
      <w:r>
        <w:rPr>
          <w:rFonts w:ascii="Arial" w:cs="Arial" w:eastAsia="Arial" w:hAnsi="Arial"/>
          <w:b/>
          <w:bCs/>
          <w:color w:val="1A2E3B"/>
          <w:sz w:val="32"/>
          <w:szCs w:val="32"/>
        </w:rPr>
        <w:t xml:space="preserve">The Problem</w:t>
      </w:r>
    </w:p>
    <w:p>
      <w:pPr>
        <w:spacing w:after="80" w:before="0"/>
      </w:pPr>
      <w:r>
        <w:t xml:space="preserve"/>
      </w:r>
    </w:p>
    <w:p>
      <w:pPr>
        <w:spacing w:after="160"/>
      </w:pPr>
      <w:r>
        <w:rPr>
          <w:rFonts w:ascii="Arial" w:cs="Arial" w:eastAsia="Arial" w:hAnsi="Arial"/>
          <w:color w:val="1A1A1A"/>
          <w:sz w:val="22"/>
          <w:szCs w:val="22"/>
        </w:rPr>
        <w:t xml:space="preserve">Every driver has experienced it. You are 40 minutes into a highway stretch when urgency strikes. There is no indication on your navigation app of where the next suitable facility is, how far ahead it sits, or whether it is even open. You are left guessing.</w:t>
      </w:r>
    </w:p>
    <w:p>
      <w:pPr>
        <w:pStyle w:val="Heading2"/>
        <w:spacing w:after="80" w:before="240"/>
      </w:pPr>
      <w:r>
        <w:rPr>
          <w:rFonts w:ascii="Arial" w:cs="Arial" w:eastAsia="Arial" w:hAnsi="Arial"/>
          <w:b/>
          <w:bCs/>
          <w:color w:val="005A52"/>
          <w:sz w:val="24"/>
          <w:szCs w:val="24"/>
        </w:rPr>
        <w:t xml:space="preserve">Who Feels This Most</w:t>
      </w:r>
    </w:p>
    <w:p>
      <w:pPr>
        <w:pStyle w:val="ListParagraph"/>
        <w:numPr>
          <w:ilvl w:val="0"/>
          <w:numId w:val="2"/>
        </w:numPr>
        <w:spacing w:after="100"/>
      </w:pPr>
      <w:r>
        <w:rPr>
          <w:rFonts w:ascii="Arial" w:cs="Arial" w:eastAsia="Arial" w:hAnsi="Arial"/>
          <w:b w:val="false"/>
          <w:bCs w:val="false"/>
          <w:color w:val="1A1A1A"/>
          <w:sz w:val="22"/>
          <w:szCs w:val="22"/>
        </w:rPr>
        <w:t xml:space="preserve">Adults over 50 — bladder capacity and urgency increase with age, making unplanned stops not just uncomfortable but occasionally a medical necessity</w:t>
      </w:r>
    </w:p>
    <w:p>
      <w:pPr>
        <w:pStyle w:val="ListParagraph"/>
        <w:numPr>
          <w:ilvl w:val="0"/>
          <w:numId w:val="2"/>
        </w:numPr>
        <w:spacing w:after="100"/>
      </w:pPr>
      <w:r>
        <w:rPr>
          <w:rFonts w:ascii="Arial" w:cs="Arial" w:eastAsia="Arial" w:hAnsi="Arial"/>
          <w:b w:val="false"/>
          <w:bCs w:val="false"/>
          <w:color w:val="1A1A1A"/>
          <w:sz w:val="22"/>
          <w:szCs w:val="22"/>
        </w:rPr>
        <w:t xml:space="preserve">Families with young children — the "I need to go NOW" from the back seat is a universal parenting crisis</w:t>
      </w:r>
    </w:p>
    <w:p>
      <w:pPr>
        <w:pStyle w:val="ListParagraph"/>
        <w:numPr>
          <w:ilvl w:val="0"/>
          <w:numId w:val="2"/>
        </w:numPr>
        <w:spacing w:after="100"/>
      </w:pPr>
      <w:r>
        <w:rPr>
          <w:rFonts w:ascii="Arial" w:cs="Arial" w:eastAsia="Arial" w:hAnsi="Arial"/>
          <w:b w:val="false"/>
          <w:bCs w:val="false"/>
          <w:color w:val="1A1A1A"/>
          <w:sz w:val="22"/>
          <w:szCs w:val="22"/>
        </w:rPr>
        <w:t xml:space="preserve">Pregnant women — frequent bathroom need is a constant reality throughout pregnancy</w:t>
      </w:r>
    </w:p>
    <w:p>
      <w:pPr>
        <w:pStyle w:val="ListParagraph"/>
        <w:numPr>
          <w:ilvl w:val="0"/>
          <w:numId w:val="2"/>
        </w:numPr>
        <w:spacing w:after="100"/>
      </w:pPr>
      <w:r>
        <w:rPr>
          <w:rFonts w:ascii="Arial" w:cs="Arial" w:eastAsia="Arial" w:hAnsi="Arial"/>
          <w:b w:val="false"/>
          <w:bCs w:val="false"/>
          <w:color w:val="1A1A1A"/>
          <w:sz w:val="22"/>
          <w:szCs w:val="22"/>
        </w:rPr>
        <w:t xml:space="preserve">People living with IBD, Crohn's disease, diabetes, or other conditions that affect bladder and bowel control</w:t>
      </w:r>
    </w:p>
    <w:p>
      <w:pPr>
        <w:pStyle w:val="ListParagraph"/>
        <w:numPr>
          <w:ilvl w:val="0"/>
          <w:numId w:val="2"/>
        </w:numPr>
        <w:spacing w:after="100"/>
      </w:pPr>
      <w:r>
        <w:rPr>
          <w:rFonts w:ascii="Arial" w:cs="Arial" w:eastAsia="Arial" w:hAnsi="Arial"/>
          <w:b w:val="false"/>
          <w:bCs w:val="false"/>
          <w:color w:val="1A1A1A"/>
          <w:sz w:val="22"/>
          <w:szCs w:val="22"/>
        </w:rPr>
        <w:t xml:space="preserve">Road trippers and long-haul drivers navigating unfamiliar routes</w:t>
      </w:r>
    </w:p>
    <w:p>
      <w:pPr>
        <w:pStyle w:val="ListParagraph"/>
        <w:numPr>
          <w:ilvl w:val="0"/>
          <w:numId w:val="2"/>
        </w:numPr>
        <w:spacing w:after="100"/>
      </w:pPr>
      <w:r>
        <w:rPr>
          <w:rFonts w:ascii="Arial" w:cs="Arial" w:eastAsia="Arial" w:hAnsi="Arial"/>
          <w:b w:val="false"/>
          <w:bCs w:val="false"/>
          <w:color w:val="1A1A1A"/>
          <w:sz w:val="22"/>
          <w:szCs w:val="22"/>
        </w:rPr>
        <w:t xml:space="preserve">Tourists in new cities or regional areas with no local knowledge</w:t>
      </w:r>
    </w:p>
    <w:p>
      <w:pPr>
        <w:spacing w:after="80" w:before="80"/>
      </w:pPr>
      <w:r>
        <w:t xml:space="preserve"/>
      </w:r>
    </w:p>
    <w:p>
      <w:pPr>
        <w:pStyle w:val="Heading2"/>
        <w:spacing w:after="80" w:before="240"/>
      </w:pPr>
      <w:r>
        <w:rPr>
          <w:rFonts w:ascii="Arial" w:cs="Arial" w:eastAsia="Arial" w:hAnsi="Arial"/>
          <w:b/>
          <w:bCs/>
          <w:color w:val="005A52"/>
          <w:sz w:val="24"/>
          <w:szCs w:val="24"/>
        </w:rPr>
        <w:t xml:space="preserve">The Data Gap</w:t>
      </w:r>
    </w:p>
    <w:p>
      <w:pPr>
        <w:spacing w:after="160"/>
      </w:pPr>
      <w:r>
        <w:rPr>
          <w:rFonts w:ascii="Arial" w:cs="Arial" w:eastAsia="Arial" w:hAnsi="Arial"/>
          <w:color w:val="1A1A1A"/>
          <w:sz w:val="22"/>
          <w:szCs w:val="22"/>
        </w:rPr>
        <w:t xml:space="preserve">Public toilet location data exists in fragmented form — scattered across council websites, open-source projects, and tourism databases — but it has never been unified, real-time verified, and integrated into a navigation layer. This is the core infrastructure problem GottaGo solves.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7A6E" w:sz="1"/>
              <w:left w:val="single" w:color="007A6E" w:sz="1"/>
              <w:bottom w:val="single" w:color="007A6E" w:sz="1"/>
              <w:right w:val="single" w:color="007A6E" w:sz="1"/>
            </w:tcBorders>
            <w:shd w:fill="007A6E"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4.2M+</w:t>
            </w:r>
          </w:p>
          <w:p>
            <w:pPr>
              <w:jc w:val="center"/>
            </w:pPr>
            <w:r>
              <w:rPr>
                <w:rFonts w:ascii="Arial" w:cs="Arial" w:eastAsia="Arial" w:hAnsi="Arial"/>
                <w:color w:val="C8EDE9"/>
                <w:sz w:val="18"/>
                <w:szCs w:val="18"/>
              </w:rPr>
              <w:t xml:space="preserve">Australians over 65
(ABS 2024)</w:t>
            </w:r>
          </w:p>
        </w:tc>
        <w:tc>
          <w:tcPr>
            <w:tcW w:type="dxa" w:w="2340"/>
            <w:tcBorders>
              <w:top w:val="single" w:color="007A6E" w:sz="1"/>
              <w:left w:val="single" w:color="007A6E" w:sz="1"/>
              <w:bottom w:val="single" w:color="007A6E" w:sz="1"/>
              <w:right w:val="single" w:color="007A6E" w:sz="1"/>
            </w:tcBorders>
            <w:shd w:fill="007A6E"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7M+</w:t>
            </w:r>
          </w:p>
          <w:p>
            <w:pPr>
              <w:jc w:val="center"/>
            </w:pPr>
            <w:r>
              <w:rPr>
                <w:rFonts w:ascii="Arial" w:cs="Arial" w:eastAsia="Arial" w:hAnsi="Arial"/>
                <w:color w:val="C8EDE9"/>
                <w:sz w:val="18"/>
                <w:szCs w:val="18"/>
              </w:rPr>
              <w:t xml:space="preserve">Families with
children under 15</w:t>
            </w:r>
          </w:p>
        </w:tc>
        <w:tc>
          <w:tcPr>
            <w:tcW w:type="dxa" w:w="2340"/>
            <w:tcBorders>
              <w:top w:val="single" w:color="007A6E" w:sz="1"/>
              <w:left w:val="single" w:color="007A6E" w:sz="1"/>
              <w:bottom w:val="single" w:color="007A6E" w:sz="1"/>
              <w:right w:val="single" w:color="007A6E" w:sz="1"/>
            </w:tcBorders>
            <w:shd w:fill="007A6E"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1 in 5</w:t>
            </w:r>
          </w:p>
          <w:p>
            <w:pPr>
              <w:jc w:val="center"/>
            </w:pPr>
            <w:r>
              <w:rPr>
                <w:rFonts w:ascii="Arial" w:cs="Arial" w:eastAsia="Arial" w:hAnsi="Arial"/>
                <w:color w:val="C8EDE9"/>
                <w:sz w:val="18"/>
                <w:szCs w:val="18"/>
              </w:rPr>
              <w:t xml:space="preserve">Australians with a
bladder condition</w:t>
            </w:r>
          </w:p>
        </w:tc>
        <w:tc>
          <w:tcPr>
            <w:tcW w:type="dxa" w:w="2340"/>
            <w:tcBorders>
              <w:top w:val="single" w:color="007A6E" w:sz="1"/>
              <w:left w:val="single" w:color="007A6E" w:sz="1"/>
              <w:bottom w:val="single" w:color="007A6E" w:sz="1"/>
              <w:right w:val="single" w:color="007A6E" w:sz="1"/>
            </w:tcBorders>
            <w:shd w:fill="007A6E"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$0</w:t>
            </w:r>
          </w:p>
          <w:p>
            <w:pPr>
              <w:jc w:val="center"/>
            </w:pPr>
            <w:r>
              <w:rPr>
                <w:rFonts w:ascii="Arial" w:cs="Arial" w:eastAsia="Arial" w:hAnsi="Arial"/>
                <w:color w:val="C8EDE9"/>
                <w:sz w:val="18"/>
                <w:szCs w:val="18"/>
              </w:rPr>
              <w:t xml:space="preserve">Apps solving
this today</w:t>
            </w:r>
          </w:p>
        </w:tc>
      </w:tr>
    </w:tbl>
    <w:p>
      <w:pPr>
        <w:spacing w:after="160" w:before="200"/>
      </w:pPr>
      <w:r>
        <w:t xml:space="preserve"/>
      </w:r>
    </w:p>
    <w:p>
      <w:r>
        <w:br w:type="page"/>
      </w:r>
    </w:p>
    <w:p>
      <w:pPr>
        <w:pStyle w:val="Heading1"/>
        <w:pBdr>
          <w:bottom w:val="single" w:color="007A6E" w:sz="6"/>
        </w:pBdr>
        <w:spacing w:after="120" w:before="320"/>
      </w:pPr>
      <w:r>
        <w:rPr>
          <w:rFonts w:ascii="Arial" w:cs="Arial" w:eastAsia="Arial" w:hAnsi="Arial"/>
          <w:b/>
          <w:bCs/>
          <w:color w:val="007A6E"/>
          <w:sz w:val="32"/>
          <w:szCs w:val="32"/>
        </w:rPr>
        <w:t xml:space="preserve">03  </w:t>
      </w:r>
      <w:r>
        <w:rPr>
          <w:rFonts w:ascii="Arial" w:cs="Arial" w:eastAsia="Arial" w:hAnsi="Arial"/>
          <w:b/>
          <w:bCs/>
          <w:color w:val="1A2E3B"/>
          <w:sz w:val="32"/>
          <w:szCs w:val="32"/>
        </w:rPr>
        <w:t xml:space="preserve">Product Concept</w:t>
      </w:r>
    </w:p>
    <w:p>
      <w:pPr>
        <w:spacing w:after="80" w:before="0"/>
      </w:pPr>
      <w:r>
        <w:t xml:space="preserve"/>
      </w:r>
    </w:p>
    <w:p>
      <w:pPr>
        <w:spacing w:after="160"/>
      </w:pPr>
      <w:r>
        <w:rPr>
          <w:rFonts w:ascii="Arial" w:cs="Arial" w:eastAsia="Arial" w:hAnsi="Arial"/>
          <w:color w:val="1A1A1A"/>
          <w:sz w:val="22"/>
          <w:szCs w:val="22"/>
        </w:rPr>
        <w:t xml:space="preserve">GottaGo operates as either a standalone mobile application or an integrated SDK that navigation platforms can embed within their existing experience. The core product loop is simple:</w:t>
      </w:r>
    </w:p>
    <w:p>
      <w:pPr>
        <w:pStyle w:val="ListParagraph"/>
        <w:numPr>
          <w:ilvl w:val="0"/>
          <w:numId w:val="2"/>
        </w:numPr>
        <w:spacing w:after="100"/>
      </w:pPr>
      <w:r>
        <w:rPr>
          <w:rFonts w:ascii="Arial" w:cs="Arial" w:eastAsia="Arial" w:hAnsi="Arial"/>
          <w:b w:val="false"/>
          <w:bCs w:val="false"/>
          <w:color w:val="1A1A1A"/>
          <w:sz w:val="22"/>
          <w:szCs w:val="22"/>
        </w:rPr>
        <w:t xml:space="preserve">User enters a destination and route is calculated</w:t>
      </w:r>
    </w:p>
    <w:p>
      <w:pPr>
        <w:pStyle w:val="ListParagraph"/>
        <w:numPr>
          <w:ilvl w:val="0"/>
          <w:numId w:val="2"/>
        </w:numPr>
        <w:spacing w:after="100"/>
      </w:pPr>
      <w:r>
        <w:rPr>
          <w:rFonts w:ascii="Arial" w:cs="Arial" w:eastAsia="Arial" w:hAnsi="Arial"/>
          <w:b w:val="false"/>
          <w:bCs w:val="false"/>
          <w:color w:val="1A1A1A"/>
          <w:sz w:val="22"/>
          <w:szCs w:val="22"/>
        </w:rPr>
        <w:t xml:space="preserve">GottaGo overlays all known public facilities along the route</w:t>
      </w:r>
    </w:p>
    <w:p>
      <w:pPr>
        <w:pStyle w:val="ListParagraph"/>
        <w:numPr>
          <w:ilvl w:val="0"/>
          <w:numId w:val="2"/>
        </w:numPr>
        <w:spacing w:after="100"/>
      </w:pPr>
      <w:r>
        <w:rPr>
          <w:rFonts w:ascii="Arial" w:cs="Arial" w:eastAsia="Arial" w:hAnsi="Arial"/>
          <w:b w:val="false"/>
          <w:bCs w:val="false"/>
          <w:color w:val="1A1A1A"/>
          <w:sz w:val="22"/>
          <w:szCs w:val="22"/>
        </w:rPr>
        <w:t xml:space="preserve">Advanced gap warnings alert drivers before long stretches with no facilities</w:t>
      </w:r>
    </w:p>
    <w:p>
      <w:pPr>
        <w:pStyle w:val="ListParagraph"/>
        <w:numPr>
          <w:ilvl w:val="0"/>
          <w:numId w:val="2"/>
        </w:numPr>
        <w:spacing w:after="100"/>
      </w:pPr>
      <w:r>
        <w:rPr>
          <w:rFonts w:ascii="Arial" w:cs="Arial" w:eastAsia="Arial" w:hAnsi="Arial"/>
          <w:b w:val="false"/>
          <w:bCs w:val="false"/>
          <w:color w:val="1A1A1A"/>
          <w:sz w:val="22"/>
          <w:szCs w:val="22"/>
        </w:rPr>
        <w:t xml:space="preserve">Urgency mode (user-set) prioritises nearest open facility immediately</w:t>
      </w:r>
    </w:p>
    <w:p>
      <w:pPr>
        <w:pStyle w:val="ListParagraph"/>
        <w:numPr>
          <w:ilvl w:val="0"/>
          <w:numId w:val="2"/>
        </w:numPr>
        <w:spacing w:after="100"/>
      </w:pPr>
      <w:r>
        <w:rPr>
          <w:rFonts w:ascii="Arial" w:cs="Arial" w:eastAsia="Arial" w:hAnsi="Arial"/>
          <w:b w:val="false"/>
          <w:bCs w:val="false"/>
          <w:color w:val="1A1A1A"/>
          <w:sz w:val="22"/>
          <w:szCs w:val="22"/>
        </w:rPr>
        <w:t xml:space="preserve">Voice avatars deliver guidance in regionally appropriate, personality-rich language</w:t>
      </w:r>
    </w:p>
    <w:p>
      <w:pPr>
        <w:pStyle w:val="ListParagraph"/>
        <w:numPr>
          <w:ilvl w:val="0"/>
          <w:numId w:val="2"/>
        </w:numPr>
        <w:spacing w:after="100"/>
      </w:pPr>
      <w:r>
        <w:rPr>
          <w:rFonts w:ascii="Arial" w:cs="Arial" w:eastAsia="Arial" w:hAnsi="Arial"/>
          <w:b w:val="false"/>
          <w:bCs w:val="false"/>
          <w:color w:val="1A1A1A"/>
          <w:sz w:val="22"/>
          <w:szCs w:val="22"/>
        </w:rPr>
        <w:t xml:space="preserve">Community reporting keeps facility data current and rated</w:t>
      </w:r>
    </w:p>
    <w:p>
      <w:pPr>
        <w:spacing w:after="160" w:before="80"/>
      </w:pPr>
      <w:r>
        <w:t xml:space="preserve"/>
      </w:r>
    </w:p>
    <w:p>
      <w:pPr>
        <w:pStyle w:val="Heading2"/>
        <w:spacing w:after="80" w:before="240"/>
      </w:pPr>
      <w:r>
        <w:rPr>
          <w:rFonts w:ascii="Arial" w:cs="Arial" w:eastAsia="Arial" w:hAnsi="Arial"/>
          <w:b/>
          <w:bCs/>
          <w:color w:val="005A52"/>
          <w:sz w:val="24"/>
          <w:szCs w:val="24"/>
        </w:rPr>
        <w:t xml:space="preserve">The Urgency Slider</w:t>
      </w:r>
    </w:p>
    <w:p>
      <w:pPr>
        <w:spacing w:after="160"/>
      </w:pPr>
      <w:r>
        <w:rPr>
          <w:rFonts w:ascii="Arial" w:cs="Arial" w:eastAsia="Arial" w:hAnsi="Arial"/>
          <w:color w:val="1A1A1A"/>
          <w:sz w:val="22"/>
          <w:szCs w:val="22"/>
        </w:rPr>
        <w:t xml:space="preserve">A deceptively simple feature that sets GottaGo apart. Users set their urgency level on a sliding scale from "All good" through to "FIND ONE NOW." At high urgency, the app shifts its entire priority — rerouting if necessary, surfacing only currently-open facilities, and switching the voice avatar to urgent mode. This single feature has the potential to become a viral, shareable moment.</w:t>
      </w:r>
    </w:p>
    <w:p>
      <w:pPr>
        <w:pStyle w:val="Heading2"/>
        <w:spacing w:after="80" w:before="240"/>
      </w:pPr>
      <w:r>
        <w:rPr>
          <w:rFonts w:ascii="Arial" w:cs="Arial" w:eastAsia="Arial" w:hAnsi="Arial"/>
          <w:b/>
          <w:bCs/>
          <w:color w:val="005A52"/>
          <w:sz w:val="24"/>
          <w:szCs w:val="24"/>
        </w:rPr>
        <w:t xml:space="preserve">Facility Rating System — The House of Lords Scale</w:t>
      </w:r>
    </w:p>
    <w:p>
      <w:pPr>
        <w:spacing w:after="160"/>
      </w:pPr>
      <w:r>
        <w:rPr>
          <w:rFonts w:ascii="Arial" w:cs="Arial" w:eastAsia="Arial" w:hAnsi="Arial"/>
          <w:color w:val="1A1A1A"/>
          <w:sz w:val="22"/>
          <w:szCs w:val="22"/>
        </w:rPr>
        <w:t xml:space="preserve">GottaGo introduces a culturally rich rating framework that replaces sterile star ratings with language everyone instinctively understands:</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b/>
                <w:bCs/>
                <w:color w:val="1A2E3B"/>
                <w:sz w:val="21"/>
                <w:szCs w:val="21"/>
              </w:rPr>
              <w:t xml:space="preserve">🏛️  House of Lords</w:t>
            </w:r>
          </w:p>
        </w:tc>
        <w:tc>
          <w:tcPr>
            <w:tcW w:type="dxa" w:w="676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color w:val="1A1A1A"/>
                <w:sz w:val="21"/>
                <w:szCs w:val="21"/>
              </w:rPr>
              <w:t xml:space="preserve">Exceptional — clean, modern, accessible, well-stocked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E3B"/>
                <w:sz w:val="21"/>
                <w:szCs w:val="21"/>
              </w:rPr>
              <w:t xml:space="preserve">👑  Throne Room</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Very good — reliable, clean, no complaints</w:t>
            </w:r>
          </w:p>
        </w:tc>
      </w:tr>
      <w:tr>
        <w:tc>
          <w:tcPr>
            <w:tcW w:type="dxa" w:w="260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b/>
                <w:bCs/>
                <w:color w:val="1A2E3B"/>
                <w:sz w:val="21"/>
                <w:szCs w:val="21"/>
              </w:rPr>
              <w:t xml:space="preserve">🚻  The Loo</w:t>
            </w:r>
          </w:p>
        </w:tc>
        <w:tc>
          <w:tcPr>
            <w:tcW w:type="dxa" w:w="676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color w:val="1A1A1A"/>
                <w:sz w:val="21"/>
                <w:szCs w:val="21"/>
              </w:rPr>
              <w:t xml:space="preserve">Solid — does the job, acceptable standard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E3B"/>
                <w:sz w:val="21"/>
                <w:szCs w:val="21"/>
              </w:rPr>
              <w:t xml:space="preserve">⛽  The Servo Stop</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Functional — basic but open and accessible</w:t>
            </w:r>
          </w:p>
        </w:tc>
      </w:tr>
      <w:tr>
        <w:tc>
          <w:tcPr>
            <w:tcW w:type="dxa" w:w="260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b/>
                <w:bCs/>
                <w:color w:val="1A2E3B"/>
                <w:sz w:val="21"/>
                <w:szCs w:val="21"/>
              </w:rPr>
              <w:t xml:space="preserve">⚠️  The Thunderbox</w:t>
            </w:r>
          </w:p>
        </w:tc>
        <w:tc>
          <w:tcPr>
            <w:tcW w:type="dxa" w:w="676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color w:val="1A1A1A"/>
                <w:sz w:val="21"/>
                <w:szCs w:val="21"/>
              </w:rPr>
              <w:t xml:space="preserve">Use only if desperate — proceed with low expectations</w:t>
            </w:r>
          </w:p>
        </w:tc>
      </w:tr>
    </w:tbl>
    <w:p>
      <w:pPr>
        <w:spacing w:after="80" w:before="160"/>
      </w:pPr>
      <w:r>
        <w:t xml:space="preserve"/>
      </w:r>
    </w:p>
    <w:p>
      <w:pPr>
        <w:pStyle w:val="Heading2"/>
        <w:spacing w:after="80" w:before="240"/>
      </w:pPr>
      <w:r>
        <w:rPr>
          <w:rFonts w:ascii="Arial" w:cs="Arial" w:eastAsia="Arial" w:hAnsi="Arial"/>
          <w:b/>
          <w:bCs/>
          <w:color w:val="005A52"/>
          <w:sz w:val="24"/>
          <w:szCs w:val="24"/>
        </w:rPr>
        <w:t xml:space="preserve">Voice Avatars — Localised Personality at Scale</w:t>
      </w:r>
    </w:p>
    <w:p>
      <w:pPr>
        <w:spacing w:after="160"/>
      </w:pPr>
      <w:r>
        <w:rPr>
          <w:rFonts w:ascii="Arial" w:cs="Arial" w:eastAsia="Arial" w:hAnsi="Arial"/>
          <w:color w:val="1A1A1A"/>
          <w:sz w:val="22"/>
          <w:szCs w:val="22"/>
        </w:rPr>
        <w:t xml:space="preserve">GottaGo's voice avatar system is its most distinctive and commercially powerful feature. Each avatar uses region-specific vernacular, euphemisms, and humour to deliver guidance. This is not a gimmick — it is a shareable, press-worthy differentiator that builds emotional connection with the product.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005A52" w:sz="1"/>
              <w:left w:val="single" w:color="005A52" w:sz="1"/>
              <w:bottom w:val="single" w:color="005A52" w:sz="1"/>
              <w:right w:val="single" w:color="005A52" w:sz="1"/>
            </w:tcBorders>
            <w:shd w:fill="005A52" w:val="clear"/>
            <w:tcMar>
              <w:top w:type="dxa" w:w="80"/>
              <w:left w:type="dxa" w:w="120"/>
              <w:bottom w:type="dxa" w:w="80"/>
              <w:right w:type="dxa" w:w="120"/>
            </w:tcMar>
          </w:tcPr>
          <w:p>
            <w:r>
              <w:rPr>
                <w:rFonts w:ascii="Arial" w:cs="Arial" w:eastAsia="Arial" w:hAnsi="Arial"/>
                <w:b/>
                <w:bCs/>
                <w:color w:val="FFFFFF"/>
                <w:sz w:val="21"/>
                <w:szCs w:val="21"/>
              </w:rPr>
              <w:t xml:space="preserve">Avatar</w:t>
            </w:r>
          </w:p>
        </w:tc>
        <w:tc>
          <w:tcPr>
            <w:tcW w:type="dxa" w:w="1800"/>
            <w:tcBorders>
              <w:top w:val="single" w:color="005A52" w:sz="1"/>
              <w:left w:val="single" w:color="005A52" w:sz="1"/>
              <w:bottom w:val="single" w:color="005A52" w:sz="1"/>
              <w:right w:val="single" w:color="005A52" w:sz="1"/>
            </w:tcBorders>
            <w:shd w:fill="005A52" w:val="clear"/>
            <w:tcMar>
              <w:top w:type="dxa" w:w="80"/>
              <w:left w:type="dxa" w:w="120"/>
              <w:bottom w:type="dxa" w:w="80"/>
              <w:right w:type="dxa" w:w="120"/>
            </w:tcMar>
          </w:tcPr>
          <w:p>
            <w:r>
              <w:rPr>
                <w:rFonts w:ascii="Arial" w:cs="Arial" w:eastAsia="Arial" w:hAnsi="Arial"/>
                <w:b/>
                <w:bCs/>
                <w:color w:val="FFFFFF"/>
                <w:sz w:val="21"/>
                <w:szCs w:val="21"/>
              </w:rPr>
              <w:t xml:space="preserve">Voice Style</w:t>
            </w:r>
          </w:p>
        </w:tc>
        <w:tc>
          <w:tcPr>
            <w:tcW w:type="dxa" w:w="6160"/>
            <w:tcBorders>
              <w:top w:val="single" w:color="005A52" w:sz="1"/>
              <w:left w:val="single" w:color="005A52" w:sz="1"/>
              <w:bottom w:val="single" w:color="005A52" w:sz="1"/>
              <w:right w:val="single" w:color="005A52" w:sz="1"/>
            </w:tcBorders>
            <w:shd w:fill="005A52" w:val="clear"/>
            <w:tcMar>
              <w:top w:type="dxa" w:w="80"/>
              <w:left w:type="dxa" w:w="120"/>
              <w:bottom w:type="dxa" w:w="80"/>
              <w:right w:type="dxa" w:w="120"/>
            </w:tcMar>
          </w:tcPr>
          <w:p>
            <w:r>
              <w:rPr>
                <w:rFonts w:ascii="Arial" w:cs="Arial" w:eastAsia="Arial" w:hAnsi="Arial"/>
                <w:b/>
                <w:bCs/>
                <w:color w:val="FFFFFF"/>
                <w:sz w:val="21"/>
                <w:szCs w:val="21"/>
              </w:rPr>
              <w:t xml:space="preserve">Sample Line</w:t>
            </w:r>
          </w:p>
        </w:tc>
      </w:tr>
      <w:tr>
        <w:tc>
          <w:tcPr>
            <w:tcW w:type="dxa" w:w="14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bCs/>
                <w:color w:val="1A2E3B"/>
                <w:sz w:val="20"/>
                <w:szCs w:val="20"/>
              </w:rPr>
              <w:t xml:space="preserve">🇦🇺 Bazza</w:t>
            </w:r>
          </w:p>
        </w:tc>
        <w:tc>
          <w:tcPr>
            <w:tcW w:type="dxa" w:w="18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color w:val="6B7C8A"/>
                <w:sz w:val="20"/>
                <w:szCs w:val="20"/>
              </w:rPr>
              <w:t xml:space="preserve">Aussie larrikin</w:t>
            </w:r>
          </w:p>
        </w:tc>
        <w:tc>
          <w:tcPr>
            <w:tcW w:type="dxa" w:w="616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i/>
                <w:iCs/>
                <w:color w:val="1A1A1A"/>
                <w:sz w:val="20"/>
                <w:szCs w:val="20"/>
              </w:rPr>
              <w:t xml:space="preserve">"Mate, there's a dunny at the servo ahead — she's not flash but she'll do the job!"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3B"/>
                <w:sz w:val="20"/>
                <w:szCs w:val="20"/>
              </w:rPr>
              <w:t xml:space="preserve">🇬🇧 Reginald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B7C8A"/>
                <w:sz w:val="20"/>
                <w:szCs w:val="20"/>
              </w:rPr>
              <w:t xml:space="preserve">Posh British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A1A1A"/>
                <w:sz w:val="20"/>
                <w:szCs w:val="20"/>
              </w:rPr>
              <w:t xml:space="preserve">"One suggests you spend a penny at the facilities ahead. Turn left in 400 metres, post-haste."</w:t>
            </w:r>
          </w:p>
        </w:tc>
      </w:tr>
      <w:tr>
        <w:tc>
          <w:tcPr>
            <w:tcW w:type="dxa" w:w="14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bCs/>
                <w:color w:val="1A2E3B"/>
                <w:sz w:val="20"/>
                <w:szCs w:val="20"/>
              </w:rPr>
              <w:t xml:space="preserve">🏴󠁧󠁢󠁳󠁣󠁴󠁠 Morag</w:t>
            </w:r>
          </w:p>
        </w:tc>
        <w:tc>
          <w:tcPr>
            <w:tcW w:type="dxa" w:w="18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color w:val="6B7C8A"/>
                <w:sz w:val="20"/>
                <w:szCs w:val="20"/>
              </w:rPr>
              <w:t xml:space="preserve">Scottish granny</w:t>
            </w:r>
          </w:p>
        </w:tc>
        <w:tc>
          <w:tcPr>
            <w:tcW w:type="dxa" w:w="616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i/>
                <w:iCs/>
                <w:color w:val="1A1A1A"/>
                <w:sz w:val="20"/>
                <w:szCs w:val="20"/>
              </w:rPr>
              <w:t xml:space="preserve">"Och, the House of Lords is just 800 metres ahead, hen — and it's absolutely free!"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3B"/>
                <w:sz w:val="20"/>
                <w:szCs w:val="20"/>
              </w:rPr>
              <w:t xml:space="preserve">🇮🇪 Seamus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B7C8A"/>
                <w:sz w:val="20"/>
                <w:szCs w:val="20"/>
              </w:rPr>
              <w:t xml:space="preserve">Irish warmth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A1A1A"/>
                <w:sz w:val="20"/>
                <w:szCs w:val="20"/>
              </w:rPr>
              <w:t xml:space="preserve">"Jaysus, you'll be wantin' to answer the call of nature — pub on the left has grand facilities."</w:t>
            </w:r>
          </w:p>
        </w:tc>
      </w:tr>
      <w:tr>
        <w:tc>
          <w:tcPr>
            <w:tcW w:type="dxa" w:w="14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bCs/>
                <w:color w:val="1A2E3B"/>
                <w:sz w:val="20"/>
                <w:szCs w:val="20"/>
              </w:rPr>
              <w:t xml:space="preserve">👵 Gran</w:t>
            </w:r>
          </w:p>
        </w:tc>
        <w:tc>
          <w:tcPr>
            <w:tcW w:type="dxa" w:w="18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color w:val="6B7C8A"/>
                <w:sz w:val="20"/>
                <w:szCs w:val="20"/>
              </w:rPr>
              <w:t xml:space="preserve">Everyone's nan</w:t>
            </w:r>
          </w:p>
        </w:tc>
        <w:tc>
          <w:tcPr>
            <w:tcW w:type="dxa" w:w="616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i/>
                <w:iCs/>
                <w:color w:val="1A1A1A"/>
                <w:sz w:val="20"/>
                <w:szCs w:val="20"/>
              </w:rPr>
              <w:t xml:space="preserve">"Love, you really should have gone before we left. There's a nice clean one at the shopping centre."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3B"/>
                <w:sz w:val="20"/>
                <w:szCs w:val="20"/>
              </w:rPr>
              <w:t xml:space="preserve">⚓ Randy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B7C8A"/>
                <w:sz w:val="20"/>
                <w:szCs w:val="20"/>
              </w:rPr>
              <w:t xml:space="preserve">US Navy trucker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A1A1A"/>
                <w:sz w:val="20"/>
                <w:szCs w:val="20"/>
              </w:rPr>
              <w:t xml:space="preserve">"Breaker breaker — comfort station off the port bow, quarter mile. You copy?"</w:t>
            </w:r>
          </w:p>
        </w:tc>
      </w:tr>
    </w:tbl>
    <w:p>
      <w:pPr>
        <w:spacing w:after="160" w:before="200"/>
      </w:pPr>
      <w:r>
        <w:t xml:space="preserve"/>
      </w:r>
    </w:p>
    <w:p>
      <w:r>
        <w:br w:type="page"/>
      </w:r>
    </w:p>
    <w:p>
      <w:pPr>
        <w:pStyle w:val="Heading1"/>
        <w:pBdr>
          <w:bottom w:val="single" w:color="007A6E" w:sz="6"/>
        </w:pBdr>
        <w:spacing w:after="120" w:before="320"/>
      </w:pPr>
      <w:r>
        <w:rPr>
          <w:rFonts w:ascii="Arial" w:cs="Arial" w:eastAsia="Arial" w:hAnsi="Arial"/>
          <w:b/>
          <w:bCs/>
          <w:color w:val="007A6E"/>
          <w:sz w:val="32"/>
          <w:szCs w:val="32"/>
        </w:rPr>
        <w:t xml:space="preserve">04  </w:t>
      </w:r>
      <w:r>
        <w:rPr>
          <w:rFonts w:ascii="Arial" w:cs="Arial" w:eastAsia="Arial" w:hAnsi="Arial"/>
          <w:b/>
          <w:bCs/>
          <w:color w:val="1A2E3B"/>
          <w:sz w:val="32"/>
          <w:szCs w:val="32"/>
        </w:rPr>
        <w:t xml:space="preserve">Market Opportunity</w:t>
      </w:r>
    </w:p>
    <w:p>
      <w:pPr>
        <w:spacing w:after="80" w:before="0"/>
      </w:pPr>
      <w:r>
        <w:t xml:space="preserve"/>
      </w:r>
    </w:p>
    <w:p>
      <w:pPr>
        <w:spacing w:after="160"/>
      </w:pPr>
      <w:r>
        <w:rPr>
          <w:rFonts w:ascii="Arial" w:cs="Arial" w:eastAsia="Arial" w:hAnsi="Arial"/>
          <w:color w:val="1A1A1A"/>
          <w:sz w:val="22"/>
          <w:szCs w:val="22"/>
        </w:rPr>
        <w:t xml:space="preserve">GottaGo targets a primary addressable market that is large, underserved, and highly motivated. Unlike many app concepts that need to create user behaviour, GottaGo solves a problem users already have and already feel acutely.</w:t>
      </w:r>
    </w:p>
    <w:p>
      <w:pPr>
        <w:pStyle w:val="Heading2"/>
        <w:spacing w:after="80" w:before="240"/>
      </w:pPr>
      <w:r>
        <w:rPr>
          <w:rFonts w:ascii="Arial" w:cs="Arial" w:eastAsia="Arial" w:hAnsi="Arial"/>
          <w:b/>
          <w:bCs/>
          <w:color w:val="005A52"/>
          <w:sz w:val="24"/>
          <w:szCs w:val="24"/>
        </w:rPr>
        <w:t xml:space="preserve">Primary Markets</w:t>
      </w:r>
    </w:p>
    <w:p>
      <w:pPr>
        <w:pStyle w:val="ListParagraph"/>
        <w:numPr>
          <w:ilvl w:val="0"/>
          <w:numId w:val="2"/>
        </w:numPr>
        <w:spacing w:after="100"/>
      </w:pPr>
      <w:r>
        <w:rPr>
          <w:rFonts w:ascii="Arial" w:cs="Arial" w:eastAsia="Arial" w:hAnsi="Arial"/>
          <w:b w:val="false"/>
          <w:bCs w:val="false"/>
          <w:color w:val="1A1A1A"/>
          <w:sz w:val="22"/>
          <w:szCs w:val="22"/>
        </w:rPr>
        <w:t xml:space="preserve">Australia and New Zealand — ideal launch market, strong road trip culture, English-language avatar content ready, relatively contained geography for database population</w:t>
      </w:r>
    </w:p>
    <w:p>
      <w:pPr>
        <w:pStyle w:val="ListParagraph"/>
        <w:numPr>
          <w:ilvl w:val="0"/>
          <w:numId w:val="2"/>
        </w:numPr>
        <w:spacing w:after="100"/>
      </w:pPr>
      <w:r>
        <w:rPr>
          <w:rFonts w:ascii="Arial" w:cs="Arial" w:eastAsia="Arial" w:hAnsi="Arial"/>
          <w:b w:val="false"/>
          <w:bCs w:val="false"/>
          <w:color w:val="1A1A1A"/>
          <w:sz w:val="22"/>
          <w:szCs w:val="22"/>
        </w:rPr>
        <w:t xml:space="preserve">United Kingdom — strong existing "loo" cultural vocabulary, dense population with well-mapped public facilities, natural fit for Reginald and Morag avatars</w:t>
      </w:r>
    </w:p>
    <w:p>
      <w:pPr>
        <w:pStyle w:val="ListParagraph"/>
        <w:numPr>
          <w:ilvl w:val="0"/>
          <w:numId w:val="2"/>
        </w:numPr>
        <w:spacing w:after="100"/>
      </w:pPr>
      <w:r>
        <w:rPr>
          <w:rFonts w:ascii="Arial" w:cs="Arial" w:eastAsia="Arial" w:hAnsi="Arial"/>
          <w:b w:val="false"/>
          <w:bCs w:val="false"/>
          <w:color w:val="1A1A1A"/>
          <w:sz w:val="22"/>
          <w:szCs w:val="22"/>
        </w:rPr>
        <w:t xml:space="preserve">United States and Canada — enormous road trip market, strong motoring club infrastructure (AAA), voice avatar content ready</w:t>
      </w:r>
    </w:p>
    <w:p>
      <w:pPr>
        <w:spacing w:after="160" w:before="80"/>
      </w:pPr>
      <w:r>
        <w:t xml:space="preserve"/>
      </w:r>
    </w:p>
    <w:p>
      <w:pPr>
        <w:pStyle w:val="Heading2"/>
        <w:spacing w:after="80" w:before="240"/>
      </w:pPr>
      <w:r>
        <w:rPr>
          <w:rFonts w:ascii="Arial" w:cs="Arial" w:eastAsia="Arial" w:hAnsi="Arial"/>
          <w:b/>
          <w:bCs/>
          <w:color w:val="005A52"/>
          <w:sz w:val="24"/>
          <w:szCs w:val="24"/>
        </w:rPr>
        <w:t xml:space="preserve">Revenue Pathways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b/>
                <w:bCs/>
                <w:color w:val="1A2E3B"/>
                <w:sz w:val="21"/>
                <w:szCs w:val="21"/>
              </w:rPr>
              <w:t xml:space="preserve">Freemium App</w:t>
            </w:r>
          </w:p>
        </w:tc>
        <w:tc>
          <w:tcPr>
            <w:tcW w:type="dxa" w:w="656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color w:val="1A1A1A"/>
                <w:sz w:val="21"/>
                <w:szCs w:val="21"/>
              </w:rPr>
              <w:t xml:space="preserve">Free core functionality with premium avatar packs, offline mode, and advanced filtering (baby change rooms, accessible facilities, gender-neutral)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E3B"/>
                <w:sz w:val="21"/>
                <w:szCs w:val="21"/>
              </w:rPr>
              <w:t xml:space="preserve">Motoring Club Licensing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White-label integration for NRMA, RAA, RACQ, AA (UK), CAA (Canada), AAA (US) — sold as member value-add</w:t>
            </w:r>
          </w:p>
        </w:tc>
      </w:tr>
      <w:tr>
        <w:tc>
          <w:tcPr>
            <w:tcW w:type="dxa" w:w="280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b/>
                <w:bCs/>
                <w:color w:val="1A2E3B"/>
                <w:sz w:val="21"/>
                <w:szCs w:val="21"/>
              </w:rPr>
              <w:t xml:space="preserve">Council &amp; Tourism</w:t>
            </w:r>
          </w:p>
        </w:tc>
        <w:tc>
          <w:tcPr>
            <w:tcW w:type="dxa" w:w="656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color w:val="1A1A1A"/>
                <w:sz w:val="21"/>
                <w:szCs w:val="21"/>
              </w:rPr>
              <w:t xml:space="preserve">Government and tourism body API access for destination and regional planning data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E3B"/>
                <w:sz w:val="21"/>
                <w:szCs w:val="21"/>
              </w:rPr>
              <w:t xml:space="preserve">Healthcare Sector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Licensed version for disability and aged care providers; NDIS-aligned accessibility data layer</w:t>
            </w:r>
          </w:p>
        </w:tc>
      </w:tr>
      <w:tr>
        <w:tc>
          <w:tcPr>
            <w:tcW w:type="dxa" w:w="280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b/>
                <w:bCs/>
                <w:color w:val="1A2E3B"/>
                <w:sz w:val="21"/>
                <w:szCs w:val="21"/>
              </w:rPr>
              <w:t xml:space="preserve">Navigation SDK</w:t>
            </w:r>
          </w:p>
        </w:tc>
        <w:tc>
          <w:tcPr>
            <w:tcW w:type="dxa" w:w="656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color w:val="1A1A1A"/>
                <w:sz w:val="21"/>
                <w:szCs w:val="21"/>
              </w:rPr>
              <w:t xml:space="preserve">Embedded feature layer sold to Waze, HERE, TomTom, Apple Maps as white-label integration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E3B"/>
                <w:sz w:val="21"/>
                <w:szCs w:val="21"/>
              </w:rPr>
              <w:t xml:space="preserve">Advertising (opt-in)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Petrol stations, cafes, and shopping centres pay for featured placement — only shown when relevant and never intrusive</w:t>
            </w:r>
          </w:p>
        </w:tc>
      </w:tr>
    </w:tbl>
    <w:p>
      <w:pPr>
        <w:spacing w:after="160" w:before="200"/>
      </w:pPr>
      <w:r>
        <w:t xml:space="preserve"/>
      </w:r>
    </w:p>
    <w:p>
      <w:r>
        <w:br w:type="page"/>
      </w:r>
    </w:p>
    <w:p>
      <w:pPr>
        <w:pStyle w:val="Heading1"/>
        <w:pBdr>
          <w:bottom w:val="single" w:color="007A6E" w:sz="6"/>
        </w:pBdr>
        <w:spacing w:after="120" w:before="320"/>
      </w:pPr>
      <w:r>
        <w:rPr>
          <w:rFonts w:ascii="Arial" w:cs="Arial" w:eastAsia="Arial" w:hAnsi="Arial"/>
          <w:b/>
          <w:bCs/>
          <w:color w:val="007A6E"/>
          <w:sz w:val="32"/>
          <w:szCs w:val="32"/>
        </w:rPr>
        <w:t xml:space="preserve">05  </w:t>
      </w:r>
      <w:r>
        <w:rPr>
          <w:rFonts w:ascii="Arial" w:cs="Arial" w:eastAsia="Arial" w:hAnsi="Arial"/>
          <w:b/>
          <w:bCs/>
          <w:color w:val="1A2E3B"/>
          <w:sz w:val="32"/>
          <w:szCs w:val="32"/>
        </w:rPr>
        <w:t xml:space="preserve">Technical Overview</w:t>
      </w:r>
    </w:p>
    <w:p>
      <w:pPr>
        <w:spacing w:after="80" w:before="0"/>
      </w:pPr>
      <w:r>
        <w:t xml:space="preserve"/>
      </w:r>
    </w:p>
    <w:p>
      <w:pPr>
        <w:spacing w:after="160"/>
      </w:pPr>
      <w:r>
        <w:rPr>
          <w:rFonts w:ascii="Arial" w:cs="Arial" w:eastAsia="Arial" w:hAnsi="Arial"/>
          <w:color w:val="1A1A1A"/>
          <w:sz w:val="22"/>
          <w:szCs w:val="22"/>
        </w:rPr>
        <w:t xml:space="preserve">GottaGo is technically achievable with current technology. The following outlines the key components and a realistic build pathway.</w:t>
      </w:r>
    </w:p>
    <w:p>
      <w:pPr>
        <w:pStyle w:val="Heading2"/>
        <w:spacing w:after="80" w:before="240"/>
      </w:pPr>
      <w:r>
        <w:rPr>
          <w:rFonts w:ascii="Arial" w:cs="Arial" w:eastAsia="Arial" w:hAnsi="Arial"/>
          <w:b/>
          <w:bCs/>
          <w:color w:val="005A52"/>
          <w:sz w:val="24"/>
          <w:szCs w:val="24"/>
        </w:rPr>
        <w:t xml:space="preserve">Data Foundation</w:t>
      </w:r>
    </w:p>
    <w:p>
      <w:pPr>
        <w:pStyle w:val="ListParagraph"/>
        <w:numPr>
          <w:ilvl w:val="0"/>
          <w:numId w:val="2"/>
        </w:numPr>
        <w:spacing w:after="100"/>
      </w:pPr>
      <w:r>
        <w:rPr>
          <w:rFonts w:ascii="Arial" w:cs="Arial" w:eastAsia="Arial" w:hAnsi="Arial"/>
          <w:b w:val="false"/>
          <w:bCs w:val="false"/>
          <w:color w:val="1A1A1A"/>
          <w:sz w:val="22"/>
          <w:szCs w:val="22"/>
        </w:rPr>
        <w:t xml:space="preserve">Seed database from open-source sources: OpenStreetMap, Great British Public Toilet Map, Refuge Restrooms, Australian council open data portals</w:t>
      </w:r>
    </w:p>
    <w:p>
      <w:pPr>
        <w:pStyle w:val="ListParagraph"/>
        <w:numPr>
          <w:ilvl w:val="0"/>
          <w:numId w:val="2"/>
        </w:numPr>
        <w:spacing w:after="100"/>
      </w:pPr>
      <w:r>
        <w:rPr>
          <w:rFonts w:ascii="Arial" w:cs="Arial" w:eastAsia="Arial" w:hAnsi="Arial"/>
          <w:b w:val="false"/>
          <w:bCs w:val="false"/>
          <w:color w:val="1A1A1A"/>
          <w:sz w:val="22"/>
          <w:szCs w:val="22"/>
        </w:rPr>
        <w:t xml:space="preserve">Community verification layer: users report open/closed status, cleanliness ratings, accessibility features, and baby change room availability</w:t>
      </w:r>
    </w:p>
    <w:p>
      <w:pPr>
        <w:pStyle w:val="ListParagraph"/>
        <w:numPr>
          <w:ilvl w:val="0"/>
          <w:numId w:val="2"/>
        </w:numPr>
        <w:spacing w:after="100"/>
      </w:pPr>
      <w:r>
        <w:rPr>
          <w:rFonts w:ascii="Arial" w:cs="Arial" w:eastAsia="Arial" w:hAnsi="Arial"/>
          <w:b w:val="false"/>
          <w:bCs w:val="false"/>
          <w:color w:val="1A1A1A"/>
          <w:sz w:val="22"/>
          <w:szCs w:val="22"/>
        </w:rPr>
        <w:t xml:space="preserve">Automated opening hours validation via Google Places API cross-reference</w:t>
      </w:r>
    </w:p>
    <w:p>
      <w:pPr>
        <w:pStyle w:val="ListParagraph"/>
        <w:numPr>
          <w:ilvl w:val="0"/>
          <w:numId w:val="2"/>
        </w:numPr>
        <w:spacing w:after="100"/>
      </w:pPr>
      <w:r>
        <w:rPr>
          <w:rFonts w:ascii="Arial" w:cs="Arial" w:eastAsia="Arial" w:hAnsi="Arial"/>
          <w:b w:val="false"/>
          <w:bCs w:val="false"/>
          <w:color w:val="1A1A1A"/>
          <w:sz w:val="22"/>
          <w:szCs w:val="22"/>
        </w:rPr>
        <w:t xml:space="preserve">The dataset — once populated and verified — becomes GottaGo's primary competitive moat</w:t>
      </w:r>
    </w:p>
    <w:p>
      <w:pPr>
        <w:spacing w:after="160" w:before="80"/>
      </w:pPr>
      <w:r>
        <w:t xml:space="preserve"/>
      </w:r>
    </w:p>
    <w:p>
      <w:pPr>
        <w:pStyle w:val="Heading2"/>
        <w:spacing w:after="80" w:before="240"/>
      </w:pPr>
      <w:r>
        <w:rPr>
          <w:rFonts w:ascii="Arial" w:cs="Arial" w:eastAsia="Arial" w:hAnsi="Arial"/>
          <w:b/>
          <w:bCs/>
          <w:color w:val="005A52"/>
          <w:sz w:val="24"/>
          <w:szCs w:val="24"/>
        </w:rPr>
        <w:t xml:space="preserve">Core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b/>
                <w:bCs/>
                <w:color w:val="1A2E3B"/>
                <w:sz w:val="21"/>
                <w:szCs w:val="21"/>
              </w:rPr>
              <w:t xml:space="preserve">Mobile</w:t>
            </w:r>
          </w:p>
        </w:tc>
        <w:tc>
          <w:tcPr>
            <w:tcW w:type="dxa" w:w="696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color w:val="1A1A1A"/>
                <w:sz w:val="21"/>
                <w:szCs w:val="21"/>
              </w:rPr>
              <w:t xml:space="preserve">React Native (iOS + Android from single codebase)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E3B"/>
                <w:sz w:val="21"/>
                <w:szCs w:val="21"/>
              </w:rPr>
              <w:t xml:space="preserve">Mapping</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Google Maps Platform or Mapbox SDK for routing and display</w:t>
            </w:r>
          </w:p>
        </w:tc>
      </w:tr>
      <w:tr>
        <w:tc>
          <w:tcPr>
            <w:tcW w:type="dxa" w:w="240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b/>
                <w:bCs/>
                <w:color w:val="1A2E3B"/>
                <w:sz w:val="21"/>
                <w:szCs w:val="21"/>
              </w:rPr>
              <w:t xml:space="preserve">Backend</w:t>
            </w:r>
          </w:p>
        </w:tc>
        <w:tc>
          <w:tcPr>
            <w:tcW w:type="dxa" w:w="696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color w:val="1A1A1A"/>
                <w:sz w:val="21"/>
                <w:szCs w:val="21"/>
              </w:rPr>
              <w:t xml:space="preserve">Node.js / Python API with PostgreSQL + PostGIS for geospatial queries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E3B"/>
                <w:sz w:val="21"/>
                <w:szCs w:val="21"/>
              </w:rPr>
              <w:t xml:space="preserve">Voice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ElevenLabs or AWS Polly for avatar voice synthesis; pre-recorded library for offline use</w:t>
            </w:r>
          </w:p>
        </w:tc>
      </w:tr>
      <w:tr>
        <w:tc>
          <w:tcPr>
            <w:tcW w:type="dxa" w:w="240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b/>
                <w:bCs/>
                <w:color w:val="1A2E3B"/>
                <w:sz w:val="21"/>
                <w:szCs w:val="21"/>
              </w:rPr>
              <w:t xml:space="preserve">Data sync</w:t>
            </w:r>
          </w:p>
        </w:tc>
        <w:tc>
          <w:tcPr>
            <w:tcW w:type="dxa" w:w="696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color w:val="1A1A1A"/>
                <w:sz w:val="21"/>
                <w:szCs w:val="21"/>
              </w:rPr>
              <w:t xml:space="preserve">Firebase or Supabase for real-time community report ingestion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E3B"/>
                <w:sz w:val="21"/>
                <w:szCs w:val="21"/>
              </w:rPr>
              <w:t xml:space="preserve">SDK layer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Lightweight REST API + WebSocket for third-party navigation platform integration</w:t>
            </w:r>
          </w:p>
        </w:tc>
      </w:tr>
    </w:tbl>
    <w:p>
      <w:pPr>
        <w:spacing w:after="160" w:before="160"/>
      </w:pPr>
      <w:r>
        <w:t xml:space="preserve"/>
      </w:r>
    </w:p>
    <w:p>
      <w:pPr>
        <w:pStyle w:val="Heading2"/>
        <w:spacing w:after="80" w:before="240"/>
      </w:pPr>
      <w:r>
        <w:rPr>
          <w:rFonts w:ascii="Arial" w:cs="Arial" w:eastAsia="Arial" w:hAnsi="Arial"/>
          <w:b/>
          <w:bCs/>
          <w:color w:val="005A52"/>
          <w:sz w:val="24"/>
          <w:szCs w:val="24"/>
        </w:rPr>
        <w:t xml:space="preserve">MVP Scope — Version 1.0</w:t>
      </w:r>
    </w:p>
    <w:p>
      <w:pPr>
        <w:pStyle w:val="ListParagraph"/>
        <w:numPr>
          <w:ilvl w:val="0"/>
          <w:numId w:val="2"/>
        </w:numPr>
        <w:spacing w:after="100"/>
      </w:pPr>
      <w:r>
        <w:rPr>
          <w:rFonts w:ascii="Arial" w:cs="Arial" w:eastAsia="Arial" w:hAnsi="Arial"/>
          <w:b w:val="false"/>
          <w:bCs w:val="false"/>
          <w:color w:val="1A1A1A"/>
          <w:sz w:val="22"/>
          <w:szCs w:val="22"/>
        </w:rPr>
        <w:t xml:space="preserve">Route calculation with facility overlay (nearest 3 facilities per 30km segment)</w:t>
      </w:r>
    </w:p>
    <w:p>
      <w:pPr>
        <w:pStyle w:val="ListParagraph"/>
        <w:numPr>
          <w:ilvl w:val="0"/>
          <w:numId w:val="2"/>
        </w:numPr>
        <w:spacing w:after="100"/>
      </w:pPr>
      <w:r>
        <w:rPr>
          <w:rFonts w:ascii="Arial" w:cs="Arial" w:eastAsia="Arial" w:hAnsi="Arial"/>
          <w:b w:val="false"/>
          <w:bCs w:val="false"/>
          <w:color w:val="1A1A1A"/>
          <w:sz w:val="22"/>
          <w:szCs w:val="22"/>
        </w:rPr>
        <w:t xml:space="preserve">Gap warning system — alert 15km before a dead zone</w:t>
      </w:r>
    </w:p>
    <w:p>
      <w:pPr>
        <w:pStyle w:val="ListParagraph"/>
        <w:numPr>
          <w:ilvl w:val="0"/>
          <w:numId w:val="2"/>
        </w:numPr>
        <w:spacing w:after="100"/>
      </w:pPr>
      <w:r>
        <w:rPr>
          <w:rFonts w:ascii="Arial" w:cs="Arial" w:eastAsia="Arial" w:hAnsi="Arial"/>
          <w:b w:val="false"/>
          <w:bCs w:val="false"/>
          <w:color w:val="1A1A1A"/>
          <w:sz w:val="22"/>
          <w:szCs w:val="22"/>
        </w:rPr>
        <w:t xml:space="preserve">Urgency slider with live re-prioritisation</w:t>
      </w:r>
    </w:p>
    <w:p>
      <w:pPr>
        <w:pStyle w:val="ListParagraph"/>
        <w:numPr>
          <w:ilvl w:val="0"/>
          <w:numId w:val="2"/>
        </w:numPr>
        <w:spacing w:after="100"/>
      </w:pPr>
      <w:r>
        <w:rPr>
          <w:rFonts w:ascii="Arial" w:cs="Arial" w:eastAsia="Arial" w:hAnsi="Arial"/>
          <w:b w:val="false"/>
          <w:bCs w:val="false"/>
          <w:color w:val="1A1A1A"/>
          <w:sz w:val="22"/>
          <w:szCs w:val="22"/>
        </w:rPr>
        <w:t xml:space="preserve">2 voice avatars at launch (Bazza + Reginald)</w:t>
      </w:r>
    </w:p>
    <w:p>
      <w:pPr>
        <w:pStyle w:val="ListParagraph"/>
        <w:numPr>
          <w:ilvl w:val="0"/>
          <w:numId w:val="2"/>
        </w:numPr>
        <w:spacing w:after="100"/>
      </w:pPr>
      <w:r>
        <w:rPr>
          <w:rFonts w:ascii="Arial" w:cs="Arial" w:eastAsia="Arial" w:hAnsi="Arial"/>
          <w:b w:val="false"/>
          <w:bCs w:val="false"/>
          <w:color w:val="1A1A1A"/>
          <w:sz w:val="22"/>
          <w:szCs w:val="22"/>
        </w:rPr>
        <w:t xml:space="preserve">Basic facility rating: open/closed, cleanliness score, accessibility flag</w:t>
      </w:r>
    </w:p>
    <w:p>
      <w:pPr>
        <w:pStyle w:val="ListParagraph"/>
        <w:numPr>
          <w:ilvl w:val="0"/>
          <w:numId w:val="2"/>
        </w:numPr>
        <w:spacing w:after="100"/>
      </w:pPr>
      <w:r>
        <w:rPr>
          <w:rFonts w:ascii="Arial" w:cs="Arial" w:eastAsia="Arial" w:hAnsi="Arial"/>
          <w:b w:val="false"/>
          <w:bCs w:val="false"/>
          <w:color w:val="1A1A1A"/>
          <w:sz w:val="22"/>
          <w:szCs w:val="22"/>
        </w:rPr>
        <w:t xml:space="preserve">Community report button — one-tap status update</w:t>
      </w:r>
    </w:p>
    <w:p>
      <w:pPr>
        <w:pStyle w:val="ListParagraph"/>
        <w:numPr>
          <w:ilvl w:val="0"/>
          <w:numId w:val="2"/>
        </w:numPr>
        <w:spacing w:after="100"/>
      </w:pPr>
      <w:r>
        <w:rPr>
          <w:rFonts w:ascii="Arial" w:cs="Arial" w:eastAsia="Arial" w:hAnsi="Arial"/>
          <w:b w:val="false"/>
          <w:bCs w:val="false"/>
          <w:color w:val="1A1A1A"/>
          <w:sz w:val="22"/>
          <w:szCs w:val="22"/>
        </w:rPr>
        <w:t xml:space="preserve">Offline mode for pre-cached routes</w:t>
      </w:r>
    </w:p>
    <w:p>
      <w:pPr>
        <w:spacing w:after="160" w:before="200"/>
      </w:pPr>
      <w:r>
        <w:t xml:space="preserve"/>
      </w:r>
    </w:p>
    <w:p>
      <w:r>
        <w:br w:type="page"/>
      </w:r>
    </w:p>
    <w:p>
      <w:pPr>
        <w:pStyle w:val="Heading1"/>
        <w:pBdr>
          <w:bottom w:val="single" w:color="007A6E" w:sz="6"/>
        </w:pBdr>
        <w:spacing w:after="120" w:before="320"/>
      </w:pPr>
      <w:r>
        <w:rPr>
          <w:rFonts w:ascii="Arial" w:cs="Arial" w:eastAsia="Arial" w:hAnsi="Arial"/>
          <w:b/>
          <w:bCs/>
          <w:color w:val="007A6E"/>
          <w:sz w:val="32"/>
          <w:szCs w:val="32"/>
        </w:rPr>
        <w:t xml:space="preserve">06  </w:t>
      </w:r>
      <w:r>
        <w:rPr>
          <w:rFonts w:ascii="Arial" w:cs="Arial" w:eastAsia="Arial" w:hAnsi="Arial"/>
          <w:b/>
          <w:bCs/>
          <w:color w:val="1A2E3B"/>
          <w:sz w:val="32"/>
          <w:szCs w:val="32"/>
        </w:rPr>
        <w:t xml:space="preserve">Development Roadmap</w:t>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005A52" w:sz="1"/>
              <w:left w:val="single" w:color="005A52" w:sz="1"/>
              <w:bottom w:val="single" w:color="005A52" w:sz="1"/>
              <w:right w:val="single" w:color="005A52" w:sz="1"/>
            </w:tcBorders>
            <w:shd w:fill="005A52" w:val="clear"/>
            <w:tcMar>
              <w:top w:type="dxa" w:w="80"/>
              <w:left w:type="dxa" w:w="120"/>
              <w:bottom w:type="dxa" w:w="80"/>
              <w:right w:type="dxa" w:w="120"/>
            </w:tcMar>
          </w:tcPr>
          <w:p>
            <w:r>
              <w:rPr>
                <w:rFonts w:ascii="Arial" w:cs="Arial" w:eastAsia="Arial" w:hAnsi="Arial"/>
                <w:b/>
                <w:bCs/>
                <w:color w:val="FFFFFF"/>
                <w:sz w:val="21"/>
                <w:szCs w:val="21"/>
              </w:rPr>
              <w:t xml:space="preserve">Phase</w:t>
            </w:r>
          </w:p>
        </w:tc>
        <w:tc>
          <w:tcPr>
            <w:tcW w:type="dxa" w:w="2200"/>
            <w:tcBorders>
              <w:top w:val="single" w:color="005A52" w:sz="1"/>
              <w:left w:val="single" w:color="005A52" w:sz="1"/>
              <w:bottom w:val="single" w:color="005A52" w:sz="1"/>
              <w:right w:val="single" w:color="005A52" w:sz="1"/>
            </w:tcBorders>
            <w:shd w:fill="005A52" w:val="clear"/>
            <w:tcMar>
              <w:top w:type="dxa" w:w="80"/>
              <w:left w:type="dxa" w:w="120"/>
              <w:bottom w:type="dxa" w:w="80"/>
              <w:right w:type="dxa" w:w="120"/>
            </w:tcMar>
          </w:tcPr>
          <w:p>
            <w:r>
              <w:rPr>
                <w:rFonts w:ascii="Arial" w:cs="Arial" w:eastAsia="Arial" w:hAnsi="Arial"/>
                <w:b/>
                <w:bCs/>
                <w:color w:val="FFFFFF"/>
                <w:sz w:val="21"/>
                <w:szCs w:val="21"/>
              </w:rPr>
              <w:t xml:space="preserve">Timeline</w:t>
            </w:r>
          </w:p>
        </w:tc>
        <w:tc>
          <w:tcPr>
            <w:tcW w:type="dxa" w:w="5360"/>
            <w:tcBorders>
              <w:top w:val="single" w:color="005A52" w:sz="1"/>
              <w:left w:val="single" w:color="005A52" w:sz="1"/>
              <w:bottom w:val="single" w:color="005A52" w:sz="1"/>
              <w:right w:val="single" w:color="005A52" w:sz="1"/>
            </w:tcBorders>
            <w:shd w:fill="005A52" w:val="clear"/>
            <w:tcMar>
              <w:top w:type="dxa" w:w="80"/>
              <w:left w:type="dxa" w:w="120"/>
              <w:bottom w:type="dxa" w:w="80"/>
              <w:right w:type="dxa" w:w="120"/>
            </w:tcMar>
          </w:tcPr>
          <w:p>
            <w:r>
              <w:rPr>
                <w:rFonts w:ascii="Arial" w:cs="Arial" w:eastAsia="Arial" w:hAnsi="Arial"/>
                <w:b/>
                <w:bCs/>
                <w:color w:val="FFFFFF"/>
                <w:sz w:val="21"/>
                <w:szCs w:val="21"/>
              </w:rPr>
              <w:t xml:space="preserve">Milestones</w:t>
            </w:r>
          </w:p>
        </w:tc>
      </w:tr>
      <w:tr>
        <w:tc>
          <w:tcPr>
            <w:tcW w:type="dxa" w:w="1800"/>
            <w:tcBorders>
              <w:top w:val="single" w:color="CCCCCC" w:sz="1"/>
              <w:left w:val="single" w:color="CCCCCC" w:sz="1"/>
              <w:bottom w:val="single" w:color="CCCCCC" w:sz="1"/>
              <w:right w:val="single" w:color="CCCCCC" w:sz="1"/>
            </w:tcBorders>
            <w:shd w:fill="F8FAFA" w:val="clear"/>
            <w:tcMar>
              <w:top w:type="dxa" w:w="100"/>
              <w:left w:type="dxa" w:w="120"/>
              <w:bottom w:type="dxa" w:w="100"/>
              <w:right w:type="dxa" w:w="120"/>
            </w:tcMar>
          </w:tcPr>
          <w:p>
            <w:r>
              <w:rPr>
                <w:rFonts w:ascii="Arial" w:cs="Arial" w:eastAsia="Arial" w:hAnsi="Arial"/>
                <w:b/>
                <w:bCs/>
                <w:color w:val="005A52"/>
                <w:sz w:val="20"/>
                <w:szCs w:val="20"/>
              </w:rPr>
              <w:t xml:space="preserve">Phase 1
Foundation</w:t>
            </w:r>
          </w:p>
        </w:tc>
        <w:tc>
          <w:tcPr>
            <w:tcW w:type="dxa" w:w="2200"/>
            <w:tcBorders>
              <w:top w:val="single" w:color="CCCCCC" w:sz="1"/>
              <w:left w:val="single" w:color="CCCCCC" w:sz="1"/>
              <w:bottom w:val="single" w:color="CCCCCC" w:sz="1"/>
              <w:right w:val="single" w:color="CCCCCC" w:sz="1"/>
            </w:tcBorders>
            <w:shd w:fill="F8FAFA" w:val="clear"/>
            <w:tcMar>
              <w:top w:type="dxa" w:w="100"/>
              <w:left w:type="dxa" w:w="120"/>
              <w:bottom w:type="dxa" w:w="100"/>
              <w:right w:type="dxa" w:w="120"/>
            </w:tcMar>
          </w:tcPr>
          <w:p>
            <w:r>
              <w:rPr>
                <w:rFonts w:ascii="Arial" w:cs="Arial" w:eastAsia="Arial" w:hAnsi="Arial"/>
                <w:color w:val="6B7C8A"/>
                <w:sz w:val="20"/>
                <w:szCs w:val="20"/>
              </w:rPr>
              <w:t xml:space="preserve">Months 1–3</w:t>
            </w:r>
          </w:p>
        </w:tc>
        <w:tc>
          <w:tcPr>
            <w:tcW w:type="dxa" w:w="5360"/>
            <w:tcBorders>
              <w:top w:val="single" w:color="CCCCCC" w:sz="1"/>
              <w:left w:val="single" w:color="CCCCCC" w:sz="1"/>
              <w:bottom w:val="single" w:color="CCCCCC" w:sz="1"/>
              <w:right w:val="single" w:color="CCCCCC" w:sz="1"/>
            </w:tcBorders>
            <w:shd w:fill="F8FAFA" w:val="clear"/>
            <w:tcMar>
              <w:top w:type="dxa" w:w="100"/>
              <w:left w:type="dxa" w:w="120"/>
              <w:bottom w:type="dxa" w:w="100"/>
              <w:right w:type="dxa" w:w="120"/>
            </w:tcMar>
          </w:tcPr>
          <w:p>
            <w:r>
              <w:rPr>
                <w:rFonts w:ascii="Arial" w:cs="Arial" w:eastAsia="Arial" w:hAnsi="Arial"/>
                <w:color w:val="1A1A1A"/>
                <w:sz w:val="20"/>
                <w:szCs w:val="20"/>
              </w:rPr>
              <w:t xml:space="preserve">Technical co-founder / dev engagement; seed database population for SE Queensland launch region; clickable prototype; NRMA/RACQ initial conversations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5A52"/>
                <w:sz w:val="20"/>
                <w:szCs w:val="20"/>
              </w:rPr>
              <w:t xml:space="preserve">Phase 2
MVP Build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6B7C8A"/>
                <w:sz w:val="20"/>
                <w:szCs w:val="20"/>
              </w:rPr>
              <w:t xml:space="preserve">Months 4–6</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20"/>
                <w:szCs w:val="20"/>
              </w:rPr>
              <w:t xml:space="preserve">Working iOS and Android app; 2 voice avatars; basic facility data for QLD corridor; closed beta with 500 users; press and social seeding</w:t>
            </w:r>
          </w:p>
        </w:tc>
      </w:tr>
      <w:tr>
        <w:tc>
          <w:tcPr>
            <w:tcW w:type="dxa" w:w="1800"/>
            <w:tcBorders>
              <w:top w:val="single" w:color="CCCCCC" w:sz="1"/>
              <w:left w:val="single" w:color="CCCCCC" w:sz="1"/>
              <w:bottom w:val="single" w:color="CCCCCC" w:sz="1"/>
              <w:right w:val="single" w:color="CCCCCC" w:sz="1"/>
            </w:tcBorders>
            <w:shd w:fill="F8FAFA" w:val="clear"/>
            <w:tcMar>
              <w:top w:type="dxa" w:w="100"/>
              <w:left w:type="dxa" w:w="120"/>
              <w:bottom w:type="dxa" w:w="100"/>
              <w:right w:type="dxa" w:w="120"/>
            </w:tcMar>
          </w:tcPr>
          <w:p>
            <w:r>
              <w:rPr>
                <w:rFonts w:ascii="Arial" w:cs="Arial" w:eastAsia="Arial" w:hAnsi="Arial"/>
                <w:b/>
                <w:bCs/>
                <w:color w:val="005A52"/>
                <w:sz w:val="20"/>
                <w:szCs w:val="20"/>
              </w:rPr>
              <w:t xml:space="preserve">Phase 3
Public Launch</w:t>
            </w:r>
          </w:p>
        </w:tc>
        <w:tc>
          <w:tcPr>
            <w:tcW w:type="dxa" w:w="2200"/>
            <w:tcBorders>
              <w:top w:val="single" w:color="CCCCCC" w:sz="1"/>
              <w:left w:val="single" w:color="CCCCCC" w:sz="1"/>
              <w:bottom w:val="single" w:color="CCCCCC" w:sz="1"/>
              <w:right w:val="single" w:color="CCCCCC" w:sz="1"/>
            </w:tcBorders>
            <w:shd w:fill="F8FAFA" w:val="clear"/>
            <w:tcMar>
              <w:top w:type="dxa" w:w="100"/>
              <w:left w:type="dxa" w:w="120"/>
              <w:bottom w:type="dxa" w:w="100"/>
              <w:right w:type="dxa" w:w="120"/>
            </w:tcMar>
          </w:tcPr>
          <w:p>
            <w:r>
              <w:rPr>
                <w:rFonts w:ascii="Arial" w:cs="Arial" w:eastAsia="Arial" w:hAnsi="Arial"/>
                <w:color w:val="6B7C8A"/>
                <w:sz w:val="20"/>
                <w:szCs w:val="20"/>
              </w:rPr>
              <w:t xml:space="preserve">Months 7–9</w:t>
            </w:r>
          </w:p>
        </w:tc>
        <w:tc>
          <w:tcPr>
            <w:tcW w:type="dxa" w:w="5360"/>
            <w:tcBorders>
              <w:top w:val="single" w:color="CCCCCC" w:sz="1"/>
              <w:left w:val="single" w:color="CCCCCC" w:sz="1"/>
              <w:bottom w:val="single" w:color="CCCCCC" w:sz="1"/>
              <w:right w:val="single" w:color="CCCCCC" w:sz="1"/>
            </w:tcBorders>
            <w:shd w:fill="F8FAFA" w:val="clear"/>
            <w:tcMar>
              <w:top w:type="dxa" w:w="100"/>
              <w:left w:type="dxa" w:w="120"/>
              <w:bottom w:type="dxa" w:w="100"/>
              <w:right w:type="dxa" w:w="120"/>
            </w:tcMar>
          </w:tcPr>
          <w:p>
            <w:r>
              <w:rPr>
                <w:rFonts w:ascii="Arial" w:cs="Arial" w:eastAsia="Arial" w:hAnsi="Arial"/>
                <w:color w:val="1A1A1A"/>
                <w:sz w:val="20"/>
                <w:szCs w:val="20"/>
              </w:rPr>
              <w:t xml:space="preserve">App Store launch (Australia); community reporting live; influencer campaign targeting grey nomad, parenting, and road trip communities; media outreach</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5A52"/>
                <w:sz w:val="20"/>
                <w:szCs w:val="20"/>
              </w:rPr>
              <w:t xml:space="preserve">Phase 4
Expansion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6B7C8A"/>
                <w:sz w:val="20"/>
                <w:szCs w:val="20"/>
              </w:rPr>
              <w:t xml:space="preserve">Months 10–15</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20"/>
                <w:szCs w:val="20"/>
              </w:rPr>
              <w:t xml:space="preserve">UK launch; additional avatars (Morag, Gran, Seamus); motoring club licensing conversations; accessibility data layer for NDIS/disability sector</w:t>
            </w:r>
          </w:p>
        </w:tc>
      </w:tr>
      <w:tr>
        <w:tc>
          <w:tcPr>
            <w:tcW w:type="dxa" w:w="1800"/>
            <w:tcBorders>
              <w:top w:val="single" w:color="CCCCCC" w:sz="1"/>
              <w:left w:val="single" w:color="CCCCCC" w:sz="1"/>
              <w:bottom w:val="single" w:color="CCCCCC" w:sz="1"/>
              <w:right w:val="single" w:color="CCCCCC" w:sz="1"/>
            </w:tcBorders>
            <w:shd w:fill="F8FAFA" w:val="clear"/>
            <w:tcMar>
              <w:top w:type="dxa" w:w="100"/>
              <w:left w:type="dxa" w:w="120"/>
              <w:bottom w:type="dxa" w:w="100"/>
              <w:right w:type="dxa" w:w="120"/>
            </w:tcMar>
          </w:tcPr>
          <w:p>
            <w:r>
              <w:rPr>
                <w:rFonts w:ascii="Arial" w:cs="Arial" w:eastAsia="Arial" w:hAnsi="Arial"/>
                <w:b/>
                <w:bCs/>
                <w:color w:val="005A52"/>
                <w:sz w:val="20"/>
                <w:szCs w:val="20"/>
              </w:rPr>
              <w:t xml:space="preserve">Phase 5
Platform</w:t>
            </w:r>
          </w:p>
        </w:tc>
        <w:tc>
          <w:tcPr>
            <w:tcW w:type="dxa" w:w="2200"/>
            <w:tcBorders>
              <w:top w:val="single" w:color="CCCCCC" w:sz="1"/>
              <w:left w:val="single" w:color="CCCCCC" w:sz="1"/>
              <w:bottom w:val="single" w:color="CCCCCC" w:sz="1"/>
              <w:right w:val="single" w:color="CCCCCC" w:sz="1"/>
            </w:tcBorders>
            <w:shd w:fill="F8FAFA" w:val="clear"/>
            <w:tcMar>
              <w:top w:type="dxa" w:w="100"/>
              <w:left w:type="dxa" w:w="120"/>
              <w:bottom w:type="dxa" w:w="100"/>
              <w:right w:type="dxa" w:w="120"/>
            </w:tcMar>
          </w:tcPr>
          <w:p>
            <w:r>
              <w:rPr>
                <w:rFonts w:ascii="Arial" w:cs="Arial" w:eastAsia="Arial" w:hAnsi="Arial"/>
                <w:color w:val="6B7C8A"/>
                <w:sz w:val="20"/>
                <w:szCs w:val="20"/>
              </w:rPr>
              <w:t xml:space="preserve">Months 16–24</w:t>
            </w:r>
          </w:p>
        </w:tc>
        <w:tc>
          <w:tcPr>
            <w:tcW w:type="dxa" w:w="5360"/>
            <w:tcBorders>
              <w:top w:val="single" w:color="CCCCCC" w:sz="1"/>
              <w:left w:val="single" w:color="CCCCCC" w:sz="1"/>
              <w:bottom w:val="single" w:color="CCCCCC" w:sz="1"/>
              <w:right w:val="single" w:color="CCCCCC" w:sz="1"/>
            </w:tcBorders>
            <w:shd w:fill="F8FAFA" w:val="clear"/>
            <w:tcMar>
              <w:top w:type="dxa" w:w="100"/>
              <w:left w:type="dxa" w:w="120"/>
              <w:bottom w:type="dxa" w:w="100"/>
              <w:right w:type="dxa" w:w="120"/>
            </w:tcMar>
          </w:tcPr>
          <w:p>
            <w:r>
              <w:rPr>
                <w:rFonts w:ascii="Arial" w:cs="Arial" w:eastAsia="Arial" w:hAnsi="Arial"/>
                <w:color w:val="1A1A1A"/>
                <w:sz w:val="20"/>
                <w:szCs w:val="20"/>
              </w:rPr>
              <w:t xml:space="preserve">SDK for third-party navigation integration; international expansion; healthcare sector partnerships; explore acquisition or Series A</w:t>
            </w:r>
          </w:p>
        </w:tc>
      </w:tr>
    </w:tbl>
    <w:p>
      <w:pPr>
        <w:spacing w:after="160" w:before="200"/>
      </w:pPr>
      <w:r>
        <w:t xml:space="preserve"/>
      </w:r>
    </w:p>
    <w:p>
      <w:r>
        <w:br w:type="page"/>
      </w:r>
    </w:p>
    <w:p>
      <w:pPr>
        <w:pStyle w:val="Heading1"/>
        <w:pBdr>
          <w:bottom w:val="single" w:color="007A6E" w:sz="6"/>
        </w:pBdr>
        <w:spacing w:after="120" w:before="320"/>
      </w:pPr>
      <w:r>
        <w:rPr>
          <w:rFonts w:ascii="Arial" w:cs="Arial" w:eastAsia="Arial" w:hAnsi="Arial"/>
          <w:b/>
          <w:bCs/>
          <w:color w:val="007A6E"/>
          <w:sz w:val="32"/>
          <w:szCs w:val="32"/>
        </w:rPr>
        <w:t xml:space="preserve">07  </w:t>
      </w:r>
      <w:r>
        <w:rPr>
          <w:rFonts w:ascii="Arial" w:cs="Arial" w:eastAsia="Arial" w:hAnsi="Arial"/>
          <w:b/>
          <w:bCs/>
          <w:color w:val="1A2E3B"/>
          <w:sz w:val="32"/>
          <w:szCs w:val="32"/>
        </w:rPr>
        <w:t xml:space="preserve">Partnership Proposition</w:t>
      </w:r>
    </w:p>
    <w:p>
      <w:pPr>
        <w:spacing w:after="80" w:before="0"/>
      </w:pPr>
      <w:r>
        <w:t xml:space="preserve"/>
      </w:r>
    </w:p>
    <w:p>
      <w:pPr>
        <w:spacing w:after="160"/>
      </w:pPr>
      <w:r>
        <w:rPr>
          <w:rFonts w:ascii="Arial" w:cs="Arial" w:eastAsia="Arial" w:hAnsi="Arial"/>
          <w:color w:val="1A1A1A"/>
          <w:sz w:val="22"/>
          <w:szCs w:val="22"/>
        </w:rPr>
        <w:t xml:space="preserve">GottaGo is actively seeking one or more of the following partnerships to move from concept to market. The originator brings the concept, the brand identity, the market insight, and the product vision. Partners bring complementary capability.</w:t>
      </w:r>
    </w:p>
    <w:p>
      <w:pPr>
        <w:pStyle w:val="Heading2"/>
        <w:spacing w:after="80" w:before="240"/>
      </w:pPr>
      <w:r>
        <w:rPr>
          <w:rFonts w:ascii="Arial" w:cs="Arial" w:eastAsia="Arial" w:hAnsi="Arial"/>
          <w:b/>
          <w:bCs/>
          <w:color w:val="005A52"/>
          <w:sz w:val="24"/>
          <w:szCs w:val="24"/>
        </w:rPr>
        <w:t xml:space="preserve">Ideal Partner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b/>
                <w:bCs/>
                <w:color w:val="1A2E3B"/>
                <w:sz w:val="21"/>
                <w:szCs w:val="21"/>
              </w:rPr>
              <w:t xml:space="preserve">Technical Co-Founder</w:t>
            </w:r>
          </w:p>
        </w:tc>
        <w:tc>
          <w:tcPr>
            <w:tcW w:type="dxa" w:w="656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color w:val="1A1A1A"/>
                <w:sz w:val="21"/>
                <w:szCs w:val="21"/>
              </w:rPr>
              <w:t xml:space="preserve">Mobile developer (React Native preferred) with product instinct; equity-based; ideally someone who has also been caught short on a road trip and gets it immediately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E3B"/>
                <w:sz w:val="21"/>
                <w:szCs w:val="21"/>
              </w:rPr>
              <w:t xml:space="preserve">Motoring Organisation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NRMA, RACQ, RAA, or equivalent; brings existing member base, brand trust, mapping data relationships, and marketing reach; approached for licensing or co-development</w:t>
            </w:r>
          </w:p>
        </w:tc>
      </w:tr>
      <w:tr>
        <w:tc>
          <w:tcPr>
            <w:tcW w:type="dxa" w:w="280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b/>
                <w:bCs/>
                <w:color w:val="1A2E3B"/>
                <w:sz w:val="21"/>
                <w:szCs w:val="21"/>
              </w:rPr>
              <w:t xml:space="preserve">Navigation Platform</w:t>
            </w:r>
          </w:p>
        </w:tc>
        <w:tc>
          <w:tcPr>
            <w:tcW w:type="dxa" w:w="656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color w:val="1A1A1A"/>
                <w:sz w:val="21"/>
                <w:szCs w:val="21"/>
              </w:rPr>
              <w:t xml:space="preserve">Waze, HERE Technologies, TomTom, or similar; approached once MVP traction is demonstrated; GottaGo data layer as embedded feature or acquisition target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E3B"/>
                <w:sz w:val="21"/>
                <w:szCs w:val="21"/>
              </w:rPr>
              <w:t xml:space="preserve">Aged Care / Disability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Sector body or peak organisation; co-funds accessible facility data layer in exchange for branded version and sector licensing rights</w:t>
            </w:r>
          </w:p>
        </w:tc>
      </w:tr>
      <w:tr>
        <w:tc>
          <w:tcPr>
            <w:tcW w:type="dxa" w:w="280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b/>
                <w:bCs/>
                <w:color w:val="1A2E3B"/>
                <w:sz w:val="21"/>
                <w:szCs w:val="21"/>
              </w:rPr>
              <w:t xml:space="preserve">Grant / Innovation Fund</w:t>
            </w:r>
          </w:p>
        </w:tc>
        <w:tc>
          <w:tcPr>
            <w:tcW w:type="dxa" w:w="656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color w:val="1A1A1A"/>
                <w:sz w:val="21"/>
                <w:szCs w:val="21"/>
              </w:rPr>
              <w:t xml:space="preserve">Australian Government Digital Economy grants, state tourism innovation funds, or disability technology investment programs</w:t>
            </w:r>
          </w:p>
        </w:tc>
      </w:tr>
    </w:tbl>
    <w:p>
      <w:pPr>
        <w:spacing w:after="1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A6E" w:sz="1"/>
              <w:left w:val="single" w:color="007A6E" w:sz="18"/>
              <w:bottom w:val="single" w:color="007A6E" w:sz="1"/>
              <w:right w:val="none" w:color="FFFFFF" w:sz="0"/>
            </w:tcBorders>
            <w:shd w:fill="E6F5F3" w:val="clear"/>
            <w:tcMar>
              <w:top w:type="dxa" w:w="120"/>
              <w:left w:type="dxa" w:w="200"/>
              <w:bottom w:type="dxa" w:w="120"/>
              <w:right w:type="dxa" w:w="200"/>
            </w:tcMar>
          </w:tcPr>
          <w:p>
            <w:r>
              <w:rPr>
                <w:rFonts w:ascii="Arial" w:cs="Arial" w:eastAsia="Arial" w:hAnsi="Arial"/>
                <w:i/>
                <w:iCs/>
                <w:color w:val="005A52"/>
                <w:sz w:val="22"/>
                <w:szCs w:val="22"/>
              </w:rPr>
              <w:t xml:space="preserve">The most valuable early conversation is with a motoring club. They have the members who need this most, the existing navigation relationships, and the funding capacity — with zero technology ego about building it themselves.</w:t>
            </w:r>
          </w:p>
        </w:tc>
      </w:tr>
    </w:tbl>
    <w:p>
      <w:pPr>
        <w:spacing w:after="200" w:before="200"/>
      </w:pPr>
      <w:r>
        <w:t xml:space="preserve"/>
      </w:r>
    </w:p>
    <w:p>
      <w:r>
        <w:br w:type="page"/>
      </w:r>
    </w:p>
    <w:p>
      <w:pPr>
        <w:pStyle w:val="Heading1"/>
        <w:pBdr>
          <w:bottom w:val="single" w:color="007A6E" w:sz="6"/>
        </w:pBdr>
        <w:spacing w:after="120" w:before="320"/>
      </w:pPr>
      <w:r>
        <w:rPr>
          <w:rFonts w:ascii="Arial" w:cs="Arial" w:eastAsia="Arial" w:hAnsi="Arial"/>
          <w:b/>
          <w:bCs/>
          <w:color w:val="007A6E"/>
          <w:sz w:val="32"/>
          <w:szCs w:val="32"/>
        </w:rPr>
        <w:t xml:space="preserve">08  </w:t>
      </w:r>
      <w:r>
        <w:rPr>
          <w:rFonts w:ascii="Arial" w:cs="Arial" w:eastAsia="Arial" w:hAnsi="Arial"/>
          <w:b/>
          <w:bCs/>
          <w:color w:val="1A2E3B"/>
          <w:sz w:val="32"/>
          <w:szCs w:val="32"/>
        </w:rPr>
        <w:t xml:space="preserve">Why Now — Why This</w:t>
      </w:r>
    </w:p>
    <w:p>
      <w:pPr>
        <w:spacing w:after="80" w:before="0"/>
      </w:pPr>
      <w:r>
        <w:t xml:space="preserve"/>
      </w:r>
    </w:p>
    <w:p>
      <w:pPr>
        <w:spacing w:after="160"/>
      </w:pPr>
      <w:r>
        <w:rPr>
          <w:rFonts w:ascii="Arial" w:cs="Arial" w:eastAsia="Arial" w:hAnsi="Arial"/>
          <w:color w:val="1A1A1A"/>
          <w:sz w:val="22"/>
          <w:szCs w:val="22"/>
        </w:rPr>
        <w:t xml:space="preserve">Navigation apps have reached feature parity on the basics — traffic, speed cameras, fuel prices, parking. The next wave of differentiation is hyper-personal utility: features that serve specific, deeply-felt human needs that have previously been ignored because they are considered too niche, too awkward, or too unglamorous.</w:t>
      </w:r>
    </w:p>
    <w:p>
      <w:pPr>
        <w:spacing w:after="160"/>
      </w:pPr>
      <w:r>
        <w:rPr>
          <w:rFonts w:ascii="Arial" w:cs="Arial" w:eastAsia="Arial" w:hAnsi="Arial"/>
          <w:color w:val="1A1A1A"/>
          <w:sz w:val="22"/>
          <w:szCs w:val="22"/>
        </w:rPr>
        <w:t xml:space="preserve">GottaGo is none of those things. It is universal. Every human being on earth has needed a bathroom at an inconvenient time. The category has been ignored not because the need is niche but because nobody has treated it with the product seriousness it deserves.</w:t>
      </w:r>
    </w:p>
    <w:p>
      <w:pPr>
        <w:spacing w:after="160"/>
      </w:pPr>
      <w:r>
        <w:rPr>
          <w:rFonts w:ascii="Arial" w:cs="Arial" w:eastAsia="Arial" w:hAnsi="Arial"/>
          <w:color w:val="1A1A1A"/>
          <w:sz w:val="22"/>
          <w:szCs w:val="22"/>
        </w:rPr>
        <w:t xml:space="preserve">The timing is right because:</w:t>
      </w:r>
    </w:p>
    <w:p>
      <w:pPr>
        <w:pStyle w:val="ListParagraph"/>
        <w:numPr>
          <w:ilvl w:val="0"/>
          <w:numId w:val="2"/>
        </w:numPr>
        <w:spacing w:after="100"/>
      </w:pPr>
      <w:r>
        <w:rPr>
          <w:rFonts w:ascii="Arial" w:cs="Arial" w:eastAsia="Arial" w:hAnsi="Arial"/>
          <w:b w:val="false"/>
          <w:bCs w:val="false"/>
          <w:color w:val="1A1A1A"/>
          <w:sz w:val="22"/>
          <w:szCs w:val="22"/>
        </w:rPr>
        <w:t xml:space="preserve">Australia's population is ageing — the over-65 cohort is the fastest growing demographic and the most motivated user group</w:t>
      </w:r>
    </w:p>
    <w:p>
      <w:pPr>
        <w:pStyle w:val="ListParagraph"/>
        <w:numPr>
          <w:ilvl w:val="0"/>
          <w:numId w:val="2"/>
        </w:numPr>
        <w:spacing w:after="100"/>
      </w:pPr>
      <w:r>
        <w:rPr>
          <w:rFonts w:ascii="Arial" w:cs="Arial" w:eastAsia="Arial" w:hAnsi="Arial"/>
          <w:b w:val="false"/>
          <w:bCs w:val="false"/>
          <w:color w:val="1A1A1A"/>
          <w:sz w:val="22"/>
          <w:szCs w:val="22"/>
        </w:rPr>
        <w:t xml:space="preserve">Road trips surged post-COVID and domestic travel remains elevated — more time in cars means more exposure to the problem</w:t>
      </w:r>
    </w:p>
    <w:p>
      <w:pPr>
        <w:pStyle w:val="ListParagraph"/>
        <w:numPr>
          <w:ilvl w:val="0"/>
          <w:numId w:val="2"/>
        </w:numPr>
        <w:spacing w:after="100"/>
      </w:pPr>
      <w:r>
        <w:rPr>
          <w:rFonts w:ascii="Arial" w:cs="Arial" w:eastAsia="Arial" w:hAnsi="Arial"/>
          <w:b w:val="false"/>
          <w:bCs w:val="false"/>
          <w:color w:val="1A1A1A"/>
          <w:sz w:val="22"/>
          <w:szCs w:val="22"/>
        </w:rPr>
        <w:t xml:space="preserve">Community-sourced app data is now a proven model — Waze proved users will contribute if the value exchange is clear</w:t>
      </w:r>
    </w:p>
    <w:p>
      <w:pPr>
        <w:pStyle w:val="ListParagraph"/>
        <w:numPr>
          <w:ilvl w:val="0"/>
          <w:numId w:val="2"/>
        </w:numPr>
        <w:spacing w:after="100"/>
      </w:pPr>
      <w:r>
        <w:rPr>
          <w:rFonts w:ascii="Arial" w:cs="Arial" w:eastAsia="Arial" w:hAnsi="Arial"/>
          <w:b w:val="false"/>
          <w:bCs w:val="false"/>
          <w:color w:val="1A1A1A"/>
          <w:sz w:val="22"/>
          <w:szCs w:val="22"/>
        </w:rPr>
        <w:t xml:space="preserve">Voice interface technology has matured — personality-rich avatar voices are now achievable at low cost with ElevenLabs and similar platforms</w:t>
      </w:r>
    </w:p>
    <w:p>
      <w:pPr>
        <w:pStyle w:val="ListParagraph"/>
        <w:numPr>
          <w:ilvl w:val="0"/>
          <w:numId w:val="2"/>
        </w:numPr>
        <w:spacing w:after="100"/>
      </w:pPr>
      <w:r>
        <w:rPr>
          <w:rFonts w:ascii="Arial" w:cs="Arial" w:eastAsia="Arial" w:hAnsi="Arial"/>
          <w:b w:val="false"/>
          <w:bCs w:val="false"/>
          <w:color w:val="1A1A1A"/>
          <w:sz w:val="22"/>
          <w:szCs w:val="22"/>
        </w:rPr>
        <w:t xml:space="preserve">The cultural moment is right — the humour angle gives GottaGo a viral surface area that most utility apps can only dream of</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A6E" w:sz="1"/>
              <w:left w:val="single" w:color="007A6E" w:sz="18"/>
              <w:bottom w:val="single" w:color="007A6E" w:sz="1"/>
              <w:right w:val="none" w:color="FFFFFF" w:sz="0"/>
            </w:tcBorders>
            <w:shd w:fill="FFF8E7" w:val="clear"/>
            <w:tcMar>
              <w:top w:type="dxa" w:w="120"/>
              <w:left w:type="dxa" w:w="200"/>
              <w:bottom w:type="dxa" w:w="120"/>
              <w:right w:type="dxa" w:w="200"/>
            </w:tcMar>
          </w:tcPr>
          <w:p>
            <w:r>
              <w:rPr>
                <w:rFonts w:ascii="Arial" w:cs="Arial" w:eastAsia="Arial" w:hAnsi="Arial"/>
                <w:i/>
                <w:iCs/>
                <w:color w:val="5C3D00"/>
                <w:sz w:val="22"/>
                <w:szCs w:val="22"/>
              </w:rPr>
              <w:t xml:space="preserve">"GottaGo does not require users to change behaviour. It simply tells them something they already desperately want to know, in a voice that makes them smile. That is the rarest thing in product design: a solution that is both genuinely useful and genuinely fun."</w:t>
            </w:r>
          </w:p>
        </w:tc>
      </w:tr>
    </w:tbl>
    <w:p>
      <w:pPr>
        <w:spacing w:after="200" w:before="200"/>
      </w:pPr>
      <w:r>
        <w:t xml:space="preserve"/>
      </w:r>
    </w:p>
    <w:p>
      <w:r>
        <w:br w:type="page"/>
      </w:r>
    </w:p>
    <w:p>
      <w:pPr>
        <w:pStyle w:val="Heading1"/>
        <w:pBdr>
          <w:bottom w:val="single" w:color="007A6E" w:sz="6"/>
        </w:pBdr>
        <w:spacing w:after="120" w:before="320"/>
      </w:pPr>
      <w:r>
        <w:rPr>
          <w:rFonts w:ascii="Arial" w:cs="Arial" w:eastAsia="Arial" w:hAnsi="Arial"/>
          <w:b/>
          <w:bCs/>
          <w:color w:val="007A6E"/>
          <w:sz w:val="32"/>
          <w:szCs w:val="32"/>
        </w:rPr>
        <w:t xml:space="preserve">09  </w:t>
      </w:r>
      <w:r>
        <w:rPr>
          <w:rFonts w:ascii="Arial" w:cs="Arial" w:eastAsia="Arial" w:hAnsi="Arial"/>
          <w:b/>
          <w:bCs/>
          <w:color w:val="1A2E3B"/>
          <w:sz w:val="32"/>
          <w:szCs w:val="32"/>
        </w:rPr>
        <w:t xml:space="preserve">Next Steps</w:t>
      </w:r>
    </w:p>
    <w:p>
      <w:pPr>
        <w:spacing w:after="80" w:before="0"/>
      </w:pPr>
      <w:r>
        <w:t xml:space="preserve"/>
      </w:r>
    </w:p>
    <w:p>
      <w:pPr>
        <w:spacing w:after="160"/>
      </w:pPr>
      <w:r>
        <w:rPr>
          <w:rFonts w:ascii="Arial" w:cs="Arial" w:eastAsia="Arial" w:hAnsi="Arial"/>
          <w:color w:val="1A1A1A"/>
          <w:sz w:val="22"/>
          <w:szCs w:val="22"/>
        </w:rPr>
        <w:t xml:space="preserve">If this concept resonates, the following actions are proposed as an immediate next step depending on the reader's position:</w:t>
      </w:r>
    </w:p>
    <w:p>
      <w:pPr>
        <w:pStyle w:val="Heading2"/>
        <w:spacing w:after="80" w:before="240"/>
      </w:pPr>
      <w:r>
        <w:rPr>
          <w:rFonts w:ascii="Arial" w:cs="Arial" w:eastAsia="Arial" w:hAnsi="Arial"/>
          <w:b/>
          <w:bCs/>
          <w:color w:val="005A52"/>
          <w:sz w:val="24"/>
          <w:szCs w:val="24"/>
        </w:rPr>
        <w:t xml:space="preserve">For Navigation Platforms and Technology Partners</w:t>
      </w:r>
    </w:p>
    <w:p>
      <w:pPr>
        <w:pStyle w:val="ListParagraph"/>
        <w:numPr>
          <w:ilvl w:val="0"/>
          <w:numId w:val="3"/>
        </w:numPr>
        <w:spacing w:after="100"/>
      </w:pPr>
      <w:r>
        <w:rPr>
          <w:rFonts w:ascii="Arial" w:cs="Arial" w:eastAsia="Arial" w:hAnsi="Arial"/>
          <w:b w:val="false"/>
          <w:bCs w:val="false"/>
          <w:color w:val="1A1A1A"/>
          <w:sz w:val="22"/>
          <w:szCs w:val="22"/>
        </w:rPr>
        <w:t xml:space="preserve">Request a live walkthrough of the working interactive prototype</w:t>
      </w:r>
    </w:p>
    <w:p>
      <w:pPr>
        <w:pStyle w:val="ListParagraph"/>
        <w:numPr>
          <w:ilvl w:val="0"/>
          <w:numId w:val="3"/>
        </w:numPr>
        <w:spacing w:after="100"/>
      </w:pPr>
      <w:r>
        <w:rPr>
          <w:rFonts w:ascii="Arial" w:cs="Arial" w:eastAsia="Arial" w:hAnsi="Arial"/>
          <w:b w:val="false"/>
          <w:bCs w:val="false"/>
          <w:color w:val="1A1A1A"/>
          <w:sz w:val="22"/>
          <w:szCs w:val="22"/>
        </w:rPr>
        <w:t xml:space="preserve">Discuss API and data integration feasibility with technical teams</w:t>
      </w:r>
    </w:p>
    <w:p>
      <w:pPr>
        <w:pStyle w:val="ListParagraph"/>
        <w:numPr>
          <w:ilvl w:val="0"/>
          <w:numId w:val="3"/>
        </w:numPr>
        <w:spacing w:after="100"/>
      </w:pPr>
      <w:r>
        <w:rPr>
          <w:rFonts w:ascii="Arial" w:cs="Arial" w:eastAsia="Arial" w:hAnsi="Arial"/>
          <w:b w:val="false"/>
          <w:bCs w:val="false"/>
          <w:color w:val="1A1A1A"/>
          <w:sz w:val="22"/>
          <w:szCs w:val="22"/>
        </w:rPr>
        <w:t xml:space="preserve">Explore licensing, co-development, or data partnership structures</w:t>
      </w:r>
    </w:p>
    <w:p>
      <w:pPr>
        <w:spacing w:after="80" w:before="40"/>
      </w:pPr>
      <w:r>
        <w:t xml:space="preserve"/>
      </w:r>
    </w:p>
    <w:p>
      <w:pPr>
        <w:pStyle w:val="Heading2"/>
        <w:spacing w:after="80" w:before="240"/>
      </w:pPr>
      <w:r>
        <w:rPr>
          <w:rFonts w:ascii="Arial" w:cs="Arial" w:eastAsia="Arial" w:hAnsi="Arial"/>
          <w:b/>
          <w:bCs/>
          <w:color w:val="005A52"/>
          <w:sz w:val="24"/>
          <w:szCs w:val="24"/>
        </w:rPr>
        <w:t xml:space="preserve">For Motoring Organisations and Membership Bodies</w:t>
      </w:r>
    </w:p>
    <w:p>
      <w:pPr>
        <w:pStyle w:val="ListParagraph"/>
        <w:numPr>
          <w:ilvl w:val="0"/>
          <w:numId w:val="3"/>
        </w:numPr>
        <w:spacing w:after="100"/>
      </w:pPr>
      <w:r>
        <w:rPr>
          <w:rFonts w:ascii="Arial" w:cs="Arial" w:eastAsia="Arial" w:hAnsi="Arial"/>
          <w:b w:val="false"/>
          <w:bCs w:val="false"/>
          <w:color w:val="1A1A1A"/>
          <w:sz w:val="22"/>
          <w:szCs w:val="22"/>
        </w:rPr>
        <w:t xml:space="preserve">Share with member insights team to validate against existing research on member needs</w:t>
      </w:r>
    </w:p>
    <w:p>
      <w:pPr>
        <w:pStyle w:val="ListParagraph"/>
        <w:numPr>
          <w:ilvl w:val="0"/>
          <w:numId w:val="3"/>
        </w:numPr>
        <w:spacing w:after="100"/>
      </w:pPr>
      <w:r>
        <w:rPr>
          <w:rFonts w:ascii="Arial" w:cs="Arial" w:eastAsia="Arial" w:hAnsi="Arial"/>
          <w:b w:val="false"/>
          <w:bCs w:val="false"/>
          <w:color w:val="1A1A1A"/>
          <w:sz w:val="22"/>
          <w:szCs w:val="22"/>
        </w:rPr>
        <w:t xml:space="preserve">Explore white-label licensing for member-facing app or navigation platform feature</w:t>
      </w:r>
    </w:p>
    <w:p>
      <w:pPr>
        <w:pStyle w:val="ListParagraph"/>
        <w:numPr>
          <w:ilvl w:val="0"/>
          <w:numId w:val="3"/>
        </w:numPr>
        <w:spacing w:after="100"/>
      </w:pPr>
      <w:r>
        <w:rPr>
          <w:rFonts w:ascii="Arial" w:cs="Arial" w:eastAsia="Arial" w:hAnsi="Arial"/>
          <w:b w:val="false"/>
          <w:bCs w:val="false"/>
          <w:color w:val="1A1A1A"/>
          <w:sz w:val="22"/>
          <w:szCs w:val="22"/>
        </w:rPr>
        <w:t xml:space="preserve">Consider co-funding MVP build in exchange for first-mover exclusive licensing window</w:t>
      </w:r>
    </w:p>
    <w:p>
      <w:pPr>
        <w:spacing w:after="80" w:before="40"/>
      </w:pPr>
      <w:r>
        <w:t xml:space="preserve"/>
      </w:r>
    </w:p>
    <w:p>
      <w:pPr>
        <w:pStyle w:val="Heading2"/>
        <w:spacing w:after="80" w:before="240"/>
      </w:pPr>
      <w:r>
        <w:rPr>
          <w:rFonts w:ascii="Arial" w:cs="Arial" w:eastAsia="Arial" w:hAnsi="Arial"/>
          <w:b/>
          <w:bCs/>
          <w:color w:val="005A52"/>
          <w:sz w:val="24"/>
          <w:szCs w:val="24"/>
        </w:rPr>
        <w:t xml:space="preserve">For Potential Technical Co-Founders</w:t>
      </w:r>
    </w:p>
    <w:p>
      <w:pPr>
        <w:pStyle w:val="ListParagraph"/>
        <w:numPr>
          <w:ilvl w:val="0"/>
          <w:numId w:val="3"/>
        </w:numPr>
        <w:spacing w:after="100"/>
      </w:pPr>
      <w:r>
        <w:rPr>
          <w:rFonts w:ascii="Arial" w:cs="Arial" w:eastAsia="Arial" w:hAnsi="Arial"/>
          <w:b w:val="false"/>
          <w:bCs w:val="false"/>
          <w:color w:val="1A1A1A"/>
          <w:sz w:val="22"/>
          <w:szCs w:val="22"/>
        </w:rPr>
        <w:t xml:space="preserve">Review the prototype and technical overview section</w:t>
      </w:r>
    </w:p>
    <w:p>
      <w:pPr>
        <w:pStyle w:val="ListParagraph"/>
        <w:numPr>
          <w:ilvl w:val="0"/>
          <w:numId w:val="3"/>
        </w:numPr>
        <w:spacing w:after="100"/>
      </w:pPr>
      <w:r>
        <w:rPr>
          <w:rFonts w:ascii="Arial" w:cs="Arial" w:eastAsia="Arial" w:hAnsi="Arial"/>
          <w:b w:val="false"/>
          <w:bCs w:val="false"/>
          <w:color w:val="1A1A1A"/>
          <w:sz w:val="22"/>
          <w:szCs w:val="22"/>
        </w:rPr>
        <w:t xml:space="preserve">Make contact for an initial conversation — the concept is early stage and co-founder input will shape the technical direction</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A6E" w:sz="1"/>
              <w:left w:val="single" w:color="007A6E" w:sz="1"/>
              <w:bottom w:val="single" w:color="007A6E" w:sz="1"/>
              <w:right w:val="single" w:color="007A6E" w:sz="1"/>
            </w:tcBorders>
            <w:shd w:fill="007A6E"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Get in Touch</w:t>
            </w:r>
          </w:p>
          <w:p>
            <w:pPr>
              <w:spacing w:after="80" w:before="80"/>
              <w:jc w:val="center"/>
            </w:pPr>
            <w:r>
              <w:rPr>
                <w:rFonts w:ascii="Arial" w:cs="Arial" w:eastAsia="Arial" w:hAnsi="Arial"/>
                <w:color w:val="C8EDE9"/>
                <w:sz w:val="22"/>
                <w:szCs w:val="22"/>
              </w:rPr>
              <w:t xml:space="preserve">Contact details available on request</w:t>
            </w:r>
          </w:p>
          <w:p>
            <w:pPr>
              <w:jc w:val="center"/>
            </w:pPr>
            <w:r>
              <w:rPr>
                <w:rFonts w:ascii="Arial" w:cs="Arial" w:eastAsia="Arial" w:hAnsi="Arial"/>
                <w:i/>
                <w:iCs/>
                <w:color w:val="C8EDE9"/>
                <w:sz w:val="20"/>
                <w:szCs w:val="20"/>
              </w:rPr>
              <w:t xml:space="preserve">GottaGo — Never Be Caught Short</w:t>
            </w:r>
          </w:p>
        </w:tc>
      </w:tr>
    </w:tbl>
    <w:p>
      <w:pPr>
        <w:spacing w:after="160" w:before="240"/>
      </w:pPr>
      <w:r>
        <w:t xml:space="preserve"/>
      </w:r>
    </w:p>
    <w:p>
      <w:pPr>
        <w:spacing w:after="80"/>
        <w:jc w:val="center"/>
      </w:pPr>
      <w:r>
        <w:rPr>
          <w:rFonts w:ascii="Arial" w:cs="Arial" w:eastAsia="Arial" w:hAnsi="Arial"/>
          <w:i/>
          <w:iCs/>
          <w:color w:val="6B7C8A"/>
          <w:sz w:val="18"/>
          <w:szCs w:val="18"/>
        </w:rPr>
        <w:t xml:space="preserve">This document is confidential and intended solely for the named recipient.</w:t>
      </w:r>
    </w:p>
    <w:p>
      <w:pPr>
        <w:jc w:val="center"/>
      </w:pPr>
      <w:r>
        <w:rPr>
          <w:rFonts w:ascii="Arial" w:cs="Arial" w:eastAsia="Arial" w:hAnsi="Arial"/>
          <w:color w:val="6B7C8A"/>
          <w:sz w:val="18"/>
          <w:szCs w:val="18"/>
        </w:rPr>
        <w:t xml:space="preserve">© 2026 GottaGo. Concept and intellectual property of the originator. All rights reserved.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A6E" w:sz="4"/>
      </w:pBdr>
      <w:tabs>
        <w:tab w:val="right" w:pos="9026"/>
      </w:tabs>
      <w:spacing w:before="80"/>
    </w:pPr>
    <w:r>
      <w:rPr>
        <w:rFonts w:ascii="Arial" w:cs="Arial" w:eastAsia="Arial" w:hAnsi="Arial"/>
        <w:color w:val="6B7C8A"/>
        <w:sz w:val="18"/>
        <w:szCs w:val="18"/>
      </w:rPr>
      <w:t xml:space="preserve">GottaGo — Product Concept Proposal  |  Confidential</w:t>
    </w:r>
    <w:r>
      <w:rPr>
        <w:rFonts w:ascii="Arial" w:cs="Arial" w:eastAsia="Arial" w:hAnsi="Arial"/>
        <w:sz w:val="18"/>
        <w:szCs w:val="18"/>
      </w:rPr>
      <w:t xml:space="preserve">	</w:t>
    </w:r>
    <w:r>
      <w:rPr>
        <w:rFonts w:ascii="Arial" w:cs="Arial" w:eastAsia="Arial" w:hAnsi="Arial"/>
        <w:color w:val="6B7C8A"/>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2E3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05A5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2026-04-11T11:46:38.600Z</dcterms:created>
  <dcterms:modified xsi:type="dcterms:W3CDTF">2026-04-11T11:46:38.601Z</dcterms:modified>
</cp:coreProperties>
</file>

<file path=docProps/custom.xml><?xml version="1.0" encoding="utf-8"?>
<Properties xmlns="http://schemas.openxmlformats.org/officeDocument/2006/custom-properties" xmlns:vt="http://schemas.openxmlformats.org/officeDocument/2006/docPropsVTypes"/>
</file>