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widowControl/>
        <w:shd w:val="clear" w:fill="auto"/>
        <w:bidi w:val="1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rtl w:val="true"/>
        </w:rPr>
        <w:t>{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sName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rtl w:val="true"/>
        </w:rPr>
        <w:t>}</w:t>
      </w:r>
    </w:p>
    <w:p>
      <w:pPr>
        <w:pStyle w:val="LOnormal"/>
        <w:keepNext w:val="true"/>
        <w:keepLines w:val="false"/>
        <w:widowControl/>
        <w:shd w:val="clear" w:fill="auto"/>
        <w:tabs>
          <w:tab w:val="clear" w:pos="720"/>
          <w:tab w:val="right" w:pos="7705" w:leader="none"/>
        </w:tabs>
        <w:bidi w:val="1"/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SARL au capital de {capital} Dinars</w:t>
      </w:r>
    </w:p>
    <w:p>
      <w:pPr>
        <w:pStyle w:val="LOnormal"/>
        <w:keepNext w:val="true"/>
        <w:keepLines w:val="false"/>
        <w:widowControl/>
        <w:shd w:val="clear" w:fill="auto"/>
        <w:tabs>
          <w:tab w:val="clear" w:pos="720"/>
          <w:tab w:val="right" w:pos="7705" w:leader="none"/>
        </w:tabs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Siège Social : {sAdress}</w:t>
      </w:r>
    </w:p>
    <w:p>
      <w:pPr>
        <w:pStyle w:val="LOnormal"/>
        <w:keepNext w:val="true"/>
        <w:keepLines w:val="false"/>
        <w:widowControl/>
        <w:shd w:val="clear" w:fill="auto"/>
        <w:bidi w:val="1"/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MF: 1199453E/A/M/000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</w:rPr>
        <w:t>PROCÈS-VERBAL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L’ASSEMBLÉE GÉNÉRALE EXTRAORDINAIRE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 {ass_date}</w:t>
      </w:r>
    </w:p>
    <w:p>
      <w:pPr>
        <w:pStyle w:val="LOnormal"/>
        <w:pBdr>
          <w:bottom w:val="single" w:sz="4" w:space="1" w:color="000000"/>
        </w:pBdr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L’an deux mille vingt, et le vingt-deux Juin à dix heures du matin, les associés de la Société «{sName}», société à responsabilité limitée au capital de {capital} dinars, se sont réunis en assemblée générale extraordinaire au siège social suite à la convocation et sous la présidence de son gérant Mr. {gerant_fname}.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Président constate que sont présents: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6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69"/>
        <w:gridCol w:w="329"/>
        <w:gridCol w:w="1510"/>
      </w:tblGrid>
      <w:tr>
        <w:trPr>
          <w:trHeight w:val="1470" w:hRule="atLeast"/>
        </w:trPr>
        <w:tc>
          <w:tcPr>
            <w:tcW w:w="776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{#rep_parts}</w:t>
            </w:r>
          </w:p>
          <w:p>
            <w:pPr>
              <w:pStyle w:val="LOnormal"/>
              <w:widowControl/>
              <w:numPr>
                <w:ilvl w:val="0"/>
                <w:numId w:val="4"/>
              </w:numPr>
              <w:shd w:val="clear" w:fill="auto"/>
              <w:spacing w:lineRule="auto" w:line="240" w:before="160" w:after="0"/>
              <w:ind w:left="720" w:right="0" w:hanging="36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{actio_desc}: détient {nbActions} parts sociales</w:t>
            </w:r>
          </w:p>
        </w:tc>
        <w:tc>
          <w:tcPr>
            <w:tcW w:w="32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1510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{nbActions}</w:t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{/rep_parts}</w:t>
            </w:r>
          </w:p>
        </w:tc>
      </w:tr>
      <w:tr>
        <w:trPr/>
        <w:tc>
          <w:tcPr>
            <w:tcW w:w="776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les parts sociales présentes ou représentées </w:t>
            </w:r>
          </w:p>
        </w:tc>
        <w:tc>
          <w:tcPr>
            <w:tcW w:w="32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1510" w:type="dxa"/>
            <w:tcBorders>
              <w:top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{nb_parts_total}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 fait que les associés représentant {nb_parts_total} parts sociales composant le capital social sont présents ou régulièrement représentés, Le président déclare que le quorum est atteint et que l’assemblée peut valablement délibérer sur l’ordre du jour suivant :</w:t>
      </w:r>
    </w:p>
    <w:p>
      <w:pPr>
        <w:pStyle w:val="LOnormal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L’agrément de l’entrée {nb_new_actios_desc}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L’augmentation de capital en numéraire 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 mise à jour le cas échéant de l’article 6 des statuts 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Pouvoirs à donner pour accomplir les formalités.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président rappelle à l’assemblée que les documents suivants ont été mis à la disposition des actionnaires au siège de la société conformément à la réglementation en vigueur, ce qui est reconnu exact par tous les associés présents tant en leurs noms personnels que comme mandataires :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Les statuts de la société.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rapport du gérant.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texte des résolutions proposées à l’assemblée.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L’assemblée générale extraordinaire, après avoir entendu la lecture du rapport du gérant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{#hasPrime}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expliquant la nécessité d’augmenter le capital de la société avec une prime d’émission dans le but d’égaliser les droits des associés anciens et nouveaux ,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{/hasPrime}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décide de mettre au vote les résolutions suivantes: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pBdr>
          <w:top w:val="single" w:sz="4" w:space="2" w:color="000000"/>
          <w:bottom w:val="single" w:sz="4" w:space="0" w:color="000000"/>
        </w:pBdr>
        <w:spacing w:lineRule="auto" w:line="240" w:before="240" w:after="0"/>
        <w:jc w:val="both"/>
        <w:rPr>
          <w:rFonts w:ascii="Garamond" w:hAnsi="Garamond" w:eastAsia="Garamond" w:cs="Garamond"/>
          <w:b w:val="false"/>
          <w:b w:val="false"/>
          <w:position w:val="0"/>
          <w:sz w:val="24"/>
          <w:sz w:val="24"/>
          <w:highlight w:val="white"/>
          <w:vertAlign w:val="baseline"/>
        </w:rPr>
      </w:pP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 xml:space="preserve">PREMIERE RESOLUTION : </w:t>
      </w:r>
      <w:r>
        <w:rPr>
          <w:rFonts w:eastAsia="Garamond" w:cs="Garamond" w:ascii="Garamond" w:hAnsi="Garamond"/>
          <w:b/>
          <w:position w:val="0"/>
          <w:sz w:val="24"/>
          <w:sz w:val="24"/>
          <w:vertAlign w:val="baseline"/>
        </w:rPr>
        <w:t>L’</w:t>
      </w:r>
      <w:r>
        <w:rPr>
          <w:rFonts w:eastAsia="Garamond" w:cs="Garamond" w:ascii="Garamond" w:hAnsi="Garamond"/>
          <w:b/>
          <w:position w:val="0"/>
          <w:sz w:val="24"/>
          <w:sz w:val="24"/>
          <w:highlight w:val="white"/>
          <w:vertAlign w:val="baseline"/>
        </w:rPr>
        <w:t>agrément {</w:t>
      </w:r>
      <w:bookmarkStart w:id="0" w:name="__DdeLink__155_3917880328"/>
      <w:bookmarkStart w:id="1" w:name="__DdeLink__181_3802898969"/>
      <w:r>
        <w:rPr>
          <w:rFonts w:eastAsia="Garamond" w:cs="Garamond" w:ascii="Garamond" w:hAnsi="Garamond"/>
          <w:b/>
          <w:position w:val="0"/>
          <w:sz w:val="24"/>
          <w:sz w:val="24"/>
          <w:highlight w:val="white"/>
          <w:vertAlign w:val="baseline"/>
        </w:rPr>
        <w:t>nb_new_actios_desc</w:t>
      </w:r>
      <w:bookmarkEnd w:id="0"/>
      <w:bookmarkEnd w:id="1"/>
      <w:r>
        <w:rPr>
          <w:rFonts w:eastAsia="Garamond" w:cs="Garamond" w:ascii="Garamond" w:hAnsi="Garamond"/>
          <w:b/>
          <w:position w:val="0"/>
          <w:sz w:val="24"/>
          <w:sz w:val="24"/>
          <w:highlight w:val="white"/>
          <w:vertAlign w:val="baseline"/>
        </w:rPr>
        <w:t xml:space="preserve">}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L’assemblée générale extraordinaire autorise l’entrée {nb_new_actios_desc}: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</w:t>
      </w:r>
      <w:bookmarkStart w:id="2" w:name="__DdeLink__175_3328310715"/>
      <w:bookmarkStart w:id="3" w:name="__DdeLink__183_3802898969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new_actios</w:t>
      </w:r>
      <w:bookmarkEnd w:id="2"/>
      <w:bookmarkEnd w:id="3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8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{actio_desc}. 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8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{/new_actios}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</w:t>
      </w:r>
      <w:bookmarkStart w:id="4" w:name="__DdeLink__166_2886123690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new_actios_participate_word</w:t>
      </w:r>
      <w:bookmarkEnd w:id="4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 à l’augmentation de capital sus dessous indiqué. </w:t>
      </w:r>
    </w:p>
    <w:p>
      <w:pPr>
        <w:pStyle w:val="LOnormal"/>
        <w:pBdr>
          <w:top w:val="single" w:sz="4" w:space="2" w:color="000000"/>
          <w:bottom w:val="single" w:sz="4" w:space="0" w:color="000000"/>
        </w:pBdr>
        <w:spacing w:lineRule="auto" w:line="240" w:before="240" w:after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 xml:space="preserve">DEUXIÈME RÉSOLUTION : </w:t>
      </w:r>
      <w:r>
        <w:rPr>
          <w:rFonts w:eastAsia="Garamond" w:cs="Garamond" w:ascii="Garamond" w:hAnsi="Garamond"/>
          <w:b/>
          <w:position w:val="0"/>
          <w:sz w:val="24"/>
          <w:sz w:val="24"/>
          <w:vertAlign w:val="baseline"/>
        </w:rPr>
        <w:t>Augmentation du capital en numéraire de {montant_augm} dinars :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L’assemblée générale extraordinaire décide d’augmenter le capital de {capital} dinars à {capital_after_augm} dinars au moyen de souscription de {newActionsEmis} parts sociales en numéraires {#hasPrime}avec une prime d’émission de {prime_emission} dinars chacune{/hasPrime}.  La valeur nominale de part sociale est de {valeurAction} dinars.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highlight w:val="white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highlight w:val="white"/>
          <w:vertAlign w:val="baseline"/>
        </w:rPr>
        <w:t>Les autres associés ont dénoncé l’exercice de leurs droits préférentiels de souscription au profit de {new_actios_desc}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Le montant total qui sera injecté dans la société se détaille comme suit :</w:t>
      </w:r>
    </w:p>
    <w:tbl>
      <w:tblPr>
        <w:tblStyle w:val="Table2"/>
        <w:tblW w:w="836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1718"/>
        <w:gridCol w:w="1684"/>
        <w:gridCol w:w="212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center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Nbre de part sociale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Valeur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 montant total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Augmentation de capital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{newActionsEmis}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{valeurAction}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{montant_augm}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 d’émission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{newActionsEmis}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{prime_emission}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{total_prime_emission}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TOTAL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{total_prime_augm}</w:t>
            </w:r>
          </w:p>
        </w:tc>
      </w:tr>
    </w:tbl>
    <w:p>
      <w:pPr>
        <w:pStyle w:val="LOnormal"/>
        <w:widowControl w:val="false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Les nouvelles parts sociales émises seront reparties entre les nouveaux associés comme suit :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{#</w:t>
      </w:r>
      <w:bookmarkStart w:id="5" w:name="__DdeLink__168_2886123690"/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new_parts</w:t>
      </w:r>
      <w:bookmarkEnd w:id="5"/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}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* {actio_desc}, ………………………… {nb_parts} P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{/new_parts}</w:t>
      </w:r>
    </w:p>
    <w:p>
      <w:pPr>
        <w:pStyle w:val="LOnormal"/>
        <w:spacing w:lineRule="auto" w:line="240" w:before="240" w:after="0"/>
        <w:jc w:val="both"/>
        <w:rPr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Les fonds recueillis</w:t>
      </w:r>
      <w:r>
        <w:rPr>
          <w:position w:val="0"/>
          <w:sz w:val="24"/>
          <w:sz w:val="24"/>
          <w:vertAlign w:val="baseline"/>
        </w:rPr>
        <w:t xml:space="preserve"> seront déposés dans un compte indisponible qui sera ouvert auprès de {bank_desc}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Cette résolution a été adoptée à l’unanimité</w:t>
      </w:r>
    </w:p>
    <w:p>
      <w:pPr>
        <w:pStyle w:val="LOnormal"/>
        <w:keepNext w:val="true"/>
        <w:keepLines w:val="false"/>
        <w:widowControl/>
        <w:pBdr>
          <w:top w:val="single" w:sz="4" w:space="1" w:color="000000"/>
          <w:bottom w:val="single" w:sz="4" w:space="1" w:color="000000"/>
        </w:pBdr>
        <w:shd w:val="clear" w:fill="auto"/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TROISIÈME RÉSOLUTION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La mise à jour de l’article 6 des Statuts :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Suite à l’augmentation de capital de {capital} Dinars à {capital_after_augm} Dinars, l’assemblée générale extraordinaire décide de modifier l’article 6 des statuts afin de le rendre conforme à la nouvelle composition du capital social augmenté. La nouvelle rédaction de l’article 6 des statuts sera comme suit :</w:t>
      </w:r>
    </w:p>
    <w:p>
      <w:pPr>
        <w:pStyle w:val="LOnormal"/>
        <w:pBdr>
          <w:top w:val="single" w:sz="4" w:space="1" w:color="000000"/>
        </w:pBdr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Le capital social est fixé à la somme de {capital_after_augm} dinars. Il est divisé en {nb_new_parts_total} parts sociales de {valeurAction} dinars chacune réparties entre les associés comme suit :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57"/>
        <w:gridCol w:w="2217"/>
      </w:tblGrid>
      <w:tr>
        <w:trPr/>
        <w:tc>
          <w:tcPr>
            <w:tcW w:w="6857" w:type="dxa"/>
            <w:tcBorders>
              <w:top w:val="single" w:sz="4" w:space="0" w:color="111111"/>
              <w:left w:val="single" w:sz="4" w:space="0" w:color="111111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</w:t>
            </w:r>
            <w:bookmarkStart w:id="6" w:name="__DdeLink__175_2886123690"/>
            <w:bookmarkEnd w:id="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rep_capital_final}</w:t>
            </w:r>
          </w:p>
          <w:p>
            <w:pPr>
              <w:pStyle w:val="LOnormal"/>
              <w:widowControl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{actio_desc}, ci-dessus indiqué de {num_part_word} part, détient la somme de {montant} dinars…………………</w:t>
            </w:r>
          </w:p>
        </w:tc>
        <w:tc>
          <w:tcPr>
            <w:tcW w:w="2217" w:type="dxa"/>
            <w:tcBorders>
              <w:top w:val="single" w:sz="4" w:space="0" w:color="111111"/>
              <w:right w:val="single" w:sz="4" w:space="0" w:color="111111"/>
            </w:tcBorders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{montant}dinars</w:t>
            </w:r>
          </w:p>
          <w:p>
            <w:pPr>
              <w:pStyle w:val="LOnormal"/>
              <w:widowControl/>
              <w:shd w:val="clear" w:fill="auto"/>
              <w:spacing w:lineRule="auto" w:line="240" w:before="0" w:after="0"/>
              <w:ind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}</w:t>
            </w:r>
          </w:p>
        </w:tc>
      </w:tr>
      <w:tr>
        <w:trPr/>
        <w:tc>
          <w:tcPr>
            <w:tcW w:w="6857" w:type="dxa"/>
            <w:tcBorders>
              <w:left w:val="single" w:sz="4" w:space="0" w:color="111111"/>
              <w:bottom w:val="single" w:sz="4" w:space="0" w:color="111111"/>
            </w:tcBorders>
          </w:tcPr>
          <w:p>
            <w:pPr>
              <w:pStyle w:val="LOnormal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 w:val="false"/>
                <w:position w:val="0"/>
                <w:sz w:val="24"/>
                <w:sz w:val="24"/>
                <w:u w:val="single"/>
                <w:vertAlign w:val="baseline"/>
              </w:rPr>
            </w:r>
          </w:p>
          <w:p>
            <w:pPr>
              <w:pStyle w:val="LOnormal"/>
              <w:jc w:val="right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u w:val="single"/>
                <w:vertAlign w:val="baseline"/>
              </w:rPr>
              <w:t>Soit un total de {capital_after_augm} Dinars</w:t>
            </w:r>
          </w:p>
        </w:tc>
        <w:tc>
          <w:tcPr>
            <w:tcW w:w="2217" w:type="dxa"/>
            <w:tcBorders>
              <w:bottom w:val="single" w:sz="4" w:space="0" w:color="111111"/>
              <w:right w:val="single" w:sz="4" w:space="0" w:color="111111"/>
            </w:tcBorders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 w:val="false"/>
                <w:position w:val="0"/>
                <w:sz w:val="24"/>
                <w:sz w:val="24"/>
                <w:u w:val="single"/>
                <w:vertAlign w:val="baseline"/>
              </w:rPr>
            </w:r>
          </w:p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u w:val="single"/>
                <w:vertAlign w:val="baseline"/>
              </w:rPr>
              <w:t>{capital_after_augm}</w:t>
            </w:r>
          </w:p>
        </w:tc>
      </w:tr>
    </w:tbl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Ainsi le capital social est fixé à {capital_after_augm}</w:t>
      </w:r>
      <w:r>
        <w:rPr/>
        <w:t xml:space="preserve"> dinars,</w:t>
      </w:r>
      <w:r>
        <w:rPr>
          <w:position w:val="0"/>
          <w:sz w:val="24"/>
          <w:sz w:val="24"/>
          <w:vertAlign w:val="baseline"/>
        </w:rPr>
        <w:t xml:space="preserve"> divisé en {nb_new_parts_total} parts, soit {valeurAction} dinars l’une, numérotées de 1 à {nb_new_parts_total} inclus.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4"/>
        <w:tblW w:w="92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240"/>
        <w:gridCol w:w="2999"/>
      </w:tblGrid>
      <w:tr>
        <w:trPr>
          <w:trHeight w:val="1080" w:hRule="atLeast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360" w:before="0" w:after="0"/>
              <w:ind w:right="0" w:hanging="0"/>
              <w:jc w:val="both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{#rep_capital_final}</w:t>
            </w:r>
          </w:p>
          <w:p>
            <w:pPr>
              <w:pStyle w:val="LOnormal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360" w:before="0" w:after="0"/>
              <w:ind w:right="0" w:hanging="0"/>
              <w:jc w:val="both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*{actio_desc}, à concurrence de {nb_parts} parts sociales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171" w:after="171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{nb_parts}P</w:t>
            </w:r>
          </w:p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171" w:after="171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}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Cette résolution a été adoptée à l’unanimité</w:t>
      </w:r>
    </w:p>
    <w:p>
      <w:pPr>
        <w:pStyle w:val="LOnormal"/>
        <w:keepNext w:val="true"/>
        <w:keepLines w:val="false"/>
        <w:widowControl/>
        <w:pBdr>
          <w:top w:val="single" w:sz="4" w:space="1" w:color="000000"/>
          <w:bottom w:val="single" w:sz="4" w:space="1" w:color="000000"/>
        </w:pBdr>
        <w:shd w:val="clear" w:fill="auto"/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QUATRIÈME RÉSOLUTION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Pouvoirs pour formalités</w:t>
      </w:r>
    </w:p>
    <w:p>
      <w:pPr>
        <w:pStyle w:val="LOnormal"/>
        <w:spacing w:lineRule="auto" w:line="240" w:before="12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 xml:space="preserve">Tous les pouvoirs sont donnés au porteur du présent procès pour accomplir toutes les formalités requises par la loi.                                                      </w:t>
      </w:r>
    </w:p>
    <w:p>
      <w:pPr>
        <w:pStyle w:val="LOnormal"/>
        <w:spacing w:lineRule="auto" w:line="240" w:before="120" w:after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 xml:space="preserve">  </w:t>
      </w: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>Cette résolution a été adoptée à l’unanimité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Rien n’étant plus à l’ordre du jour, la séance est levée à 12h.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De tout ce que dessus, il a été dressé le présent procès-verbal.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tbl>
      <w:tblPr>
        <w:tblStyle w:val="Table5"/>
        <w:tblW w:w="96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75"/>
      </w:tblGrid>
      <w:tr>
        <w:trPr>
          <w:trHeight w:val="2550" w:hRule="atLeast"/>
        </w:trPr>
        <w:tc>
          <w:tcPr>
            <w:tcW w:w="9675" w:type="dxa"/>
            <w:tcBorders/>
          </w:tcPr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{#associes}</w:t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{fname}</w:t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{/associes}</w:t>
            </w:r>
          </w:p>
        </w:tc>
      </w:tr>
    </w:tbl>
    <w:p>
      <w:pPr>
        <w:pStyle w:val="LOnormal"/>
        <w:spacing w:lineRule="auto" w:line="360" w:before="16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/>
      </w:r>
    </w:p>
    <w:sectPr>
      <w:footerReference w:type="default" r:id="rId2"/>
      <w:type w:val="nextPage"/>
      <w:pgSz w:w="11906" w:h="16838"/>
      <w:pgMar w:left="1304" w:right="1134" w:header="0" w:top="1247" w:footer="709" w:bottom="119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Garamond">
    <w:charset w:val="01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1004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Garamond" w:hAnsi="Garamond" w:cs="Garamond" w:hint="default"/>
        <w:vertAlign w:val="baseline"/>
        <w:position w:val="0"/>
        <w:sz w:val="24"/>
        <w:sz w:val="24"/>
        <w:rFonts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Garamond" w:hAnsi="Garamond" w:cs="Garamond" w:hint="default"/>
        <w:vertAlign w:val="baseline"/>
        <w:position w:val="0"/>
        <w:sz w:val="24"/>
        <w:sz w:val="24"/>
        <w:szCs w:val="24"/>
        <w:rFonts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5"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vertAlign w:val="baseline"/>
        <w:position w:val="0"/>
        <w:sz w:val="24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LibreOffice/6.4.2.2$Linux_X86_64 LibreOffice_project/40$Build-2</Application>
  <Pages>4</Pages>
  <Words>661</Words>
  <Characters>4110</Characters>
  <CharactersWithSpaces>4745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2021-07-12T23:48:21Z</dcterms:modified>
  <cp:revision>15</cp:revision>
  <dc:subject/>
  <dc:title/>
</cp:coreProperties>
</file>