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84" w:type="pct"/>
        <w:tblCellSpacing w:w="15" w:type="dxa"/>
        <w:tblBorders>
          <w:top w:val="single" w:sz="6" w:space="0" w:color="FFFFFF"/>
          <w:bottom w:val="single" w:sz="6" w:space="0" w:color="FFFFFF"/>
        </w:tblBorders>
        <w:tblCellMar>
          <w:left w:w="0" w:type="dxa"/>
          <w:right w:w="0" w:type="dxa"/>
        </w:tblCellMar>
        <w:tblLook w:val="0000" w:firstRow="0" w:lastRow="0" w:firstColumn="0" w:lastColumn="0" w:noHBand="0" w:noVBand="0"/>
      </w:tblPr>
      <w:tblGrid>
        <w:gridCol w:w="3579"/>
        <w:gridCol w:w="6371"/>
      </w:tblGrid>
      <w:tr w:rsidR="00D27D5E">
        <w:trPr>
          <w:tblCellSpacing w:w="15" w:type="dxa"/>
        </w:trPr>
        <w:tc>
          <w:tcPr>
            <w:tcW w:w="1774" w:type="pct"/>
            <w:tcBorders>
              <w:top w:val="nil"/>
              <w:left w:val="nil"/>
              <w:bottom w:val="nil"/>
              <w:right w:val="nil"/>
            </w:tcBorders>
          </w:tcPr>
          <w:p w:rsidR="00D27D5E" w:rsidRPr="009C131D" w:rsidRDefault="00D27D5E" w:rsidP="00D27D5E">
            <w:pPr>
              <w:overflowPunct w:val="0"/>
              <w:autoSpaceDE w:val="0"/>
              <w:autoSpaceDN w:val="0"/>
              <w:adjustRightInd w:val="0"/>
              <w:spacing w:after="60"/>
              <w:rPr>
                <w:rFonts w:ascii="Verdana" w:hAnsi="Verdana"/>
                <w:color w:val="204071"/>
                <w:sz w:val="27"/>
                <w:szCs w:val="27"/>
                <w:lang w:val="fr-CH" w:eastAsia="en-US"/>
              </w:rPr>
            </w:pPr>
          </w:p>
        </w:tc>
        <w:tc>
          <w:tcPr>
            <w:tcW w:w="3177" w:type="pct"/>
            <w:tcBorders>
              <w:top w:val="nil"/>
              <w:left w:val="nil"/>
              <w:bottom w:val="nil"/>
              <w:right w:val="nil"/>
            </w:tcBorders>
            <w:vAlign w:val="center"/>
          </w:tcPr>
          <w:p w:rsidR="00D27D5E" w:rsidRPr="009C131D" w:rsidRDefault="00D27D5E" w:rsidP="00D27D5E">
            <w:pPr>
              <w:pStyle w:val="Titre1"/>
              <w:ind w:firstLine="0"/>
              <w:rPr>
                <w:rFonts w:eastAsia="Arial Unicode MS"/>
                <w:color w:val="204071"/>
                <w:szCs w:val="24"/>
                <w:lang w:val="fr-CH" w:eastAsia="en-US"/>
              </w:rPr>
            </w:pPr>
          </w:p>
        </w:tc>
      </w:tr>
    </w:tbl>
    <w:p w:rsidR="00D27D5E" w:rsidRDefault="00D27D5E" w:rsidP="00A93002">
      <w:pPr>
        <w:pStyle w:val="Titre3"/>
        <w:jc w:val="left"/>
        <w:rPr>
          <w:sz w:val="28"/>
        </w:rPr>
      </w:pPr>
    </w:p>
    <w:p w:rsidR="00D27D5E" w:rsidRDefault="00D27D5E" w:rsidP="00D27D5E">
      <w:pPr>
        <w:pStyle w:val="Titre3"/>
        <w:rPr>
          <w:sz w:val="28"/>
        </w:rPr>
      </w:pPr>
      <w:r>
        <w:rPr>
          <w:sz w:val="28"/>
        </w:rPr>
        <w:t>DECLARATION DE RENONCIATION</w:t>
      </w:r>
    </w:p>
    <w:p w:rsidR="00D27D5E" w:rsidRDefault="00D27D5E" w:rsidP="00D27D5E">
      <w:pPr>
        <w:pStyle w:val="Titre3"/>
        <w:rPr>
          <w:sz w:val="28"/>
        </w:rPr>
      </w:pPr>
      <w:r>
        <w:rPr>
          <w:sz w:val="28"/>
        </w:rPr>
        <w:t xml:space="preserve">AU CONTRÔLE RESTREINT </w:t>
      </w:r>
      <w:smartTag w:uri="urn:schemas-microsoft-com:office:smarttags" w:element="stockticker">
        <w:r>
          <w:rPr>
            <w:sz w:val="28"/>
          </w:rPr>
          <w:t>DES</w:t>
        </w:r>
      </w:smartTag>
      <w:r>
        <w:rPr>
          <w:sz w:val="28"/>
        </w:rPr>
        <w:t xml:space="preserve"> COM</w:t>
      </w:r>
      <w:bookmarkStart w:id="0" w:name="_GoBack"/>
      <w:bookmarkEnd w:id="0"/>
      <w:r>
        <w:rPr>
          <w:sz w:val="28"/>
        </w:rPr>
        <w:t>PTES ANNUELS (</w:t>
      </w:r>
      <w:proofErr w:type="spellStart"/>
      <w:r>
        <w:rPr>
          <w:sz w:val="28"/>
        </w:rPr>
        <w:t>Opting</w:t>
      </w:r>
      <w:proofErr w:type="spellEnd"/>
      <w:r>
        <w:rPr>
          <w:sz w:val="28"/>
        </w:rPr>
        <w:t>-out)</w:t>
      </w:r>
    </w:p>
    <w:p w:rsidR="00D27D5E" w:rsidRDefault="00D27D5E" w:rsidP="00D27D5E"/>
    <w:p w:rsidR="00D27D5E" w:rsidRDefault="00D27D5E" w:rsidP="00D27D5E">
      <w:pPr>
        <w:pStyle w:val="Titre3"/>
        <w:rPr>
          <w:szCs w:val="24"/>
        </w:rPr>
      </w:pPr>
      <w:r>
        <w:rPr>
          <w:szCs w:val="24"/>
        </w:rPr>
        <w:t>A LA CONSTITUTION D’UNE NOUVELLE SOCIETE (art. 62, al. 3, ORC)</w:t>
      </w:r>
    </w:p>
    <w:p w:rsidR="00D27D5E" w:rsidRDefault="00D27D5E" w:rsidP="00D27D5E">
      <w:pPr>
        <w:tabs>
          <w:tab w:val="left" w:pos="4253"/>
          <w:tab w:val="right" w:pos="8505"/>
        </w:tabs>
        <w:jc w:val="both"/>
        <w:rPr>
          <w:b/>
          <w:sz w:val="28"/>
          <w:u w:val="single"/>
        </w:rPr>
      </w:pPr>
    </w:p>
    <w:p w:rsidR="00D27D5E" w:rsidRDefault="00D27D5E" w:rsidP="00D27D5E">
      <w:pPr>
        <w:tabs>
          <w:tab w:val="left" w:pos="4253"/>
          <w:tab w:val="right" w:pos="8505"/>
        </w:tabs>
        <w:jc w:val="both"/>
        <w:rPr>
          <w:b/>
          <w:sz w:val="28"/>
          <w:u w:val="single"/>
        </w:rPr>
      </w:pPr>
    </w:p>
    <w:p w:rsidR="00D27D5E" w:rsidRDefault="00D27D5E" w:rsidP="00D27D5E">
      <w:pPr>
        <w:tabs>
          <w:tab w:val="left" w:pos="4253"/>
          <w:tab w:val="right" w:pos="8505"/>
        </w:tabs>
        <w:jc w:val="both"/>
        <w:rPr>
          <w:sz w:val="22"/>
        </w:rPr>
      </w:pPr>
      <w:r>
        <w:rPr>
          <w:sz w:val="22"/>
        </w:rPr>
        <w:t>Lorsque les conditions d’un contrôle ordinaire ne sont pas remplies, la société soumet ses comptes annuels au contrôle restreint d’un organe de révision (art. 727a, al. 1, CO). Moyennant le consentement de l’ensemble des actionnaires, la société peut renoncer au contrôle restreint lorsque son effectif ne dépasse pas dix emplois à plein temps en moyenne annuelle.</w:t>
      </w:r>
    </w:p>
    <w:p w:rsidR="00D27D5E" w:rsidRDefault="00D27D5E" w:rsidP="00D27D5E">
      <w:pPr>
        <w:tabs>
          <w:tab w:val="left" w:pos="4253"/>
          <w:tab w:val="right" w:pos="8505"/>
        </w:tabs>
        <w:jc w:val="both"/>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62"/>
      </w:tblGrid>
      <w:tr w:rsidR="00D27D5E">
        <w:tc>
          <w:tcPr>
            <w:tcW w:w="10062" w:type="dxa"/>
          </w:tcPr>
          <w:p w:rsidR="00D27D5E" w:rsidRDefault="00BA0E8A" w:rsidP="00D27D5E">
            <w:pPr>
              <w:tabs>
                <w:tab w:val="left" w:pos="4253"/>
                <w:tab w:val="right" w:pos="8505"/>
              </w:tabs>
              <w:jc w:val="both"/>
              <w:rPr>
                <w:sz w:val="18"/>
                <w:szCs w:val="18"/>
              </w:rPr>
            </w:pPr>
            <w:r>
              <w:rPr>
                <w:sz w:val="18"/>
                <w:szCs w:val="18"/>
              </w:rPr>
              <w:t>{</w:t>
            </w:r>
            <w:proofErr w:type="spellStart"/>
            <w:r>
              <w:rPr>
                <w:sz w:val="18"/>
                <w:szCs w:val="18"/>
              </w:rPr>
              <w:t>sName</w:t>
            </w:r>
            <w:proofErr w:type="spellEnd"/>
            <w:r>
              <w:rPr>
                <w:sz w:val="18"/>
                <w:szCs w:val="18"/>
              </w:rPr>
              <w:t>} {</w:t>
            </w:r>
            <w:proofErr w:type="spellStart"/>
            <w:r>
              <w:rPr>
                <w:sz w:val="18"/>
                <w:szCs w:val="18"/>
              </w:rPr>
              <w:t>adress</w:t>
            </w:r>
            <w:proofErr w:type="spellEnd"/>
            <w:r>
              <w:rPr>
                <w:sz w:val="18"/>
                <w:szCs w:val="18"/>
              </w:rPr>
              <w:t>}</w:t>
            </w:r>
          </w:p>
          <w:p w:rsidR="00D27D5E" w:rsidRDefault="00D27D5E" w:rsidP="00D27D5E">
            <w:pPr>
              <w:tabs>
                <w:tab w:val="left" w:pos="4253"/>
                <w:tab w:val="right" w:pos="8505"/>
              </w:tabs>
              <w:jc w:val="both"/>
              <w:rPr>
                <w:sz w:val="18"/>
                <w:szCs w:val="18"/>
              </w:rPr>
            </w:pPr>
          </w:p>
          <w:p w:rsidR="00D27D5E" w:rsidRDefault="00BA0E8A" w:rsidP="00D27D5E">
            <w:pPr>
              <w:tabs>
                <w:tab w:val="left" w:pos="4253"/>
                <w:tab w:val="right" w:pos="8505"/>
              </w:tabs>
              <w:jc w:val="center"/>
              <w:rPr>
                <w:b/>
                <w:sz w:val="22"/>
              </w:rPr>
            </w:pPr>
            <w:r>
              <w:rPr>
                <w:b/>
                <w:sz w:val="22"/>
              </w:rPr>
              <w:t>{</w:t>
            </w:r>
            <w:proofErr w:type="spellStart"/>
            <w:r>
              <w:rPr>
                <w:b/>
                <w:sz w:val="22"/>
              </w:rPr>
              <w:t>sName</w:t>
            </w:r>
            <w:proofErr w:type="spellEnd"/>
            <w:r>
              <w:rPr>
                <w:b/>
                <w:sz w:val="22"/>
              </w:rPr>
              <w:t xml:space="preserve">} </w:t>
            </w:r>
            <w:proofErr w:type="spellStart"/>
            <w:r w:rsidR="00AF01CC">
              <w:rPr>
                <w:b/>
                <w:sz w:val="22"/>
              </w:rPr>
              <w:t>Sàrl</w:t>
            </w:r>
            <w:proofErr w:type="spellEnd"/>
          </w:p>
          <w:p w:rsidR="00D27D5E" w:rsidRDefault="00D27D5E" w:rsidP="00D27D5E">
            <w:pPr>
              <w:tabs>
                <w:tab w:val="left" w:pos="4253"/>
                <w:tab w:val="right" w:pos="8505"/>
              </w:tabs>
              <w:jc w:val="center"/>
              <w:rPr>
                <w:b/>
                <w:sz w:val="22"/>
              </w:rPr>
            </w:pPr>
          </w:p>
          <w:p w:rsidR="00D27D5E" w:rsidRDefault="00D27D5E" w:rsidP="0046412C">
            <w:pPr>
              <w:tabs>
                <w:tab w:val="left" w:pos="4253"/>
                <w:tab w:val="right" w:pos="8505"/>
              </w:tabs>
              <w:jc w:val="center"/>
              <w:rPr>
                <w:sz w:val="22"/>
              </w:rPr>
            </w:pPr>
          </w:p>
        </w:tc>
      </w:tr>
    </w:tbl>
    <w:p w:rsidR="00D27D5E" w:rsidRDefault="00D27D5E" w:rsidP="00D27D5E">
      <w:pPr>
        <w:tabs>
          <w:tab w:val="left" w:pos="4253"/>
          <w:tab w:val="right" w:pos="8505"/>
        </w:tabs>
        <w:jc w:val="center"/>
        <w:rPr>
          <w:sz w:val="22"/>
        </w:rPr>
      </w:pPr>
    </w:p>
    <w:p w:rsidR="00D27D5E" w:rsidRDefault="00D27D5E" w:rsidP="00D27D5E">
      <w:pPr>
        <w:tabs>
          <w:tab w:val="left" w:pos="4253"/>
          <w:tab w:val="right" w:pos="8505"/>
        </w:tabs>
        <w:jc w:val="both"/>
        <w:rPr>
          <w:sz w:val="22"/>
        </w:rPr>
      </w:pPr>
    </w:p>
    <w:p w:rsidR="00D27D5E" w:rsidRDefault="00D27D5E" w:rsidP="00D27D5E">
      <w:pPr>
        <w:pStyle w:val="Corpsdetexte"/>
        <w:numPr>
          <w:ilvl w:val="0"/>
          <w:numId w:val="1"/>
        </w:numPr>
        <w:rPr>
          <w:sz w:val="22"/>
        </w:rPr>
      </w:pPr>
      <w:r>
        <w:rPr>
          <w:sz w:val="22"/>
        </w:rPr>
        <w:t>Le(a) soussigné(e) confirme que :</w:t>
      </w:r>
    </w:p>
    <w:p w:rsidR="00D27D5E" w:rsidRDefault="00D27D5E" w:rsidP="00D27D5E">
      <w:pPr>
        <w:pStyle w:val="Corpsdetexte"/>
        <w:rPr>
          <w:sz w:val="22"/>
        </w:rPr>
      </w:pPr>
    </w:p>
    <w:p w:rsidR="00D27D5E" w:rsidRDefault="00D27D5E" w:rsidP="00D27D5E">
      <w:pPr>
        <w:pStyle w:val="Corpsdetexte"/>
        <w:numPr>
          <w:ilvl w:val="0"/>
          <w:numId w:val="2"/>
        </w:numPr>
        <w:rPr>
          <w:sz w:val="22"/>
        </w:rPr>
      </w:pPr>
      <w:r>
        <w:rPr>
          <w:sz w:val="22"/>
        </w:rPr>
        <w:t>la société ne remplira pas, selon toute vraisemblance et d’ici à la clôture du premier exercice social, les conditions pour être soumise à un contrôle ordinaire ;</w:t>
      </w:r>
    </w:p>
    <w:p w:rsidR="00D27D5E" w:rsidRDefault="00D27D5E" w:rsidP="00D27D5E">
      <w:pPr>
        <w:pStyle w:val="Corpsdetexte"/>
        <w:numPr>
          <w:ilvl w:val="0"/>
          <w:numId w:val="2"/>
        </w:numPr>
        <w:rPr>
          <w:sz w:val="22"/>
        </w:rPr>
      </w:pPr>
      <w:r>
        <w:rPr>
          <w:sz w:val="22"/>
        </w:rPr>
        <w:t>son effectif ne dépassera pas, selon toute vraisemblance et d’ici au premier exercice social, dix emplois à plein temps en moyenne annuelle ;</w:t>
      </w:r>
    </w:p>
    <w:p w:rsidR="00D27D5E" w:rsidRDefault="00D27D5E" w:rsidP="00D27D5E">
      <w:pPr>
        <w:pStyle w:val="Corpsdetexte"/>
        <w:numPr>
          <w:ilvl w:val="0"/>
          <w:numId w:val="2"/>
        </w:numPr>
        <w:rPr>
          <w:sz w:val="22"/>
        </w:rPr>
      </w:pPr>
      <w:r>
        <w:rPr>
          <w:sz w:val="22"/>
        </w:rPr>
        <w:t>l’ensemble des fondateurs/souscripteurs a consenti à renoncer à un contrôle restreint.</w:t>
      </w:r>
    </w:p>
    <w:p w:rsidR="00D27D5E" w:rsidRDefault="00D27D5E" w:rsidP="00D27D5E">
      <w:pPr>
        <w:tabs>
          <w:tab w:val="left" w:pos="4253"/>
          <w:tab w:val="right" w:pos="8505"/>
        </w:tabs>
        <w:jc w:val="both"/>
        <w:rPr>
          <w:sz w:val="22"/>
        </w:rPr>
      </w:pPr>
    </w:p>
    <w:p w:rsidR="00D27D5E" w:rsidRDefault="00D27D5E" w:rsidP="00D27D5E">
      <w:pPr>
        <w:numPr>
          <w:ilvl w:val="0"/>
          <w:numId w:val="1"/>
        </w:numPr>
        <w:tabs>
          <w:tab w:val="left" w:pos="4253"/>
          <w:tab w:val="right" w:pos="8505"/>
        </w:tabs>
        <w:jc w:val="both"/>
        <w:rPr>
          <w:sz w:val="22"/>
        </w:rPr>
      </w:pPr>
      <w:r>
        <w:rPr>
          <w:sz w:val="22"/>
        </w:rPr>
        <w:t>La société étant nouvellement constituée, il n’est pas possible de joindre à la présente déclaration les documents mentionnés à l’article 62, al.2, ORC (comptes de pertes et profits, bilan, etc.).</w:t>
      </w:r>
    </w:p>
    <w:p w:rsidR="00D27D5E" w:rsidRDefault="00D27D5E" w:rsidP="00D27D5E">
      <w:pPr>
        <w:tabs>
          <w:tab w:val="left" w:pos="4253"/>
          <w:tab w:val="right" w:pos="8505"/>
        </w:tabs>
        <w:jc w:val="both"/>
        <w:rPr>
          <w:sz w:val="22"/>
        </w:rPr>
      </w:pPr>
    </w:p>
    <w:p w:rsidR="00D27D5E" w:rsidRDefault="00D27D5E" w:rsidP="00D27D5E">
      <w:pPr>
        <w:numPr>
          <w:ilvl w:val="0"/>
          <w:numId w:val="1"/>
        </w:numPr>
        <w:tabs>
          <w:tab w:val="left" w:pos="4253"/>
          <w:tab w:val="right" w:pos="8505"/>
        </w:tabs>
        <w:jc w:val="both"/>
        <w:rPr>
          <w:sz w:val="22"/>
        </w:rPr>
      </w:pPr>
      <w:r>
        <w:rPr>
          <w:sz w:val="22"/>
        </w:rPr>
        <w:t>Le conseil d'administration s'engage à déposer auprès du registre du commerce compétent les documents figurant à l'art. 62, al. 2, ORC dès que ceux-ci seront disponibles.</w:t>
      </w:r>
    </w:p>
    <w:p w:rsidR="00D27D5E" w:rsidRDefault="00D27D5E" w:rsidP="00D27D5E">
      <w:pPr>
        <w:tabs>
          <w:tab w:val="left" w:pos="4253"/>
          <w:tab w:val="right" w:pos="8505"/>
        </w:tabs>
        <w:jc w:val="both"/>
        <w:rPr>
          <w:sz w:val="22"/>
        </w:rPr>
      </w:pPr>
    </w:p>
    <w:p w:rsidR="00D27D5E" w:rsidRDefault="00D27D5E" w:rsidP="00D27D5E">
      <w:pPr>
        <w:numPr>
          <w:ilvl w:val="0"/>
          <w:numId w:val="1"/>
        </w:numPr>
        <w:tabs>
          <w:tab w:val="left" w:pos="4253"/>
          <w:tab w:val="right" w:pos="8505"/>
        </w:tabs>
        <w:jc w:val="both"/>
        <w:rPr>
          <w:sz w:val="22"/>
        </w:rPr>
      </w:pPr>
      <w:r>
        <w:rPr>
          <w:sz w:val="22"/>
        </w:rPr>
        <w:t>L'administration de la société s'engage à informer le préposé au registre du commerce si l'une ou l'autre des conditions légales permettant l'</w:t>
      </w:r>
      <w:proofErr w:type="spellStart"/>
      <w:r>
        <w:rPr>
          <w:sz w:val="22"/>
        </w:rPr>
        <w:t>opting</w:t>
      </w:r>
      <w:proofErr w:type="spellEnd"/>
      <w:r>
        <w:rPr>
          <w:sz w:val="22"/>
        </w:rPr>
        <w:t xml:space="preserve">-out ne devaient plus être réalisées, notamment si un actionnaire devait manifester </w:t>
      </w:r>
      <w:proofErr w:type="spellStart"/>
      <w:r>
        <w:rPr>
          <w:sz w:val="22"/>
        </w:rPr>
        <w:t>sont</w:t>
      </w:r>
      <w:proofErr w:type="spellEnd"/>
      <w:r>
        <w:rPr>
          <w:sz w:val="22"/>
        </w:rPr>
        <w:t xml:space="preserve"> intention de ne plus renoncer à un contrôle restreint, si l’effectif de la société devait dépasser dix emplois à plein temps en moyenne annuelle ou si une des conditions de l'article 727 du code des obligations (contrôle ordinaire) devait être remplie. </w:t>
      </w:r>
    </w:p>
    <w:p w:rsidR="00D27D5E" w:rsidRDefault="00D27D5E" w:rsidP="00D27D5E">
      <w:pPr>
        <w:tabs>
          <w:tab w:val="left" w:pos="4253"/>
          <w:tab w:val="right" w:pos="8505"/>
        </w:tabs>
        <w:jc w:val="both"/>
        <w:rPr>
          <w:sz w:val="22"/>
        </w:rPr>
      </w:pPr>
    </w:p>
    <w:p w:rsidR="00D27D5E" w:rsidRDefault="00D27D5E" w:rsidP="00D27D5E">
      <w:pPr>
        <w:tabs>
          <w:tab w:val="left" w:pos="4253"/>
          <w:tab w:val="right" w:pos="8505"/>
        </w:tabs>
        <w:jc w:val="both"/>
        <w:rPr>
          <w:sz w:val="22"/>
        </w:rPr>
      </w:pPr>
      <w:r>
        <w:rPr>
          <w:sz w:val="22"/>
        </w:rPr>
        <w:t xml:space="preserve">Signature d'un membre au moins </w:t>
      </w:r>
      <w:r>
        <w:rPr>
          <w:sz w:val="22"/>
          <w:szCs w:val="24"/>
        </w:rPr>
        <w:t xml:space="preserve">de l’organe supérieur de gestion ou d’administration </w:t>
      </w:r>
      <w:r>
        <w:rPr>
          <w:sz w:val="22"/>
        </w:rPr>
        <w:t>(art. 62, al. 2, ORC) :</w:t>
      </w:r>
    </w:p>
    <w:p w:rsidR="00D27D5E" w:rsidRDefault="00D27D5E" w:rsidP="00D27D5E">
      <w:pPr>
        <w:tabs>
          <w:tab w:val="left" w:pos="4253"/>
          <w:tab w:val="right" w:pos="8505"/>
        </w:tabs>
        <w:jc w:val="both"/>
        <w:rPr>
          <w:sz w:val="22"/>
        </w:rPr>
      </w:pPr>
    </w:p>
    <w:p w:rsidR="00D27D5E" w:rsidRDefault="00D27D5E" w:rsidP="00D27D5E">
      <w:pPr>
        <w:tabs>
          <w:tab w:val="left" w:pos="4253"/>
          <w:tab w:val="right" w:pos="8505"/>
        </w:tabs>
        <w:jc w:val="both"/>
        <w:rPr>
          <w:sz w:val="22"/>
        </w:rPr>
      </w:pPr>
    </w:p>
    <w:tbl>
      <w:tblPr>
        <w:tblW w:w="10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35"/>
      </w:tblGrid>
      <w:tr w:rsidR="00D27D5E" w:rsidTr="006C3C8A">
        <w:trPr>
          <w:trHeight w:val="1418"/>
        </w:trPr>
        <w:tc>
          <w:tcPr>
            <w:tcW w:w="10135" w:type="dxa"/>
          </w:tcPr>
          <w:p w:rsidR="00D27D5E" w:rsidRDefault="00D27D5E" w:rsidP="00D27D5E">
            <w:pPr>
              <w:tabs>
                <w:tab w:val="left" w:pos="4253"/>
                <w:tab w:val="right" w:pos="8505"/>
              </w:tabs>
              <w:jc w:val="both"/>
              <w:rPr>
                <w:sz w:val="22"/>
              </w:rPr>
            </w:pPr>
          </w:p>
          <w:p w:rsidR="00BA0E8A" w:rsidRDefault="00BA0E8A" w:rsidP="00D27D5E">
            <w:pPr>
              <w:tabs>
                <w:tab w:val="left" w:pos="4253"/>
                <w:tab w:val="right" w:pos="8505"/>
              </w:tabs>
              <w:jc w:val="both"/>
              <w:rPr>
                <w:sz w:val="22"/>
              </w:rPr>
            </w:pPr>
            <w:r>
              <w:rPr>
                <w:sz w:val="22"/>
              </w:rPr>
              <w:t>Lieu et date</w:t>
            </w:r>
            <w:r w:rsidR="00D27D5E">
              <w:rPr>
                <w:sz w:val="22"/>
              </w:rPr>
              <w:t xml:space="preserve">:  </w:t>
            </w:r>
            <w:r>
              <w:rPr>
                <w:sz w:val="22"/>
              </w:rPr>
              <w:t xml:space="preserve">Genève  le </w:t>
            </w:r>
            <w:r w:rsidRPr="00E36BEA">
              <w:rPr>
                <w:spacing w:val="-3"/>
              </w:rPr>
              <w:t>{</w:t>
            </w:r>
            <w:proofErr w:type="spellStart"/>
            <w:r w:rsidRPr="00E36BEA">
              <w:rPr>
                <w:spacing w:val="-3"/>
              </w:rPr>
              <w:t>Datejour</w:t>
            </w:r>
            <w:proofErr w:type="spellEnd"/>
            <w:r w:rsidRPr="00E36BEA">
              <w:rPr>
                <w:spacing w:val="-3"/>
              </w:rPr>
              <w:t>} {</w:t>
            </w:r>
            <w:proofErr w:type="spellStart"/>
            <w:r w:rsidRPr="00E36BEA">
              <w:rPr>
                <w:spacing w:val="-3"/>
              </w:rPr>
              <w:t>Datemois</w:t>
            </w:r>
            <w:proofErr w:type="spellEnd"/>
            <w:r w:rsidRPr="00E36BEA">
              <w:rPr>
                <w:spacing w:val="-3"/>
              </w:rPr>
              <w:t>} {</w:t>
            </w:r>
            <w:proofErr w:type="spellStart"/>
            <w:r w:rsidRPr="00E36BEA">
              <w:rPr>
                <w:spacing w:val="-3"/>
              </w:rPr>
              <w:t>DateAnne</w:t>
            </w:r>
            <w:proofErr w:type="spellEnd"/>
            <w:r w:rsidRPr="00E36BEA">
              <w:rPr>
                <w:spacing w:val="-3"/>
              </w:rPr>
              <w:t>},</w:t>
            </w:r>
          </w:p>
          <w:p w:rsidR="00D27D5E" w:rsidRPr="00622741" w:rsidRDefault="00D27D5E" w:rsidP="00622741">
            <w:pPr>
              <w:tabs>
                <w:tab w:val="left" w:pos="4253"/>
                <w:tab w:val="right" w:pos="8505"/>
              </w:tabs>
              <w:jc w:val="both"/>
              <w:rPr>
                <w:sz w:val="22"/>
                <w:lang w:val="en-US"/>
              </w:rPr>
            </w:pPr>
            <w:r>
              <w:rPr>
                <w:sz w:val="22"/>
              </w:rPr>
              <w:t xml:space="preserve"> </w:t>
            </w:r>
            <w:r w:rsidRPr="00417EBF">
              <w:rPr>
                <w:sz w:val="22"/>
                <w:lang w:val="en-US"/>
              </w:rPr>
              <w:t>Signature(s)</w:t>
            </w:r>
          </w:p>
        </w:tc>
      </w:tr>
    </w:tbl>
    <w:p w:rsidR="00D27D5E" w:rsidRDefault="00D27D5E"/>
    <w:sectPr w:rsidR="00D27D5E" w:rsidSect="00B67739">
      <w:headerReference w:type="even" r:id="rId7"/>
      <w:headerReference w:type="default" r:id="rId8"/>
      <w:pgSz w:w="11907" w:h="16840"/>
      <w:pgMar w:top="1418" w:right="567" w:bottom="1418" w:left="1418" w:header="624" w:footer="62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990" w:rsidRDefault="00F00990">
      <w:r>
        <w:separator/>
      </w:r>
    </w:p>
  </w:endnote>
  <w:endnote w:type="continuationSeparator" w:id="0">
    <w:p w:rsidR="00F00990" w:rsidRDefault="00F00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estrial">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990" w:rsidRDefault="00F00990">
      <w:r>
        <w:separator/>
      </w:r>
    </w:p>
  </w:footnote>
  <w:footnote w:type="continuationSeparator" w:id="0">
    <w:p w:rsidR="00F00990" w:rsidRDefault="00F009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D5E" w:rsidRDefault="007B39FF">
    <w:pPr>
      <w:pStyle w:val="En-tte"/>
      <w:framePr w:wrap="around" w:vAnchor="text" w:hAnchor="margin" w:xAlign="right" w:y="1"/>
      <w:rPr>
        <w:rStyle w:val="Numrodepage"/>
      </w:rPr>
    </w:pPr>
    <w:r>
      <w:rPr>
        <w:rStyle w:val="Numrodepage"/>
      </w:rPr>
      <w:fldChar w:fldCharType="begin"/>
    </w:r>
    <w:r w:rsidR="00D27D5E">
      <w:rPr>
        <w:rStyle w:val="Numrodepage"/>
      </w:rPr>
      <w:instrText xml:space="preserve">PAGE  </w:instrText>
    </w:r>
    <w:r>
      <w:rPr>
        <w:rStyle w:val="Numrodepage"/>
      </w:rPr>
      <w:fldChar w:fldCharType="separate"/>
    </w:r>
    <w:r w:rsidR="00D27D5E">
      <w:rPr>
        <w:rStyle w:val="Numrodepage"/>
        <w:noProof/>
      </w:rPr>
      <w:t>1</w:t>
    </w:r>
    <w:r>
      <w:rPr>
        <w:rStyle w:val="Numrodepage"/>
      </w:rPr>
      <w:fldChar w:fldCharType="end"/>
    </w:r>
  </w:p>
  <w:p w:rsidR="00D27D5E" w:rsidRDefault="00D27D5E">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D5E" w:rsidRDefault="007B39FF">
    <w:pPr>
      <w:pStyle w:val="En-tte"/>
      <w:framePr w:wrap="around" w:vAnchor="text" w:hAnchor="margin" w:xAlign="right" w:y="1"/>
      <w:rPr>
        <w:rStyle w:val="Numrodepage"/>
      </w:rPr>
    </w:pPr>
    <w:r>
      <w:rPr>
        <w:rStyle w:val="Numrodepage"/>
      </w:rPr>
      <w:fldChar w:fldCharType="begin"/>
    </w:r>
    <w:r w:rsidR="00D27D5E">
      <w:rPr>
        <w:rStyle w:val="Numrodepage"/>
      </w:rPr>
      <w:instrText xml:space="preserve">PAGE  </w:instrText>
    </w:r>
    <w:r>
      <w:rPr>
        <w:rStyle w:val="Numrodepage"/>
      </w:rPr>
      <w:fldChar w:fldCharType="separate"/>
    </w:r>
    <w:r w:rsidR="00417EBF">
      <w:rPr>
        <w:rStyle w:val="Numrodepage"/>
        <w:noProof/>
      </w:rPr>
      <w:t>2</w:t>
    </w:r>
    <w:r>
      <w:rPr>
        <w:rStyle w:val="Numrodepage"/>
      </w:rPr>
      <w:fldChar w:fldCharType="end"/>
    </w:r>
  </w:p>
  <w:p w:rsidR="00D27D5E" w:rsidRDefault="00D27D5E">
    <w:pPr>
      <w:pStyle w:val="En-tt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D7808"/>
    <w:multiLevelType w:val="hybridMultilevel"/>
    <w:tmpl w:val="2DA2F80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2B759D"/>
    <w:multiLevelType w:val="singleLevel"/>
    <w:tmpl w:val="040C000F"/>
    <w:lvl w:ilvl="0">
      <w:start w:val="1"/>
      <w:numFmt w:val="decimal"/>
      <w:lvlText w:val="%1."/>
      <w:lvlJc w:val="left"/>
      <w:pPr>
        <w:tabs>
          <w:tab w:val="num" w:pos="360"/>
        </w:tabs>
        <w:ind w:left="36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D27D5E"/>
    <w:rsid w:val="002F2373"/>
    <w:rsid w:val="00417EBF"/>
    <w:rsid w:val="0046412C"/>
    <w:rsid w:val="00622741"/>
    <w:rsid w:val="006C3C8A"/>
    <w:rsid w:val="006E693A"/>
    <w:rsid w:val="007B39FF"/>
    <w:rsid w:val="007E528B"/>
    <w:rsid w:val="00854A46"/>
    <w:rsid w:val="009C131D"/>
    <w:rsid w:val="00A118F8"/>
    <w:rsid w:val="00A5696D"/>
    <w:rsid w:val="00A80087"/>
    <w:rsid w:val="00A93002"/>
    <w:rsid w:val="00AF01CC"/>
    <w:rsid w:val="00B67739"/>
    <w:rsid w:val="00BA0E8A"/>
    <w:rsid w:val="00D27D5E"/>
    <w:rsid w:val="00D5231B"/>
    <w:rsid w:val="00E32BD5"/>
    <w:rsid w:val="00F0099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3E78A8D3"/>
  <w15:docId w15:val="{918AB9AE-8B47-467E-A88B-899C484EF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7D5E"/>
    <w:rPr>
      <w:sz w:val="24"/>
      <w:lang w:val="fr-FR" w:eastAsia="fr-FR"/>
    </w:rPr>
  </w:style>
  <w:style w:type="paragraph" w:styleId="Titre1">
    <w:name w:val="heading 1"/>
    <w:basedOn w:val="Normal"/>
    <w:next w:val="Normal"/>
    <w:qFormat/>
    <w:rsid w:val="00D27D5E"/>
    <w:pPr>
      <w:keepNext/>
      <w:tabs>
        <w:tab w:val="left" w:pos="4253"/>
        <w:tab w:val="right" w:pos="8505"/>
      </w:tabs>
      <w:ind w:firstLine="4253"/>
      <w:jc w:val="both"/>
      <w:outlineLvl w:val="0"/>
    </w:pPr>
    <w:rPr>
      <w:b/>
      <w:u w:val="single"/>
    </w:rPr>
  </w:style>
  <w:style w:type="paragraph" w:styleId="Titre3">
    <w:name w:val="heading 3"/>
    <w:basedOn w:val="Normal"/>
    <w:next w:val="Normal"/>
    <w:qFormat/>
    <w:rsid w:val="00D27D5E"/>
    <w:pPr>
      <w:keepNext/>
      <w:tabs>
        <w:tab w:val="left" w:pos="4253"/>
        <w:tab w:val="right" w:pos="8505"/>
      </w:tabs>
      <w:jc w:val="center"/>
      <w:outlineLvl w:val="2"/>
    </w:pPr>
    <w:rPr>
      <w:b/>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D27D5E"/>
    <w:pPr>
      <w:tabs>
        <w:tab w:val="center" w:pos="4536"/>
        <w:tab w:val="right" w:pos="9072"/>
      </w:tabs>
    </w:pPr>
  </w:style>
  <w:style w:type="character" w:styleId="Numrodepage">
    <w:name w:val="page number"/>
    <w:basedOn w:val="Policepardfaut"/>
    <w:rsid w:val="00D27D5E"/>
  </w:style>
  <w:style w:type="paragraph" w:styleId="Corpsdetexte">
    <w:name w:val="Body Text"/>
    <w:basedOn w:val="Normal"/>
    <w:rsid w:val="00D27D5E"/>
    <w:pPr>
      <w:tabs>
        <w:tab w:val="left" w:pos="4253"/>
        <w:tab w:val="right" w:pos="8505"/>
      </w:tabs>
      <w:jc w:val="both"/>
    </w:pPr>
  </w:style>
  <w:style w:type="paragraph" w:styleId="Pieddepage">
    <w:name w:val="footer"/>
    <w:basedOn w:val="Normal"/>
    <w:rsid w:val="00D27D5E"/>
    <w:pPr>
      <w:tabs>
        <w:tab w:val="center" w:pos="4536"/>
        <w:tab w:val="right" w:pos="9072"/>
      </w:tabs>
    </w:pPr>
  </w:style>
  <w:style w:type="paragraph" w:customStyle="1" w:styleId="LO-normal">
    <w:name w:val="LO-normal"/>
    <w:qFormat/>
    <w:rsid w:val="00417EBF"/>
    <w:rPr>
      <w:rFonts w:ascii="Questrial" w:eastAsia="Questrial" w:hAnsi="Questrial" w:cs="Questrial"/>
      <w:b/>
      <w:lang w:val="fr-CH"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312</Words>
  <Characters>1720</Characters>
  <Application>Microsoft Office Word</Application>
  <DocSecurity>0</DocSecurity>
  <Lines>14</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DECLARATION DE RENONCIATION</vt:lpstr>
      <vt:lpstr>DECLARATION DE RENONCIATION</vt:lpstr>
    </vt:vector>
  </TitlesOfParts>
  <Company>Lenz &amp; Staehelin</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DE RENONCIATION</dc:title>
  <dc:subject/>
  <dc:creator>Alexandre de Boccard</dc:creator>
  <cp:keywords/>
  <dc:description/>
  <cp:lastModifiedBy>Amine Babba</cp:lastModifiedBy>
  <cp:revision>4</cp:revision>
  <dcterms:created xsi:type="dcterms:W3CDTF">2019-10-16T15:35:00Z</dcterms:created>
  <dcterms:modified xsi:type="dcterms:W3CDTF">2020-01-19T10:11:00Z</dcterms:modified>
</cp:coreProperties>
</file>