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400D44" w14:textId="18CEA287" w:rsidR="005C5EA1" w:rsidRPr="005C5EA1" w:rsidRDefault="005C5EA1" w:rsidP="005C5EA1">
      <w:pPr>
        <w:pStyle w:val="Title"/>
        <w:jc w:val="center"/>
        <w:rPr>
          <w:lang w:val="en-US"/>
        </w:rPr>
      </w:pPr>
      <w:r w:rsidRPr="005C5EA1">
        <w:rPr>
          <w:lang w:val="en-US"/>
        </w:rPr>
        <w:t>CGIAR Impact Areas</w:t>
      </w:r>
    </w:p>
    <w:tbl>
      <w:tblPr>
        <w:tblStyle w:val="TableGrid"/>
        <w:tblW w:w="0" w:type="auto"/>
        <w:tblLook w:val="04A0" w:firstRow="1" w:lastRow="0" w:firstColumn="1" w:lastColumn="0" w:noHBand="0" w:noVBand="1"/>
      </w:tblPr>
      <w:tblGrid>
        <w:gridCol w:w="4508"/>
        <w:gridCol w:w="4508"/>
      </w:tblGrid>
      <w:tr w:rsidR="005C5EA1" w:rsidRPr="005C5EA1" w14:paraId="7D62D1DE" w14:textId="77777777" w:rsidTr="006B3692">
        <w:tc>
          <w:tcPr>
            <w:tcW w:w="4508" w:type="dxa"/>
            <w:shd w:val="clear" w:color="auto" w:fill="44546A" w:themeFill="text2"/>
          </w:tcPr>
          <w:p w14:paraId="3E23B92B" w14:textId="77777777" w:rsidR="005C5EA1" w:rsidRPr="005C5EA1" w:rsidRDefault="005C5EA1" w:rsidP="006B3692">
            <w:pPr>
              <w:rPr>
                <w:rFonts w:cstheme="minorHAnsi"/>
                <w:b/>
                <w:bCs/>
                <w:color w:val="FFFFFF" w:themeColor="background1"/>
                <w:sz w:val="22"/>
                <w:szCs w:val="22"/>
                <w:lang w:val="en-US"/>
              </w:rPr>
            </w:pPr>
            <w:r w:rsidRPr="005C5EA1">
              <w:rPr>
                <w:rFonts w:cstheme="minorHAnsi"/>
                <w:b/>
                <w:bCs/>
                <w:color w:val="FFFFFF" w:themeColor="background1"/>
                <w:sz w:val="22"/>
                <w:szCs w:val="22"/>
                <w:lang w:val="en-US"/>
              </w:rPr>
              <w:t>Impact Area</w:t>
            </w:r>
          </w:p>
        </w:tc>
        <w:tc>
          <w:tcPr>
            <w:tcW w:w="4508" w:type="dxa"/>
            <w:shd w:val="clear" w:color="auto" w:fill="44546A" w:themeFill="text2"/>
          </w:tcPr>
          <w:p w14:paraId="7B83766B" w14:textId="77777777" w:rsidR="005C5EA1" w:rsidRPr="005C5EA1" w:rsidRDefault="005C5EA1" w:rsidP="006B3692">
            <w:pPr>
              <w:rPr>
                <w:rFonts w:cstheme="minorHAnsi"/>
                <w:b/>
                <w:bCs/>
                <w:color w:val="FFFFFF" w:themeColor="background1"/>
                <w:sz w:val="22"/>
                <w:szCs w:val="22"/>
                <w:lang w:val="en-US"/>
              </w:rPr>
            </w:pPr>
            <w:r w:rsidRPr="005C5EA1">
              <w:rPr>
                <w:rFonts w:cstheme="minorHAnsi"/>
                <w:b/>
                <w:bCs/>
                <w:color w:val="FFFFFF" w:themeColor="background1"/>
                <w:sz w:val="22"/>
                <w:szCs w:val="22"/>
                <w:lang w:val="en-US"/>
              </w:rPr>
              <w:t>Targets</w:t>
            </w:r>
          </w:p>
        </w:tc>
      </w:tr>
      <w:tr w:rsidR="005C5EA1" w:rsidRPr="005C5EA1" w14:paraId="40F1CD76" w14:textId="77777777" w:rsidTr="006B3692">
        <w:tc>
          <w:tcPr>
            <w:tcW w:w="4508" w:type="dxa"/>
            <w:vMerge w:val="restart"/>
            <w:vAlign w:val="center"/>
          </w:tcPr>
          <w:p w14:paraId="531A1A2C" w14:textId="77777777" w:rsidR="005C5EA1" w:rsidRPr="005C5EA1" w:rsidRDefault="005C5EA1" w:rsidP="006B3692">
            <w:pPr>
              <w:rPr>
                <w:rFonts w:cstheme="minorHAnsi"/>
                <w:sz w:val="22"/>
                <w:szCs w:val="22"/>
                <w:lang w:val="en-US"/>
              </w:rPr>
            </w:pPr>
            <w:r w:rsidRPr="005C5EA1">
              <w:rPr>
                <w:rFonts w:cstheme="minorHAnsi"/>
                <w:sz w:val="22"/>
                <w:szCs w:val="22"/>
                <w:lang w:val="en-US"/>
              </w:rPr>
              <w:t>Nutrition, Health &amp; Food Security</w:t>
            </w:r>
          </w:p>
        </w:tc>
        <w:tc>
          <w:tcPr>
            <w:tcW w:w="4508" w:type="dxa"/>
          </w:tcPr>
          <w:p w14:paraId="2B6AF2D0" w14:textId="77777777" w:rsidR="005C5EA1" w:rsidRPr="005C5EA1" w:rsidRDefault="005C5EA1" w:rsidP="006B3692">
            <w:pPr>
              <w:rPr>
                <w:rFonts w:cstheme="minorHAnsi"/>
                <w:sz w:val="22"/>
                <w:szCs w:val="22"/>
              </w:rPr>
            </w:pPr>
            <w:r w:rsidRPr="005C5EA1">
              <w:rPr>
                <w:rFonts w:cstheme="minorHAnsi"/>
                <w:sz w:val="22"/>
                <w:szCs w:val="22"/>
              </w:rPr>
              <w:t>End hunger for all and enable affordable healthy diets for the 3 billion people who do not currently have access to safe and nutritious food.</w:t>
            </w:r>
          </w:p>
        </w:tc>
      </w:tr>
      <w:tr w:rsidR="005C5EA1" w:rsidRPr="005C5EA1" w14:paraId="6DCA74C2" w14:textId="77777777" w:rsidTr="006B3692">
        <w:tc>
          <w:tcPr>
            <w:tcW w:w="4508" w:type="dxa"/>
            <w:vMerge/>
          </w:tcPr>
          <w:p w14:paraId="1763EEAD" w14:textId="77777777" w:rsidR="005C5EA1" w:rsidRPr="005C5EA1" w:rsidRDefault="005C5EA1" w:rsidP="006B3692">
            <w:pPr>
              <w:rPr>
                <w:rFonts w:cstheme="minorHAnsi"/>
                <w:sz w:val="22"/>
                <w:szCs w:val="22"/>
              </w:rPr>
            </w:pPr>
          </w:p>
        </w:tc>
        <w:tc>
          <w:tcPr>
            <w:tcW w:w="4508" w:type="dxa"/>
          </w:tcPr>
          <w:p w14:paraId="6FC82F46" w14:textId="77777777" w:rsidR="005C5EA1" w:rsidRPr="005C5EA1" w:rsidRDefault="005C5EA1" w:rsidP="006B3692">
            <w:pPr>
              <w:rPr>
                <w:rFonts w:cstheme="minorHAnsi"/>
                <w:sz w:val="22"/>
                <w:szCs w:val="22"/>
              </w:rPr>
            </w:pPr>
            <w:r w:rsidRPr="005C5EA1">
              <w:rPr>
                <w:rFonts w:cstheme="minorHAnsi"/>
                <w:sz w:val="22"/>
                <w:szCs w:val="22"/>
              </w:rPr>
              <w:t>Reduce cases of foodborne illness (600 million annually) and zoonotic disease (1 billion annually) by one third.</w:t>
            </w:r>
          </w:p>
        </w:tc>
      </w:tr>
      <w:tr w:rsidR="005C5EA1" w:rsidRPr="005C5EA1" w14:paraId="2D0B5D19" w14:textId="77777777" w:rsidTr="006B3692">
        <w:tc>
          <w:tcPr>
            <w:tcW w:w="4508" w:type="dxa"/>
            <w:vMerge w:val="restart"/>
            <w:vAlign w:val="center"/>
          </w:tcPr>
          <w:p w14:paraId="0AEE18B6" w14:textId="77777777" w:rsidR="005C5EA1" w:rsidRPr="005C5EA1" w:rsidRDefault="005C5EA1" w:rsidP="006B3692">
            <w:pPr>
              <w:rPr>
                <w:rFonts w:cstheme="minorHAnsi"/>
                <w:sz w:val="22"/>
                <w:szCs w:val="22"/>
                <w:lang w:val="en-US"/>
              </w:rPr>
            </w:pPr>
            <w:r w:rsidRPr="005C5EA1">
              <w:rPr>
                <w:rFonts w:cstheme="minorHAnsi"/>
                <w:sz w:val="22"/>
                <w:szCs w:val="22"/>
                <w:lang w:val="en-US"/>
              </w:rPr>
              <w:t>Poverty reduction, livelihood &amp; jobs</w:t>
            </w:r>
          </w:p>
        </w:tc>
        <w:tc>
          <w:tcPr>
            <w:tcW w:w="4508" w:type="dxa"/>
          </w:tcPr>
          <w:p w14:paraId="6B36B6B0" w14:textId="77777777" w:rsidR="005C5EA1" w:rsidRPr="005C5EA1" w:rsidRDefault="005C5EA1" w:rsidP="006B3692">
            <w:pPr>
              <w:rPr>
                <w:rFonts w:cstheme="minorHAnsi"/>
                <w:sz w:val="22"/>
                <w:szCs w:val="22"/>
              </w:rPr>
            </w:pPr>
            <w:r w:rsidRPr="005C5EA1">
              <w:rPr>
                <w:rFonts w:cstheme="minorHAnsi"/>
                <w:sz w:val="22"/>
                <w:szCs w:val="22"/>
              </w:rPr>
              <w:t>Lift at least 500 million people living in rural areas above the extreme poverty line of US $1.90 per day (2011 PPP).</w:t>
            </w:r>
          </w:p>
        </w:tc>
      </w:tr>
      <w:tr w:rsidR="005C5EA1" w:rsidRPr="005C5EA1" w14:paraId="07B57CAB" w14:textId="77777777" w:rsidTr="006B3692">
        <w:tc>
          <w:tcPr>
            <w:tcW w:w="4508" w:type="dxa"/>
            <w:vMerge/>
          </w:tcPr>
          <w:p w14:paraId="27FF55EF" w14:textId="77777777" w:rsidR="005C5EA1" w:rsidRPr="005C5EA1" w:rsidRDefault="005C5EA1" w:rsidP="006B3692">
            <w:pPr>
              <w:rPr>
                <w:rFonts w:cstheme="minorHAnsi"/>
                <w:sz w:val="22"/>
                <w:szCs w:val="22"/>
              </w:rPr>
            </w:pPr>
          </w:p>
        </w:tc>
        <w:tc>
          <w:tcPr>
            <w:tcW w:w="4508" w:type="dxa"/>
          </w:tcPr>
          <w:p w14:paraId="0990811A" w14:textId="77777777" w:rsidR="005C5EA1" w:rsidRPr="005C5EA1" w:rsidRDefault="005C5EA1" w:rsidP="006B3692">
            <w:pPr>
              <w:rPr>
                <w:rFonts w:cstheme="minorHAnsi"/>
                <w:sz w:val="22"/>
                <w:szCs w:val="22"/>
              </w:rPr>
            </w:pPr>
            <w:r w:rsidRPr="005C5EA1">
              <w:rPr>
                <w:rFonts w:cstheme="minorHAnsi"/>
                <w:sz w:val="22"/>
                <w:szCs w:val="22"/>
              </w:rPr>
              <w:t>Lift at least 500 million people living in rural areas above the extreme poverty line of US $1.90 per day (2011 PPP).</w:t>
            </w:r>
          </w:p>
        </w:tc>
      </w:tr>
      <w:tr w:rsidR="005C5EA1" w:rsidRPr="005C5EA1" w14:paraId="2B311B76" w14:textId="77777777" w:rsidTr="006B3692">
        <w:tc>
          <w:tcPr>
            <w:tcW w:w="4508" w:type="dxa"/>
            <w:vMerge w:val="restart"/>
            <w:vAlign w:val="center"/>
          </w:tcPr>
          <w:p w14:paraId="587C64C4" w14:textId="77777777" w:rsidR="005C5EA1" w:rsidRPr="005C5EA1" w:rsidRDefault="005C5EA1" w:rsidP="006B3692">
            <w:pPr>
              <w:rPr>
                <w:rFonts w:cstheme="minorHAnsi"/>
                <w:sz w:val="22"/>
                <w:szCs w:val="22"/>
                <w:lang w:val="en-US"/>
              </w:rPr>
            </w:pPr>
            <w:r w:rsidRPr="005C5EA1">
              <w:rPr>
                <w:rFonts w:cstheme="minorHAnsi"/>
                <w:sz w:val="22"/>
                <w:szCs w:val="22"/>
                <w:lang w:val="en-US"/>
              </w:rPr>
              <w:t>Gender Equality, youth &amp; social inclusion</w:t>
            </w:r>
          </w:p>
        </w:tc>
        <w:tc>
          <w:tcPr>
            <w:tcW w:w="4508" w:type="dxa"/>
          </w:tcPr>
          <w:p w14:paraId="37329955" w14:textId="77777777" w:rsidR="005C5EA1" w:rsidRPr="005C5EA1" w:rsidRDefault="005C5EA1" w:rsidP="006B3692">
            <w:pPr>
              <w:rPr>
                <w:rFonts w:cstheme="minorHAnsi"/>
                <w:sz w:val="22"/>
                <w:szCs w:val="22"/>
              </w:rPr>
            </w:pPr>
            <w:r w:rsidRPr="005C5EA1">
              <w:rPr>
                <w:rFonts w:cstheme="minorHAnsi"/>
                <w:sz w:val="22"/>
                <w:szCs w:val="22"/>
              </w:rPr>
              <w:t>Close the gender gap in rights to economic resources, access to ownership and control over land and natural resources for over 500 million women who work in food, land and water systems.</w:t>
            </w:r>
          </w:p>
        </w:tc>
      </w:tr>
      <w:tr w:rsidR="005C5EA1" w:rsidRPr="005C5EA1" w14:paraId="7542DA31" w14:textId="77777777" w:rsidTr="006B3692">
        <w:tc>
          <w:tcPr>
            <w:tcW w:w="4508" w:type="dxa"/>
            <w:vMerge/>
          </w:tcPr>
          <w:p w14:paraId="15F73F95" w14:textId="77777777" w:rsidR="005C5EA1" w:rsidRPr="005C5EA1" w:rsidRDefault="005C5EA1" w:rsidP="006B3692">
            <w:pPr>
              <w:rPr>
                <w:rFonts w:cstheme="minorHAnsi"/>
                <w:sz w:val="22"/>
                <w:szCs w:val="22"/>
              </w:rPr>
            </w:pPr>
          </w:p>
        </w:tc>
        <w:tc>
          <w:tcPr>
            <w:tcW w:w="4508" w:type="dxa"/>
          </w:tcPr>
          <w:p w14:paraId="494EF612" w14:textId="77777777" w:rsidR="005C5EA1" w:rsidRPr="005C5EA1" w:rsidRDefault="005C5EA1" w:rsidP="006B3692">
            <w:pPr>
              <w:rPr>
                <w:rFonts w:cstheme="minorHAnsi"/>
                <w:sz w:val="22"/>
                <w:szCs w:val="22"/>
              </w:rPr>
            </w:pPr>
            <w:r w:rsidRPr="005C5EA1">
              <w:rPr>
                <w:rFonts w:cstheme="minorHAnsi"/>
                <w:sz w:val="22"/>
                <w:szCs w:val="22"/>
              </w:rPr>
              <w:t>Offer rewarding opportunities to 267 million young people who are not in employment, education or training.</w:t>
            </w:r>
          </w:p>
        </w:tc>
      </w:tr>
      <w:tr w:rsidR="005C5EA1" w:rsidRPr="005C5EA1" w14:paraId="592CAB70" w14:textId="77777777" w:rsidTr="006B3692">
        <w:tc>
          <w:tcPr>
            <w:tcW w:w="4508" w:type="dxa"/>
            <w:vMerge w:val="restart"/>
            <w:vAlign w:val="center"/>
          </w:tcPr>
          <w:p w14:paraId="20B978D9" w14:textId="77777777" w:rsidR="005C5EA1" w:rsidRPr="005C5EA1" w:rsidRDefault="005C5EA1" w:rsidP="006B3692">
            <w:pPr>
              <w:rPr>
                <w:rFonts w:cstheme="minorHAnsi"/>
                <w:sz w:val="22"/>
                <w:szCs w:val="22"/>
                <w:lang w:val="en-US"/>
              </w:rPr>
            </w:pPr>
            <w:r w:rsidRPr="005C5EA1">
              <w:rPr>
                <w:rFonts w:cstheme="minorHAnsi"/>
                <w:sz w:val="22"/>
                <w:szCs w:val="22"/>
                <w:lang w:val="en-US"/>
              </w:rPr>
              <w:t>Climate adaptation &amp; greenhouse reduction</w:t>
            </w:r>
          </w:p>
        </w:tc>
        <w:tc>
          <w:tcPr>
            <w:tcW w:w="4508" w:type="dxa"/>
          </w:tcPr>
          <w:p w14:paraId="065DD7CE" w14:textId="77777777" w:rsidR="005C5EA1" w:rsidRPr="005C5EA1" w:rsidRDefault="005C5EA1" w:rsidP="006B3692">
            <w:pPr>
              <w:rPr>
                <w:rFonts w:cstheme="minorHAnsi"/>
                <w:sz w:val="22"/>
                <w:szCs w:val="22"/>
              </w:rPr>
            </w:pPr>
            <w:r w:rsidRPr="005C5EA1">
              <w:rPr>
                <w:rFonts w:cstheme="minorHAnsi"/>
                <w:sz w:val="22"/>
                <w:szCs w:val="22"/>
              </w:rPr>
              <w:t>Implement all National adaptation Plans (NAP) and Nationally Determined Contributions (NDC) to the Paris Agreement.</w:t>
            </w:r>
          </w:p>
        </w:tc>
      </w:tr>
      <w:tr w:rsidR="005C5EA1" w:rsidRPr="005C5EA1" w14:paraId="41EF4918" w14:textId="77777777" w:rsidTr="006B3692">
        <w:tc>
          <w:tcPr>
            <w:tcW w:w="4508" w:type="dxa"/>
            <w:vMerge/>
          </w:tcPr>
          <w:p w14:paraId="21B9CAF8" w14:textId="77777777" w:rsidR="005C5EA1" w:rsidRPr="005C5EA1" w:rsidRDefault="005C5EA1" w:rsidP="006B3692">
            <w:pPr>
              <w:rPr>
                <w:rFonts w:cstheme="minorHAnsi"/>
                <w:sz w:val="22"/>
                <w:szCs w:val="22"/>
              </w:rPr>
            </w:pPr>
          </w:p>
        </w:tc>
        <w:tc>
          <w:tcPr>
            <w:tcW w:w="4508" w:type="dxa"/>
          </w:tcPr>
          <w:p w14:paraId="6FAC596B" w14:textId="77777777" w:rsidR="005C5EA1" w:rsidRPr="005C5EA1" w:rsidRDefault="005C5EA1" w:rsidP="006B3692">
            <w:pPr>
              <w:rPr>
                <w:rFonts w:cstheme="minorHAnsi"/>
                <w:sz w:val="22"/>
                <w:szCs w:val="22"/>
              </w:rPr>
            </w:pPr>
            <w:r w:rsidRPr="005C5EA1">
              <w:rPr>
                <w:rFonts w:cstheme="minorHAnsi"/>
                <w:sz w:val="22"/>
                <w:szCs w:val="22"/>
              </w:rPr>
              <w:t>Equip 500 million small-scale producers to be more resilient to climate shocks, with climate adaptation solutions available through national innovation systems.</w:t>
            </w:r>
          </w:p>
        </w:tc>
      </w:tr>
      <w:tr w:rsidR="005C5EA1" w:rsidRPr="005C5EA1" w14:paraId="61D09B16" w14:textId="77777777" w:rsidTr="006B3692">
        <w:tc>
          <w:tcPr>
            <w:tcW w:w="4508" w:type="dxa"/>
            <w:vMerge/>
          </w:tcPr>
          <w:p w14:paraId="13D3F4DD" w14:textId="77777777" w:rsidR="005C5EA1" w:rsidRPr="005C5EA1" w:rsidRDefault="005C5EA1" w:rsidP="006B3692">
            <w:pPr>
              <w:rPr>
                <w:rFonts w:cstheme="minorHAnsi"/>
                <w:sz w:val="22"/>
                <w:szCs w:val="22"/>
              </w:rPr>
            </w:pPr>
          </w:p>
        </w:tc>
        <w:tc>
          <w:tcPr>
            <w:tcW w:w="4508" w:type="dxa"/>
          </w:tcPr>
          <w:p w14:paraId="45657F47" w14:textId="77777777" w:rsidR="005C5EA1" w:rsidRPr="005C5EA1" w:rsidRDefault="005C5EA1" w:rsidP="006B3692">
            <w:pPr>
              <w:rPr>
                <w:rFonts w:cstheme="minorHAnsi"/>
                <w:sz w:val="22"/>
                <w:szCs w:val="22"/>
              </w:rPr>
            </w:pPr>
            <w:r w:rsidRPr="005C5EA1">
              <w:rPr>
                <w:rFonts w:cstheme="minorHAnsi"/>
                <w:sz w:val="22"/>
                <w:szCs w:val="22"/>
              </w:rPr>
              <w:t>Turn agriculture and forest systems into a net sink for carbon by 2050, with emissions from agriculture decreasing by 1 Gt per year by 2030 and reaching a floor of 5 Gt per year by 2050.</w:t>
            </w:r>
          </w:p>
        </w:tc>
      </w:tr>
      <w:tr w:rsidR="005C5EA1" w:rsidRPr="005C5EA1" w14:paraId="4635BFC2" w14:textId="77777777" w:rsidTr="006B3692">
        <w:tc>
          <w:tcPr>
            <w:tcW w:w="4508" w:type="dxa"/>
            <w:vMerge w:val="restart"/>
            <w:vAlign w:val="center"/>
          </w:tcPr>
          <w:p w14:paraId="1ADA8219" w14:textId="77777777" w:rsidR="005C5EA1" w:rsidRPr="005C5EA1" w:rsidRDefault="005C5EA1" w:rsidP="006B3692">
            <w:pPr>
              <w:rPr>
                <w:rFonts w:cstheme="minorHAnsi"/>
                <w:sz w:val="22"/>
                <w:szCs w:val="22"/>
                <w:lang w:val="en-US"/>
              </w:rPr>
            </w:pPr>
            <w:r w:rsidRPr="005C5EA1">
              <w:rPr>
                <w:rFonts w:cstheme="minorHAnsi"/>
                <w:sz w:val="22"/>
                <w:szCs w:val="22"/>
                <w:lang w:val="en-US"/>
              </w:rPr>
              <w:t>Environmental Health &amp; Biodiversity</w:t>
            </w:r>
          </w:p>
        </w:tc>
        <w:tc>
          <w:tcPr>
            <w:tcW w:w="4508" w:type="dxa"/>
          </w:tcPr>
          <w:p w14:paraId="4BBDAA29" w14:textId="77777777" w:rsidR="005C5EA1" w:rsidRPr="005C5EA1" w:rsidRDefault="005C5EA1" w:rsidP="006B3692">
            <w:pPr>
              <w:rPr>
                <w:rFonts w:cstheme="minorHAnsi"/>
                <w:sz w:val="22"/>
                <w:szCs w:val="22"/>
              </w:rPr>
            </w:pPr>
            <w:r w:rsidRPr="005C5EA1">
              <w:rPr>
                <w:rFonts w:cstheme="minorHAnsi"/>
                <w:sz w:val="22"/>
                <w:szCs w:val="22"/>
              </w:rPr>
              <w:t>Stay within planetary and regional environmental boundaries: consumptive water use in food production of less than 2500 km3 per year (with a focus on the most stressed basins), zero net deforestation, nitrogen application of 90 Tg per year (with a redistribution towards low-input farming systems) and increased use efficiency, and phosphorus application of 10 Tg per year.</w:t>
            </w:r>
          </w:p>
        </w:tc>
      </w:tr>
      <w:tr w:rsidR="005C5EA1" w:rsidRPr="005C5EA1" w14:paraId="33E0CCA3" w14:textId="77777777" w:rsidTr="006B3692">
        <w:tc>
          <w:tcPr>
            <w:tcW w:w="4508" w:type="dxa"/>
            <w:vMerge/>
          </w:tcPr>
          <w:p w14:paraId="170A5FA7" w14:textId="77777777" w:rsidR="005C5EA1" w:rsidRPr="005C5EA1" w:rsidRDefault="005C5EA1" w:rsidP="006B3692">
            <w:pPr>
              <w:rPr>
                <w:rFonts w:cstheme="minorHAnsi"/>
                <w:sz w:val="22"/>
                <w:szCs w:val="22"/>
              </w:rPr>
            </w:pPr>
          </w:p>
        </w:tc>
        <w:tc>
          <w:tcPr>
            <w:tcW w:w="4508" w:type="dxa"/>
          </w:tcPr>
          <w:p w14:paraId="04044BE9" w14:textId="77777777" w:rsidR="005C5EA1" w:rsidRPr="005C5EA1" w:rsidRDefault="005C5EA1" w:rsidP="006B3692">
            <w:pPr>
              <w:rPr>
                <w:rFonts w:cstheme="minorHAnsi"/>
                <w:sz w:val="22"/>
                <w:szCs w:val="22"/>
              </w:rPr>
            </w:pPr>
            <w:r w:rsidRPr="005C5EA1">
              <w:rPr>
                <w:rFonts w:cstheme="minorHAnsi"/>
                <w:sz w:val="22"/>
                <w:szCs w:val="22"/>
              </w:rPr>
              <w:t>Maintain the genetic diversity of seeds, cultivated plants and farmed and domesticated animals and their related wild species, including through soundly managed genebanks at the national, regional and international levels</w:t>
            </w:r>
          </w:p>
        </w:tc>
      </w:tr>
    </w:tbl>
    <w:p w14:paraId="696AB80D" w14:textId="77777777" w:rsidR="005C5EA1" w:rsidRPr="005C5EA1" w:rsidRDefault="005C5EA1" w:rsidP="005C5EA1">
      <w:pPr>
        <w:rPr>
          <w:rFonts w:cstheme="minorHAnsi"/>
          <w:sz w:val="22"/>
          <w:szCs w:val="22"/>
        </w:rPr>
      </w:pPr>
    </w:p>
    <w:sectPr w:rsidR="005C5EA1" w:rsidRPr="005C5E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5EA1"/>
    <w:rsid w:val="005C5EA1"/>
    <w:rsid w:val="00B54E0A"/>
    <w:rsid w:val="00E362F7"/>
  </w:rsids>
  <m:mathPr>
    <m:mathFont m:val="Cambria Math"/>
    <m:brkBin m:val="before"/>
    <m:brkBinSub m:val="--"/>
    <m:smallFrac m:val="0"/>
    <m:dispDef/>
    <m:lMargin m:val="0"/>
    <m:rMargin m:val="0"/>
    <m:defJc m:val="centerGroup"/>
    <m:wrapIndent m:val="1440"/>
    <m:intLim m:val="subSup"/>
    <m:naryLim m:val="undOvr"/>
  </m:mathPr>
  <w:themeFontLang w:val="en-GR"/>
  <w:clrSchemeMapping w:bg1="light1" w:t1="dark1" w:bg2="light2" w:t2="dark2" w:accent1="accent1" w:accent2="accent2" w:accent3="accent3" w:accent4="accent4" w:accent5="accent5" w:accent6="accent6" w:hyperlink="hyperlink" w:followedHyperlink="followedHyperlink"/>
  <w:decimalSymbol w:val=","/>
  <w:listSeparator w:val=","/>
  <w14:docId w14:val="0758CD82"/>
  <w15:chartTrackingRefBased/>
  <w15:docId w15:val="{F993308E-A654-9E40-8F4C-B21CEF24E9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C5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5C5EA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5EA1"/>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312</Words>
  <Characters>1783</Characters>
  <Application>Microsoft Office Word</Application>
  <DocSecurity>0</DocSecurity>
  <Lines>14</Lines>
  <Paragraphs>4</Paragraphs>
  <ScaleCrop>false</ScaleCrop>
  <Company>SCiO</Company>
  <LinksUpToDate>false</LinksUpToDate>
  <CharactersWithSpaces>2091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Antonis Koukourikos</dc:creator>
  <cp:keywords/>
  <dc:description/>
  <cp:lastModifiedBy>Antonis Koukourikos</cp:lastModifiedBy>
  <cp:revision>1</cp:revision>
  <dcterms:created xsi:type="dcterms:W3CDTF">2021-07-14T08:15:00Z</dcterms:created>
  <dcterms:modified xsi:type="dcterms:W3CDTF">2021-07-14T08:24:00Z</dcterms:modified>
</cp:coreProperties>
</file>