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5BA5C62" w14:textId="77777777" w:rsidR="00A45621" w:rsidRDefault="00000000">
      <w:pPr>
        <w:pStyle w:val="ParentKicker"/>
      </w:pPr>
      <w:r>
        <w:t>PARENT LEARNING UPDATE</w:t>
      </w:r>
    </w:p>
    <w:p w14:paraId="39770B18" w14:textId="53EBF01E" w:rsidR="00A45621" w:rsidRDefault="007C0166">
      <w:pPr>
        <w:pStyle w:val="ParentTitle"/>
      </w:pPr>
      <w:r>
        <w:rPr>
          <w:rFonts w:hint="eastAsia"/>
        </w:rPr>
        <w:t>7</w:t>
      </w:r>
      <w:r>
        <w:rPr>
          <w:rFonts w:hint="eastAsia"/>
        </w:rPr>
        <w:t>月</w:t>
      </w:r>
      <w:r>
        <w:t>实验</w:t>
      </w:r>
      <w:r>
        <w:rPr>
          <w:rFonts w:hint="eastAsia"/>
        </w:rPr>
        <w:t>总结</w:t>
      </w:r>
    </w:p>
    <w:p w14:paraId="26F17C59" w14:textId="77777777" w:rsidR="00A45621" w:rsidRDefault="00000000">
      <w:pPr>
        <w:pStyle w:val="ParentSubtitle"/>
      </w:pPr>
      <w:r>
        <w:t>第</w:t>
      </w:r>
      <w:r>
        <w:t xml:space="preserve"> 1–5 </w:t>
      </w:r>
      <w:r>
        <w:t>次课｜从</w:t>
      </w:r>
      <w:r>
        <w:t>“</w:t>
      </w:r>
      <w:r>
        <w:t>会做实验</w:t>
      </w:r>
      <w:r>
        <w:t>”</w:t>
      </w:r>
      <w:r>
        <w:t>走向</w:t>
      </w:r>
      <w:r>
        <w:t>“</w:t>
      </w:r>
      <w:r>
        <w:t>会用证据解释</w:t>
      </w:r>
      <w:r>
        <w:t>”</w:t>
      </w:r>
    </w:p>
    <w:p w14:paraId="193C3A00"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3689D968" w14:textId="38805DFD"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2BFBB295" w14:textId="77777777" w:rsidR="00A45621" w:rsidRDefault="00000000">
      <w:pPr>
        <w:pStyle w:val="1"/>
      </w:pPr>
      <w:r>
        <w:t>五次课做了哪些实验</w:t>
      </w:r>
    </w:p>
    <w:p w14:paraId="71FEBCEB" w14:textId="77777777" w:rsidR="00A45621" w:rsidRDefault="00000000">
      <w:pPr>
        <w:pStyle w:val="2"/>
      </w:pPr>
      <w:r>
        <w:t>第</w:t>
      </w:r>
      <w:r>
        <w:t xml:space="preserve"> 1 </w:t>
      </w:r>
      <w:r>
        <w:t>次课｜摆钟会听谁的话？</w:t>
      </w:r>
    </w:p>
    <w:p w14:paraId="54A26574" w14:textId="77777777" w:rsidR="00A45621" w:rsidRDefault="00000000">
      <w:pPr>
        <w:pStyle w:val="LessonQuestion"/>
      </w:pPr>
      <w:r>
        <w:t>孩子先猜测什么会改变单摆的周期。除了教案里的摆长、摆锤质量和释放角度，她还自己提出了第四个可能因素：摆的高度。我们因此一共做了四个对比实验。</w:t>
      </w:r>
    </w:p>
    <w:p w14:paraId="751AE423" w14:textId="77777777" w:rsidR="00A45621" w:rsidRDefault="00000000">
      <w:pPr>
        <w:pStyle w:val="ParentBullet"/>
        <w:numPr>
          <w:ilvl w:val="0"/>
          <w:numId w:val="1"/>
        </w:numPr>
      </w:pPr>
      <w:r>
        <w:rPr>
          <w:b/>
          <w:bCs/>
          <w:color w:val="0B2545"/>
        </w:rPr>
        <w:t>实验前先统一测量方法：</w:t>
      </w:r>
      <w:r>
        <w:t>四个实验都一次只改变一个因素，其他条件保持不变。每次测 10 次完整摆动的总时间；同一条件重复 3 次，再取平均值，以减小一次计时和操作带来的偶然误差。</w:t>
      </w:r>
    </w:p>
    <w:p w14:paraId="751AE423" w14:textId="77777777" w:rsidR="00A45621" w:rsidRDefault="00000000">
      <w:pPr>
        <w:pStyle w:val="ParentBullet"/>
        <w:numPr>
          <w:ilvl w:val="0"/>
          <w:numId w:val="1"/>
        </w:numPr>
      </w:pPr>
      <w:r>
        <w:rPr>
          <w:b/>
          <w:bCs/>
          <w:color w:val="0B2545"/>
        </w:rPr>
        <w:t>怎样判断一个因素是不是真的有影响：</w:t>
      </w:r>
      <w:r>
        <w:t>先看同一条件下 3 次测量本身有多大波动，再比较改变因素后的平均值差别。如果两组差别和组内波动差不多，甚至更小，就不能认为周期出现了明显变化；只有差别明显大于测量误差，结论才比较可靠。</w:t>
      </w:r>
    </w:p>
    <w:p w14:paraId="751AE423" w14:textId="77777777" w:rsidR="00A45621" w:rsidRDefault="00000000">
      <w:pPr>
        <w:pStyle w:val="ParentBullet"/>
        <w:numPr>
          <w:ilvl w:val="0"/>
          <w:numId w:val="1"/>
        </w:numPr>
      </w:pPr>
      <w:r>
        <w:rPr>
          <w:b/>
          <w:bCs/>
          <w:color w:val="0B2545"/>
        </w:rPr>
        <w:t>实验 1｜改变摆长：</w:t>
      </w:r>
      <w:r>
        <w:t>比较短、中、长三种摆长，其他条件保持不变。</w:t>
      </w:r>
    </w:p>
    <w:p w14:paraId="751AE423" w14:textId="77777777" w:rsidR="00A45621" w:rsidRDefault="00000000">
      <w:pPr>
        <w:pStyle w:val="ParentBullet"/>
        <w:numPr>
          <w:ilvl w:val="0"/>
          <w:numId w:val="1"/>
        </w:numPr>
      </w:pPr>
      <w:r>
        <w:rPr>
          <w:b/>
          <w:bCs/>
          <w:color w:val="0B2545"/>
        </w:rPr>
        <w:t>实验 2｜改变摆锤质量：</w:t>
      </w:r>
      <w:r>
        <w:t>更换轻、中、重三个摆锤，其他条件保持不变。</w:t>
      </w:r>
    </w:p>
    <w:p w14:paraId="751AE423" w14:textId="77777777" w:rsidR="00A45621" w:rsidRDefault="00000000">
      <w:pPr>
        <w:pStyle w:val="ParentBullet"/>
        <w:numPr>
          <w:ilvl w:val="0"/>
          <w:numId w:val="1"/>
        </w:numPr>
      </w:pPr>
      <w:r>
        <w:rPr>
          <w:b/>
          <w:bCs/>
          <w:color w:val="0B2545"/>
        </w:rPr>
        <w:t>实验 3｜改变释放角度：</w:t>
      </w:r>
      <w:r>
        <w:t>比较 10°、25°和 40°三个起始角度，其他条件保持不变。</w:t>
      </w:r>
    </w:p>
    <w:p w14:paraId="751AE423" w14:textId="77777777" w:rsidR="00A45621" w:rsidRDefault="00000000">
      <w:pPr>
        <w:pStyle w:val="ParentBullet"/>
        <w:numPr>
          <w:ilvl w:val="0"/>
          <w:numId w:val="1"/>
        </w:numPr>
      </w:pPr>
      <w:r>
        <w:rPr>
          <w:b/>
          <w:bCs/>
          <w:color w:val="0B2545"/>
        </w:rPr>
        <w:t>实验 4｜改变摆的高度：</w:t>
      </w:r>
      <w:r>
        <w:t>这是她自己提出的变量。我们保持摆长等条件不变，把整个单摆装置调高或调低，再比较周期。</w:t>
      </w:r>
    </w:p>
    <w:p w14:paraId="3A8BFC94" w14:textId="77777777" w:rsidR="00A45621" w:rsidRDefault="00000000">
      <w:pPr>
        <w:pStyle w:val="KnowledgeSummary"/>
      </w:pPr>
      <w:r>
        <w:rPr>
          <w:b/>
          <w:bCs/>
        </w:rPr>
        <w:t>最后的结论：</w:t>
      </w:r>
      <w:r>
        <w:t>四个因素中，摆长对周期的影响最明显，变化幅度远大于同一条件 3 次测量的波动。其他三组的平均值虽然也算出了小差别，但这些差别有的甚至小于组内的测量误差，所以在本次实验范围和测量精度下，不能认为摆锤质量、释放角度或摆的高度让周期发生了显著变化。</w:t>
      </w:r>
    </w:p>
    <w:p w14:paraId="3A8BFC94" w14:textId="77777777" w:rsidR="00A45621" w:rsidRDefault="00000000">
      <w:pPr>
        <w:pStyle w:val="KnowledgeSummary"/>
      </w:pPr>
      <w:r>
        <w:rPr>
          <w:b/>
          <w:bCs/>
        </w:rPr>
        <w:t>核心词汇｜</w:t>
      </w:r>
      <w:r>
        <w:t>单摆 pendulum、周期 period、摆长 pendulum length、摆锤质量 bob mass、释放角度 release angle、装置高度 setup height、变量 variable、平均值 average、测量误差 measurement error。</w:t>
      </w:r>
    </w:p>
    <w:p w14:paraId="27657F13"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。三节科学方法内容在本课集中落实，并在后续四次</w:t>
      </w:r>
      <w:proofErr w:type="gramStart"/>
      <w:r>
        <w:rPr>
          <w:color w:val="0B2545"/>
        </w:rPr>
        <w:t>课持续</w:t>
      </w:r>
      <w:proofErr w:type="gramEnd"/>
      <w:r>
        <w:rPr>
          <w:color w:val="0B2545"/>
        </w:rPr>
        <w:t>使用。</w:t>
      </w:r>
    </w:p>
    <w:p w14:paraId="7BC8D66A" w14:textId="77777777" w:rsidR="00A45621" w:rsidRDefault="00000000">
      <w:pPr>
        <w:pStyle w:val="2"/>
      </w:pPr>
      <w:r>
        <w:lastRenderedPageBreak/>
        <w:t>第</w:t>
      </w:r>
      <w:r>
        <w:t xml:space="preserve"> 2 </w:t>
      </w:r>
      <w:r>
        <w:t>次课｜</w:t>
      </w:r>
      <w:proofErr w:type="gramStart"/>
      <w:r>
        <w:t>盐真的</w:t>
      </w:r>
      <w:proofErr w:type="gramEnd"/>
      <w:r>
        <w:t>消失了吗？</w:t>
      </w:r>
    </w:p>
    <w:p w14:paraId="62D68A88" w14:textId="77777777" w:rsidR="00A45621" w:rsidRDefault="00000000">
      <w:pPr>
        <w:pStyle w:val="LessonQuestion"/>
      </w:pPr>
      <w:r>
        <w:t>核心问题：盐溶进水以后去了哪里，过滤后还能不能把它找回来？</w:t>
      </w:r>
    </w:p>
    <w:p w14:paraId="5B8D5E25" w14:textId="77777777" w:rsidR="00A45621" w:rsidRDefault="00000000">
      <w:pPr>
        <w:pStyle w:val="ParentBullet"/>
        <w:numPr>
          <w:ilvl w:val="0"/>
          <w:numId w:val="1"/>
        </w:numPr>
      </w:pPr>
      <w:r>
        <w:rPr>
          <w:b/>
          <w:bCs/>
          <w:color w:val="0B2545"/>
        </w:rPr>
        <w:t>溶解前后总质量：</w:t>
      </w:r>
      <w:r>
        <w:t>称量水和食盐的总质量，再比较食盐完全溶解后的读数。前后质量在仪器波动范围内接近，说明</w:t>
      </w:r>
      <w:r>
        <w:t>“</w:t>
      </w:r>
      <w:r>
        <w:t>看不见</w:t>
      </w:r>
      <w:r>
        <w:t>”</w:t>
      </w:r>
      <w:r>
        <w:t>不等于</w:t>
      </w:r>
      <w:r>
        <w:t>“</w:t>
      </w:r>
      <w:r>
        <w:t>消失</w:t>
      </w:r>
      <w:r>
        <w:t>”</w:t>
      </w:r>
      <w:r>
        <w:t>，也让学生关注转移残留、溅出和秤的误差。</w:t>
      </w:r>
    </w:p>
    <w:p w14:paraId="59618A01" w14:textId="77777777" w:rsidR="00A45621" w:rsidRDefault="00000000">
      <w:pPr>
        <w:pStyle w:val="ParentBullet"/>
        <w:numPr>
          <w:ilvl w:val="0"/>
          <w:numId w:val="1"/>
        </w:numPr>
      </w:pPr>
      <w:r>
        <w:rPr>
          <w:b/>
          <w:bCs/>
          <w:color w:val="0B2545"/>
        </w:rPr>
        <w:t>盐水与石英砂的过滤对比：</w:t>
      </w:r>
      <w:r>
        <w:t>石英砂会沉降并被滤纸截留，而盐水通过滤纸后仍然清澈。实验说明普通滤纸能截留较大的不溶颗粒，却不能分离已经分散在水中的盐。</w:t>
      </w:r>
    </w:p>
    <w:p w14:paraId="0DF83D08" w14:textId="77777777" w:rsidR="00A45621" w:rsidRDefault="00000000">
      <w:pPr>
        <w:pStyle w:val="ParentBullet"/>
        <w:numPr>
          <w:ilvl w:val="0"/>
          <w:numId w:val="1"/>
        </w:numPr>
      </w:pPr>
      <w:r>
        <w:rPr>
          <w:b/>
          <w:bCs/>
          <w:color w:val="0B2545"/>
        </w:rPr>
        <w:t>蒸发与结晶：</w:t>
      </w:r>
      <w:r>
        <w:t>加热盐水滤液，使水逐渐减少并重新出现白色晶体。晶体证明食盐一直存在于滤液中，也把</w:t>
      </w:r>
      <w:r>
        <w:t>“</w:t>
      </w:r>
      <w:r>
        <w:t>溶解</w:t>
      </w:r>
      <w:r>
        <w:t>—</w:t>
      </w:r>
      <w:r>
        <w:t>分离</w:t>
      </w:r>
      <w:r>
        <w:t>—</w:t>
      </w:r>
      <w:r>
        <w:t>找回物质</w:t>
      </w:r>
      <w:r>
        <w:t>”</w:t>
      </w:r>
      <w:r>
        <w:t>连成完整证据链。</w:t>
      </w:r>
    </w:p>
    <w:p w14:paraId="074A0845" w14:textId="77777777" w:rsidR="00A45621" w:rsidRDefault="00000000">
      <w:pPr>
        <w:pStyle w:val="ParentBullet"/>
        <w:numPr>
          <w:ilvl w:val="0"/>
          <w:numId w:val="1"/>
        </w:numPr>
      </w:pPr>
      <w:r>
        <w:rPr>
          <w:b/>
          <w:bCs/>
          <w:color w:val="0B2545"/>
        </w:rPr>
        <w:t>不同物质溶解时的温度变化：</w:t>
      </w:r>
      <w:r>
        <w:t>在相同水量、固体质量和读数时间下比较食盐、尿素和氯化钙。尿素常使温度降低、氯化钙使温度升高，帮助学生认识吸热与放热溶解，并区分</w:t>
      </w:r>
      <w:r>
        <w:t>“</w:t>
      </w:r>
      <w:r>
        <w:t>没有测出明显变化</w:t>
      </w:r>
      <w:r>
        <w:t>”</w:t>
      </w:r>
      <w:r>
        <w:t>和</w:t>
      </w:r>
      <w:r>
        <w:t>“</w:t>
      </w:r>
      <w:r>
        <w:t>绝对没有能量转移</w:t>
      </w:r>
      <w:r>
        <w:t>”</w:t>
      </w:r>
      <w:r>
        <w:t>。</w:t>
      </w:r>
    </w:p>
    <w:p w14:paraId="3E2BE08F" w14:textId="77777777" w:rsidR="00A45621" w:rsidRDefault="00000000">
      <w:pPr>
        <w:pStyle w:val="KnowledgeSummary"/>
      </w:pPr>
      <w:r>
        <w:rPr>
          <w:b/>
          <w:bCs/>
        </w:rPr>
        <w:t>知识点｜</w:t>
      </w:r>
      <w:r>
        <w:t>溶质（</w:t>
      </w:r>
      <w:r>
        <w:t>solute</w:t>
      </w:r>
      <w:r>
        <w:t>）、溶剂（</w:t>
      </w:r>
      <w:r>
        <w:t>solvent</w:t>
      </w:r>
      <w:r>
        <w:t>）、溶液（</w:t>
      </w:r>
      <w:r>
        <w:t>solution</w:t>
      </w:r>
      <w:r>
        <w:t>）、不溶物、均</w:t>
      </w:r>
      <w:proofErr w:type="gramStart"/>
      <w:r>
        <w:t>一</w:t>
      </w:r>
      <w:proofErr w:type="gramEnd"/>
      <w:r>
        <w:t>混合物、过滤、滤液、蒸发、结晶，以及溶解过程中的能量转移。</w:t>
      </w:r>
    </w:p>
    <w:p w14:paraId="3452AF35"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。核心覆盖溶液</w:t>
      </w:r>
      <w:r>
        <w:rPr>
          <w:color w:val="0B2545"/>
        </w:rPr>
        <w:t>/</w:t>
      </w:r>
      <w:r>
        <w:rPr>
          <w:color w:val="0B2545"/>
        </w:rPr>
        <w:t>混合物、</w:t>
      </w:r>
      <w:r>
        <w:rPr>
          <w:color w:val="0B2545"/>
        </w:rPr>
        <w:t>solute/solvent</w:t>
      </w:r>
      <w:r>
        <w:rPr>
          <w:color w:val="0B2545"/>
        </w:rPr>
        <w:t>、过滤与粒子尺度；实验也为第</w:t>
      </w:r>
      <w:r>
        <w:rPr>
          <w:color w:val="0B2545"/>
        </w:rPr>
        <w:t xml:space="preserve"> 3 </w:t>
      </w:r>
      <w:r>
        <w:rPr>
          <w:color w:val="0B2545"/>
        </w:rPr>
        <w:t>次</w:t>
      </w:r>
      <w:proofErr w:type="gramStart"/>
      <w:r>
        <w:rPr>
          <w:color w:val="0B2545"/>
        </w:rPr>
        <w:t>课判断</w:t>
      </w:r>
      <w:proofErr w:type="gramEnd"/>
      <w:r>
        <w:rPr>
          <w:color w:val="0B2545"/>
        </w:rPr>
        <w:t>物理变化提供了证据。</w:t>
      </w:r>
    </w:p>
    <w:p w14:paraId="63185540" w14:textId="77777777" w:rsidR="00A45621" w:rsidRDefault="00000000">
      <w:pPr>
        <w:pStyle w:val="2"/>
      </w:pPr>
      <w:r>
        <w:t>第</w:t>
      </w:r>
      <w:r>
        <w:t xml:space="preserve"> 3 </w:t>
      </w:r>
      <w:r>
        <w:t>次课｜改变状态，还是变成新物质？</w:t>
      </w:r>
    </w:p>
    <w:p w14:paraId="378B5FA7" w14:textId="77777777" w:rsidR="00A45621" w:rsidRDefault="00000000">
      <w:pPr>
        <w:pStyle w:val="LessonQuestion"/>
      </w:pPr>
      <w:r>
        <w:t>核心问题：出现气泡、变色或温度变化，就一定说明发生了化学变化吗？</w:t>
      </w:r>
    </w:p>
    <w:p w14:paraId="78E1569E" w14:textId="77777777" w:rsidR="00A45621" w:rsidRDefault="00000000">
      <w:pPr>
        <w:pStyle w:val="ParentBullet"/>
        <w:numPr>
          <w:ilvl w:val="0"/>
          <w:numId w:val="1"/>
        </w:numPr>
      </w:pPr>
      <w:r>
        <w:rPr>
          <w:b/>
          <w:bCs/>
          <w:color w:val="0B2545"/>
        </w:rPr>
        <w:t>蜡烛的两种变化：</w:t>
      </w:r>
      <w:r>
        <w:t>观察</w:t>
      </w:r>
      <w:proofErr w:type="gramStart"/>
      <w:r>
        <w:t>蜡</w:t>
      </w:r>
      <w:proofErr w:type="gramEnd"/>
      <w:r>
        <w:t>受热熔化、熄灭后凝固，同时把火焰中的燃烧单独记录。学生由同一支蜡烛看见：相变不产生新物质，而燃烧会形成新物质。</w:t>
      </w:r>
    </w:p>
    <w:p w14:paraId="77C4DA24" w14:textId="77777777" w:rsidR="00A45621" w:rsidRDefault="00000000">
      <w:pPr>
        <w:pStyle w:val="ParentBullet"/>
        <w:numPr>
          <w:ilvl w:val="0"/>
          <w:numId w:val="1"/>
        </w:numPr>
      </w:pPr>
      <w:r>
        <w:rPr>
          <w:b/>
          <w:bCs/>
          <w:color w:val="0B2545"/>
        </w:rPr>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55F182E6"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2D379A15" w14:textId="77777777" w:rsidR="00A45621" w:rsidRDefault="00000000">
      <w:pPr>
        <w:pStyle w:val="ParentBullet"/>
        <w:numPr>
          <w:ilvl w:val="0"/>
          <w:numId w:val="1"/>
        </w:numPr>
      </w:pPr>
      <w:r>
        <w:rPr>
          <w:b/>
          <w:bCs/>
          <w:color w:val="0B2545"/>
        </w:rPr>
        <w:lastRenderedPageBreak/>
        <w:t>澄清溶液形成沉淀：</w:t>
      </w:r>
      <w:r>
        <w:t>把上一实验得到的醋酸钙滤液与小苏打溶液混合，并设置加水对照；实验组出现白色固体。这个现象说明两种看似澄清的溶液也能通过反应形成具有不同性质的新物质。</w:t>
      </w:r>
    </w:p>
    <w:p w14:paraId="491EDA04"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3F9EA2BF"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43D64451" w14:textId="77777777" w:rsidR="00A45621" w:rsidRDefault="00000000">
      <w:pPr>
        <w:pStyle w:val="2"/>
      </w:pPr>
      <w:r>
        <w:t>第</w:t>
      </w:r>
      <w:r>
        <w:t xml:space="preserve"> 4 </w:t>
      </w:r>
      <w:r>
        <w:t>次课｜热能怎样传递？</w:t>
      </w:r>
    </w:p>
    <w:p w14:paraId="0E07A37B" w14:textId="77777777" w:rsidR="00A45621" w:rsidRDefault="00000000">
      <w:pPr>
        <w:pStyle w:val="LessonQuestion"/>
      </w:pPr>
      <w:r>
        <w:t>核心问题：传导、对流和辐射分别怎样把热能从一处带到另一处？</w:t>
      </w:r>
    </w:p>
    <w:p w14:paraId="5617672B"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5ADDD362"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w:t>
      </w:r>
      <w:proofErr w:type="gramStart"/>
      <w:r>
        <w:t>旗显示</w:t>
      </w:r>
      <w:proofErr w:type="gramEnd"/>
      <w:r>
        <w:t>热量何时传到上方。金属</w:t>
      </w:r>
      <w:proofErr w:type="gramStart"/>
      <w:r>
        <w:t>筷</w:t>
      </w:r>
      <w:proofErr w:type="gramEnd"/>
      <w:r>
        <w:t>通常最先使黄油软化，说明能量可以</w:t>
      </w:r>
      <w:proofErr w:type="gramStart"/>
      <w:r>
        <w:t>沿接触</w:t>
      </w:r>
      <w:proofErr w:type="gramEnd"/>
      <w:r>
        <w:t>的固体逐步传递。</w:t>
      </w:r>
    </w:p>
    <w:p w14:paraId="0B032C9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13D39752" w14:textId="77777777" w:rsidR="00A45621" w:rsidRDefault="00000000">
      <w:pPr>
        <w:pStyle w:val="ParentBullet"/>
        <w:numPr>
          <w:ilvl w:val="0"/>
          <w:numId w:val="1"/>
        </w:numPr>
      </w:pPr>
      <w:r>
        <w:rPr>
          <w:b/>
          <w:bCs/>
          <w:color w:val="0B2545"/>
        </w:rPr>
        <w:t>黑白表面的辐射吸收：</w:t>
      </w:r>
      <w:proofErr w:type="gramStart"/>
      <w:r>
        <w:t>让距离</w:t>
      </w:r>
      <w:proofErr w:type="gramEnd"/>
      <w:r>
        <w:t>和角度相同的黑、白两</w:t>
      </w:r>
      <w:proofErr w:type="gramStart"/>
      <w:r>
        <w:t>杯接受</w:t>
      </w:r>
      <w:proofErr w:type="gramEnd"/>
      <w:r>
        <w:t>同一热辐射源，比较两杯水的温升。两杯都能在不接触灯的情况下升温，黑色表面通常温升更大，支持辐射无需接触且不同表面吸收表现不同。</w:t>
      </w:r>
    </w:p>
    <w:p w14:paraId="3760EA2C"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1C047B7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w:t>
      </w:r>
      <w:proofErr w:type="gramStart"/>
      <w:r>
        <w:rPr>
          <w:color w:val="0B2545"/>
        </w:rPr>
        <w:t>课重点</w:t>
      </w:r>
      <w:proofErr w:type="gramEnd"/>
      <w:r>
        <w:rPr>
          <w:color w:val="0B2545"/>
        </w:rPr>
        <w:t>完成三种热传递方式及其证据。</w:t>
      </w:r>
    </w:p>
    <w:p w14:paraId="73016A21" w14:textId="77777777" w:rsidR="00A45621" w:rsidRDefault="00000000">
      <w:pPr>
        <w:pStyle w:val="2"/>
      </w:pPr>
      <w:r>
        <w:t>第</w:t>
      </w:r>
      <w:r>
        <w:t xml:space="preserve"> 5 </w:t>
      </w:r>
      <w:r>
        <w:t>次课｜光遇到物质会发生什么？</w:t>
      </w:r>
    </w:p>
    <w:p w14:paraId="18517564" w14:textId="77777777" w:rsidR="00A45621" w:rsidRDefault="00000000">
      <w:pPr>
        <w:pStyle w:val="LessonQuestion"/>
      </w:pPr>
      <w:r>
        <w:t>核心问题：白光里有什么，光遇到不同物质后颜色和传播方向怎样改变？</w:t>
      </w:r>
    </w:p>
    <w:p w14:paraId="08114B7B" w14:textId="77777777" w:rsidR="00A45621" w:rsidRDefault="00000000">
      <w:pPr>
        <w:pStyle w:val="ParentBullet"/>
        <w:numPr>
          <w:ilvl w:val="0"/>
          <w:numId w:val="1"/>
        </w:numPr>
      </w:pPr>
      <w:r>
        <w:rPr>
          <w:b/>
          <w:bCs/>
          <w:color w:val="0B2545"/>
        </w:rPr>
        <w:t>三棱镜展开白光：</w:t>
      </w:r>
      <w:proofErr w:type="gramStart"/>
      <w:r>
        <w:t>让窄白光</w:t>
      </w:r>
      <w:proofErr w:type="gramEnd"/>
      <w:r>
        <w:t>通过三棱镜，在白纸上形成从红到紫的可见光谱。学生用</w:t>
      </w:r>
      <w:r>
        <w:t>“</w:t>
      </w:r>
      <w:r>
        <w:t>不同波长在玻璃中偏折程度不同</w:t>
      </w:r>
      <w:r>
        <w:t>”</w:t>
      </w:r>
      <w:r>
        <w:t>解释色散，并把可见光放回电磁波谱中。</w:t>
      </w:r>
    </w:p>
    <w:p w14:paraId="1A897278" w14:textId="77777777" w:rsidR="00A45621" w:rsidRDefault="00000000">
      <w:pPr>
        <w:pStyle w:val="ParentBullet"/>
        <w:numPr>
          <w:ilvl w:val="0"/>
          <w:numId w:val="1"/>
        </w:numPr>
      </w:pPr>
      <w:r>
        <w:rPr>
          <w:b/>
          <w:bCs/>
          <w:color w:val="0B2545"/>
        </w:rPr>
        <w:lastRenderedPageBreak/>
        <w:t>彩色照明改变物体颜色：</w:t>
      </w:r>
      <w:r>
        <w:t>在白光、红光、绿光和蓝光下比较红、绿、蓝、白、黑纸片的颜色与亮度。实验说明物体的所见颜色取决于光源提供了哪些波长，以及材料选择性反射、透射或吸收了哪些光。</w:t>
      </w:r>
    </w:p>
    <w:p w14:paraId="25F935B2"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648DA7CE" w14:textId="77777777" w:rsidR="00A45621" w:rsidRDefault="00000000">
      <w:pPr>
        <w:pStyle w:val="ParentBullet"/>
        <w:numPr>
          <w:ilvl w:val="0"/>
          <w:numId w:val="1"/>
        </w:numPr>
      </w:pPr>
      <w:r>
        <w:rPr>
          <w:b/>
          <w:bCs/>
          <w:color w:val="0B2545"/>
        </w:rPr>
        <w:t>折射与水流全反射：</w:t>
      </w:r>
      <w:r>
        <w:t>先观察激光从空气斜射入水后向法线偏折，</w:t>
      </w:r>
      <w:proofErr w:type="gramStart"/>
      <w:r>
        <w:t>再让光沿弯曲</w:t>
      </w:r>
      <w:proofErr w:type="gramEnd"/>
      <w:r>
        <w:t>水流传播。两段现象分别对应折射和全反射，也让学生理解光纤导光的基本原理。</w:t>
      </w:r>
    </w:p>
    <w:p w14:paraId="296B883E"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1D567669"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1909635A" w14:textId="77777777" w:rsidR="00A45621" w:rsidRDefault="00000000">
      <w:r>
        <w:br w:type="page"/>
      </w:r>
    </w:p>
    <w:p w14:paraId="183538EF" w14:textId="77777777" w:rsidR="00A45621" w:rsidRDefault="00000000">
      <w:pPr>
        <w:pStyle w:val="1"/>
      </w:pPr>
      <w:r>
        <w:lastRenderedPageBreak/>
        <w:t>与</w:t>
      </w:r>
      <w:r>
        <w:t xml:space="preserve"> School </w:t>
      </w:r>
      <w:r>
        <w:t>课程的对应总表</w:t>
      </w:r>
    </w:p>
    <w:p w14:paraId="4CD5D601"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14E98027" w14:textId="77777777">
        <w:trPr>
          <w:cantSplit/>
          <w:tblHeader/>
        </w:trPr>
        <w:tc>
          <w:tcPr>
            <w:tcW w:w="1300" w:type="dxa"/>
            <w:shd w:val="clear" w:color="auto" w:fill="F2F4F7"/>
            <w:vAlign w:val="center"/>
          </w:tcPr>
          <w:p w14:paraId="427FD282" w14:textId="77777777" w:rsidR="00A45621" w:rsidRDefault="00000000">
            <w:pPr>
              <w:pStyle w:val="TableText"/>
              <w:jc w:val="center"/>
            </w:pPr>
            <w:r>
              <w:rPr>
                <w:b/>
                <w:bCs/>
                <w:color w:val="0B2545"/>
              </w:rPr>
              <w:t>School Unit</w:t>
            </w:r>
          </w:p>
        </w:tc>
        <w:tc>
          <w:tcPr>
            <w:tcW w:w="4200" w:type="dxa"/>
            <w:shd w:val="clear" w:color="auto" w:fill="F2F4F7"/>
            <w:vAlign w:val="center"/>
          </w:tcPr>
          <w:p w14:paraId="3CBB9F84"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04E36013" w14:textId="77777777" w:rsidR="00A45621" w:rsidRDefault="00000000">
            <w:pPr>
              <w:pStyle w:val="TableText"/>
              <w:jc w:val="center"/>
            </w:pPr>
            <w:r>
              <w:rPr>
                <w:b/>
                <w:bCs/>
                <w:color w:val="0B2545"/>
              </w:rPr>
              <w:t>本课程</w:t>
            </w:r>
          </w:p>
        </w:tc>
        <w:tc>
          <w:tcPr>
            <w:tcW w:w="2760" w:type="dxa"/>
            <w:shd w:val="clear" w:color="auto" w:fill="F2F4F7"/>
            <w:vAlign w:val="center"/>
          </w:tcPr>
          <w:p w14:paraId="21E97991" w14:textId="77777777" w:rsidR="00A45621" w:rsidRDefault="00000000">
            <w:pPr>
              <w:pStyle w:val="TableText"/>
              <w:jc w:val="center"/>
            </w:pPr>
            <w:r>
              <w:rPr>
                <w:b/>
                <w:bCs/>
                <w:color w:val="0B2545"/>
              </w:rPr>
              <w:t>覆盖说明</w:t>
            </w:r>
          </w:p>
        </w:tc>
      </w:tr>
      <w:tr w:rsidR="00A45621" w14:paraId="5C569467" w14:textId="77777777">
        <w:trPr>
          <w:cantSplit/>
        </w:trPr>
        <w:tc>
          <w:tcPr>
            <w:tcW w:w="1300" w:type="dxa"/>
            <w:shd w:val="clear" w:color="auto" w:fill="EEF4FA"/>
            <w:vAlign w:val="center"/>
          </w:tcPr>
          <w:p w14:paraId="5CE60ECA" w14:textId="77777777" w:rsidR="00A45621" w:rsidRDefault="00000000">
            <w:pPr>
              <w:pStyle w:val="TableText"/>
              <w:jc w:val="center"/>
            </w:pPr>
            <w:r>
              <w:rPr>
                <w:b/>
                <w:bCs/>
                <w:color w:val="0B2545"/>
              </w:rPr>
              <w:t>Unit 1</w:t>
            </w:r>
          </w:p>
        </w:tc>
        <w:tc>
          <w:tcPr>
            <w:tcW w:w="4200" w:type="dxa"/>
            <w:vAlign w:val="center"/>
          </w:tcPr>
          <w:p w14:paraId="00D24530" w14:textId="77777777" w:rsidR="00A45621" w:rsidRDefault="00000000">
            <w:pPr>
              <w:pStyle w:val="TableText"/>
            </w:pPr>
            <w:r>
              <w:t>Notes 01 · Observation and Inference</w:t>
            </w:r>
          </w:p>
        </w:tc>
        <w:tc>
          <w:tcPr>
            <w:tcW w:w="1100" w:type="dxa"/>
            <w:vAlign w:val="center"/>
          </w:tcPr>
          <w:p w14:paraId="1DB4E1D6" w14:textId="77777777" w:rsidR="00A45621" w:rsidRDefault="00000000">
            <w:pPr>
              <w:pStyle w:val="TableText"/>
              <w:jc w:val="center"/>
            </w:pPr>
            <w:r>
              <w:t>第</w:t>
            </w:r>
            <w:r>
              <w:t xml:space="preserve"> 1 </w:t>
            </w:r>
            <w:r>
              <w:t>次课</w:t>
            </w:r>
          </w:p>
        </w:tc>
        <w:tc>
          <w:tcPr>
            <w:tcW w:w="2760" w:type="dxa"/>
            <w:vAlign w:val="center"/>
          </w:tcPr>
          <w:p w14:paraId="3F488657" w14:textId="77777777" w:rsidR="00A45621" w:rsidRDefault="00000000">
            <w:pPr>
              <w:pStyle w:val="TableText"/>
            </w:pPr>
            <w:r>
              <w:t>核心覆盖；后续实验持续使用</w:t>
            </w:r>
          </w:p>
        </w:tc>
      </w:tr>
      <w:tr w:rsidR="00A45621" w14:paraId="6A9D3737" w14:textId="77777777">
        <w:trPr>
          <w:cantSplit/>
        </w:trPr>
        <w:tc>
          <w:tcPr>
            <w:tcW w:w="1300" w:type="dxa"/>
            <w:shd w:val="clear" w:color="auto" w:fill="EEF4FA"/>
            <w:vAlign w:val="center"/>
          </w:tcPr>
          <w:p w14:paraId="00881F05" w14:textId="77777777" w:rsidR="00A45621" w:rsidRDefault="00000000">
            <w:pPr>
              <w:pStyle w:val="TableText"/>
              <w:jc w:val="center"/>
            </w:pPr>
            <w:r>
              <w:rPr>
                <w:b/>
                <w:bCs/>
                <w:color w:val="0B2545"/>
              </w:rPr>
              <w:t>Unit 1</w:t>
            </w:r>
          </w:p>
        </w:tc>
        <w:tc>
          <w:tcPr>
            <w:tcW w:w="4200" w:type="dxa"/>
            <w:vAlign w:val="center"/>
          </w:tcPr>
          <w:p w14:paraId="011AB001" w14:textId="77777777" w:rsidR="00A45621" w:rsidRDefault="00000000">
            <w:pPr>
              <w:pStyle w:val="TableText"/>
            </w:pPr>
            <w:r>
              <w:t>Notes 02 · Quantitative and Qualitative Data</w:t>
            </w:r>
          </w:p>
        </w:tc>
        <w:tc>
          <w:tcPr>
            <w:tcW w:w="1100" w:type="dxa"/>
            <w:vAlign w:val="center"/>
          </w:tcPr>
          <w:p w14:paraId="77DEB7C8" w14:textId="77777777" w:rsidR="00A45621" w:rsidRDefault="00000000">
            <w:pPr>
              <w:pStyle w:val="TableText"/>
              <w:jc w:val="center"/>
            </w:pPr>
            <w:r>
              <w:t>第</w:t>
            </w:r>
            <w:r>
              <w:t xml:space="preserve"> 1 </w:t>
            </w:r>
            <w:r>
              <w:t>次课</w:t>
            </w:r>
          </w:p>
        </w:tc>
        <w:tc>
          <w:tcPr>
            <w:tcW w:w="2760" w:type="dxa"/>
            <w:vAlign w:val="center"/>
          </w:tcPr>
          <w:p w14:paraId="363D5972" w14:textId="77777777" w:rsidR="00A45621" w:rsidRDefault="00000000">
            <w:pPr>
              <w:pStyle w:val="TableText"/>
            </w:pPr>
            <w:r>
              <w:t>核心覆盖；定性观察与定量测量</w:t>
            </w:r>
          </w:p>
        </w:tc>
      </w:tr>
      <w:tr w:rsidR="00A45621" w14:paraId="3EC06776" w14:textId="77777777">
        <w:trPr>
          <w:cantSplit/>
        </w:trPr>
        <w:tc>
          <w:tcPr>
            <w:tcW w:w="1300" w:type="dxa"/>
            <w:shd w:val="clear" w:color="auto" w:fill="EEF4FA"/>
            <w:vAlign w:val="center"/>
          </w:tcPr>
          <w:p w14:paraId="2C5C19CA" w14:textId="77777777" w:rsidR="00A45621" w:rsidRDefault="00000000">
            <w:pPr>
              <w:pStyle w:val="TableText"/>
              <w:jc w:val="center"/>
            </w:pPr>
            <w:r>
              <w:rPr>
                <w:b/>
                <w:bCs/>
                <w:color w:val="0B2545"/>
              </w:rPr>
              <w:t>Unit 1</w:t>
            </w:r>
          </w:p>
        </w:tc>
        <w:tc>
          <w:tcPr>
            <w:tcW w:w="4200" w:type="dxa"/>
            <w:vAlign w:val="center"/>
          </w:tcPr>
          <w:p w14:paraId="645627EF" w14:textId="77777777" w:rsidR="00A45621" w:rsidRDefault="00000000">
            <w:pPr>
              <w:pStyle w:val="TableText"/>
            </w:pPr>
            <w:r>
              <w:t>Notes 03 · Testable Questions</w:t>
            </w:r>
          </w:p>
        </w:tc>
        <w:tc>
          <w:tcPr>
            <w:tcW w:w="1100" w:type="dxa"/>
            <w:vAlign w:val="center"/>
          </w:tcPr>
          <w:p w14:paraId="5846D596" w14:textId="77777777" w:rsidR="00A45621" w:rsidRDefault="00000000">
            <w:pPr>
              <w:pStyle w:val="TableText"/>
              <w:jc w:val="center"/>
            </w:pPr>
            <w:r>
              <w:t>第</w:t>
            </w:r>
            <w:r>
              <w:t xml:space="preserve"> 1 </w:t>
            </w:r>
            <w:r>
              <w:t>次课</w:t>
            </w:r>
          </w:p>
        </w:tc>
        <w:tc>
          <w:tcPr>
            <w:tcW w:w="2760" w:type="dxa"/>
            <w:vAlign w:val="center"/>
          </w:tcPr>
          <w:p w14:paraId="307CCC8F" w14:textId="77777777" w:rsidR="00A45621" w:rsidRDefault="00000000">
            <w:pPr>
              <w:pStyle w:val="TableText"/>
            </w:pPr>
            <w:r>
              <w:t>核心覆盖；变量与公平实验</w:t>
            </w:r>
          </w:p>
        </w:tc>
      </w:tr>
      <w:tr w:rsidR="00A45621" w14:paraId="142C5136" w14:textId="77777777">
        <w:trPr>
          <w:cantSplit/>
        </w:trPr>
        <w:tc>
          <w:tcPr>
            <w:tcW w:w="1300" w:type="dxa"/>
            <w:shd w:val="clear" w:color="auto" w:fill="F6F2E8"/>
            <w:vAlign w:val="center"/>
          </w:tcPr>
          <w:p w14:paraId="764DE7B7" w14:textId="77777777" w:rsidR="00A45621" w:rsidRDefault="00000000">
            <w:pPr>
              <w:pStyle w:val="TableText"/>
              <w:jc w:val="center"/>
            </w:pPr>
            <w:r>
              <w:rPr>
                <w:b/>
                <w:bCs/>
                <w:color w:val="0B2545"/>
              </w:rPr>
              <w:t>Unit 2</w:t>
            </w:r>
          </w:p>
        </w:tc>
        <w:tc>
          <w:tcPr>
            <w:tcW w:w="4200" w:type="dxa"/>
            <w:vAlign w:val="center"/>
          </w:tcPr>
          <w:p w14:paraId="25BF4D1F" w14:textId="77777777" w:rsidR="00A45621" w:rsidRDefault="00000000">
            <w:pPr>
              <w:pStyle w:val="TableText"/>
            </w:pPr>
            <w:r>
              <w:t>Notes 01 · Phases of Matter</w:t>
            </w:r>
          </w:p>
        </w:tc>
        <w:tc>
          <w:tcPr>
            <w:tcW w:w="1100" w:type="dxa"/>
            <w:vAlign w:val="center"/>
          </w:tcPr>
          <w:p w14:paraId="36FE58A2" w14:textId="77777777" w:rsidR="00A45621" w:rsidRDefault="00000000">
            <w:pPr>
              <w:pStyle w:val="TableText"/>
              <w:jc w:val="center"/>
            </w:pPr>
            <w:r>
              <w:t>第</w:t>
            </w:r>
            <w:r>
              <w:t xml:space="preserve"> 3 </w:t>
            </w:r>
            <w:r>
              <w:t>次课</w:t>
            </w:r>
          </w:p>
        </w:tc>
        <w:tc>
          <w:tcPr>
            <w:tcW w:w="2760" w:type="dxa"/>
            <w:vAlign w:val="center"/>
          </w:tcPr>
          <w:p w14:paraId="569B056F" w14:textId="77777777" w:rsidR="00A45621" w:rsidRDefault="00000000">
            <w:pPr>
              <w:pStyle w:val="TableText"/>
            </w:pPr>
            <w:r>
              <w:t>核心覆盖；三态、相变及变化判断</w:t>
            </w:r>
          </w:p>
        </w:tc>
      </w:tr>
      <w:tr w:rsidR="00A45621" w14:paraId="789A7628" w14:textId="77777777">
        <w:trPr>
          <w:cantSplit/>
        </w:trPr>
        <w:tc>
          <w:tcPr>
            <w:tcW w:w="1300" w:type="dxa"/>
            <w:shd w:val="clear" w:color="auto" w:fill="F6F2E8"/>
            <w:vAlign w:val="center"/>
          </w:tcPr>
          <w:p w14:paraId="03344EF3" w14:textId="77777777" w:rsidR="00A45621" w:rsidRDefault="00000000">
            <w:pPr>
              <w:pStyle w:val="TableText"/>
              <w:jc w:val="center"/>
            </w:pPr>
            <w:r>
              <w:rPr>
                <w:b/>
                <w:bCs/>
                <w:color w:val="0B2545"/>
              </w:rPr>
              <w:t>Unit 2</w:t>
            </w:r>
          </w:p>
        </w:tc>
        <w:tc>
          <w:tcPr>
            <w:tcW w:w="4200" w:type="dxa"/>
            <w:vAlign w:val="center"/>
          </w:tcPr>
          <w:p w14:paraId="08C57AF3" w14:textId="77777777" w:rsidR="00A45621" w:rsidRDefault="00000000">
            <w:pPr>
              <w:pStyle w:val="TableText"/>
            </w:pPr>
            <w:r>
              <w:t>Notes 02 · Mixtures and Solutions</w:t>
            </w:r>
          </w:p>
        </w:tc>
        <w:tc>
          <w:tcPr>
            <w:tcW w:w="1100" w:type="dxa"/>
            <w:vAlign w:val="center"/>
          </w:tcPr>
          <w:p w14:paraId="1B0A7860" w14:textId="77777777" w:rsidR="00A45621" w:rsidRDefault="00000000">
            <w:pPr>
              <w:pStyle w:val="TableText"/>
              <w:jc w:val="center"/>
            </w:pPr>
            <w:r>
              <w:t>第</w:t>
            </w:r>
            <w:r>
              <w:t xml:space="preserve"> 2 </w:t>
            </w:r>
            <w:r>
              <w:t>次课</w:t>
            </w:r>
          </w:p>
        </w:tc>
        <w:tc>
          <w:tcPr>
            <w:tcW w:w="2760" w:type="dxa"/>
            <w:vAlign w:val="center"/>
          </w:tcPr>
          <w:p w14:paraId="7BB8B8E7" w14:textId="77777777" w:rsidR="00A45621" w:rsidRDefault="00000000">
            <w:pPr>
              <w:pStyle w:val="TableText"/>
            </w:pPr>
            <w:r>
              <w:t>核心覆盖；第</w:t>
            </w:r>
            <w:r>
              <w:t xml:space="preserve"> 3 </w:t>
            </w:r>
            <w:r>
              <w:t>次课回看证据</w:t>
            </w:r>
          </w:p>
        </w:tc>
      </w:tr>
      <w:tr w:rsidR="00A45621" w14:paraId="45FBF10B" w14:textId="77777777">
        <w:trPr>
          <w:cantSplit/>
        </w:trPr>
        <w:tc>
          <w:tcPr>
            <w:tcW w:w="1300" w:type="dxa"/>
            <w:shd w:val="clear" w:color="auto" w:fill="F6F2E8"/>
            <w:vAlign w:val="center"/>
          </w:tcPr>
          <w:p w14:paraId="58B3C4E8" w14:textId="77777777" w:rsidR="00A45621" w:rsidRDefault="00000000">
            <w:pPr>
              <w:pStyle w:val="TableText"/>
              <w:jc w:val="center"/>
            </w:pPr>
            <w:r>
              <w:rPr>
                <w:b/>
                <w:bCs/>
                <w:color w:val="0B2545"/>
              </w:rPr>
              <w:t>Unit 2</w:t>
            </w:r>
          </w:p>
        </w:tc>
        <w:tc>
          <w:tcPr>
            <w:tcW w:w="4200" w:type="dxa"/>
            <w:vAlign w:val="center"/>
          </w:tcPr>
          <w:p w14:paraId="0395D32C" w14:textId="77777777" w:rsidR="00A45621" w:rsidRDefault="00000000">
            <w:pPr>
              <w:pStyle w:val="TableText"/>
            </w:pPr>
            <w:r>
              <w:t>Notes 03 · Atoms and Period Square</w:t>
            </w:r>
          </w:p>
        </w:tc>
        <w:tc>
          <w:tcPr>
            <w:tcW w:w="1100" w:type="dxa"/>
            <w:vAlign w:val="center"/>
          </w:tcPr>
          <w:p w14:paraId="25D2FF20" w14:textId="77777777" w:rsidR="00A45621" w:rsidRDefault="00000000">
            <w:pPr>
              <w:pStyle w:val="TableText"/>
              <w:jc w:val="center"/>
            </w:pPr>
            <w:r>
              <w:t>第</w:t>
            </w:r>
            <w:r>
              <w:t xml:space="preserve"> 3 </w:t>
            </w:r>
            <w:r>
              <w:t>次课</w:t>
            </w:r>
          </w:p>
        </w:tc>
        <w:tc>
          <w:tcPr>
            <w:tcW w:w="2760" w:type="dxa"/>
            <w:vAlign w:val="center"/>
          </w:tcPr>
          <w:p w14:paraId="2A9234AF" w14:textId="77777777" w:rsidR="00A45621" w:rsidRDefault="00000000">
            <w:pPr>
              <w:pStyle w:val="TableText"/>
            </w:pPr>
            <w:r>
              <w:t>基础衔接；原子、元素与原子重组</w:t>
            </w:r>
          </w:p>
        </w:tc>
      </w:tr>
      <w:tr w:rsidR="00A45621" w14:paraId="3B69A317" w14:textId="77777777">
        <w:trPr>
          <w:cantSplit/>
        </w:trPr>
        <w:tc>
          <w:tcPr>
            <w:tcW w:w="1300" w:type="dxa"/>
            <w:shd w:val="clear" w:color="auto" w:fill="EEF5F0"/>
            <w:vAlign w:val="center"/>
          </w:tcPr>
          <w:p w14:paraId="6D5B1A2B" w14:textId="77777777" w:rsidR="00A45621" w:rsidRDefault="00000000">
            <w:pPr>
              <w:pStyle w:val="TableText"/>
              <w:jc w:val="center"/>
            </w:pPr>
            <w:r>
              <w:rPr>
                <w:b/>
                <w:bCs/>
                <w:color w:val="0B2545"/>
              </w:rPr>
              <w:t>Unit 3</w:t>
            </w:r>
          </w:p>
        </w:tc>
        <w:tc>
          <w:tcPr>
            <w:tcW w:w="4200" w:type="dxa"/>
            <w:vAlign w:val="center"/>
          </w:tcPr>
          <w:p w14:paraId="5B07E865" w14:textId="77777777" w:rsidR="00A45621" w:rsidRDefault="00000000">
            <w:pPr>
              <w:pStyle w:val="TableText"/>
            </w:pPr>
            <w:r>
              <w:t>Notes 01 · Energy Forms and Transfers</w:t>
            </w:r>
          </w:p>
        </w:tc>
        <w:tc>
          <w:tcPr>
            <w:tcW w:w="1100" w:type="dxa"/>
            <w:vAlign w:val="center"/>
          </w:tcPr>
          <w:p w14:paraId="596B3F6F" w14:textId="77777777" w:rsidR="00A45621" w:rsidRDefault="00000000">
            <w:pPr>
              <w:pStyle w:val="TableText"/>
              <w:jc w:val="center"/>
            </w:pPr>
            <w:r>
              <w:t>第</w:t>
            </w:r>
            <w:r>
              <w:t xml:space="preserve"> 4 </w:t>
            </w:r>
            <w:r>
              <w:t>次课</w:t>
            </w:r>
          </w:p>
        </w:tc>
        <w:tc>
          <w:tcPr>
            <w:tcW w:w="2760" w:type="dxa"/>
            <w:vAlign w:val="center"/>
          </w:tcPr>
          <w:p w14:paraId="026D6FE0" w14:textId="77777777" w:rsidR="00A45621" w:rsidRDefault="00000000">
            <w:pPr>
              <w:pStyle w:val="TableText"/>
            </w:pPr>
            <w:r>
              <w:t>入门覆盖；能量转移与转化</w:t>
            </w:r>
          </w:p>
        </w:tc>
      </w:tr>
      <w:tr w:rsidR="00A45621" w14:paraId="5A3D040A" w14:textId="77777777">
        <w:trPr>
          <w:cantSplit/>
        </w:trPr>
        <w:tc>
          <w:tcPr>
            <w:tcW w:w="1300" w:type="dxa"/>
            <w:shd w:val="clear" w:color="auto" w:fill="EEF5F0"/>
            <w:vAlign w:val="center"/>
          </w:tcPr>
          <w:p w14:paraId="5EA28478" w14:textId="77777777" w:rsidR="00A45621" w:rsidRDefault="00000000">
            <w:pPr>
              <w:pStyle w:val="TableText"/>
              <w:jc w:val="center"/>
            </w:pPr>
            <w:r>
              <w:rPr>
                <w:b/>
                <w:bCs/>
                <w:color w:val="0B2545"/>
              </w:rPr>
              <w:t>Unit 3</w:t>
            </w:r>
          </w:p>
        </w:tc>
        <w:tc>
          <w:tcPr>
            <w:tcW w:w="4200" w:type="dxa"/>
            <w:vAlign w:val="center"/>
          </w:tcPr>
          <w:p w14:paraId="1BC0DBA5" w14:textId="77777777" w:rsidR="00A45621" w:rsidRDefault="00000000">
            <w:pPr>
              <w:pStyle w:val="TableText"/>
            </w:pPr>
            <w:r>
              <w:t>Notes 02 · Thermal Energy Transfer</w:t>
            </w:r>
          </w:p>
        </w:tc>
        <w:tc>
          <w:tcPr>
            <w:tcW w:w="1100" w:type="dxa"/>
            <w:vAlign w:val="center"/>
          </w:tcPr>
          <w:p w14:paraId="50B6F992" w14:textId="77777777" w:rsidR="00A45621" w:rsidRDefault="00000000">
            <w:pPr>
              <w:pStyle w:val="TableText"/>
              <w:jc w:val="center"/>
            </w:pPr>
            <w:r>
              <w:t>第</w:t>
            </w:r>
            <w:r>
              <w:t xml:space="preserve"> 4 </w:t>
            </w:r>
            <w:r>
              <w:t>次课</w:t>
            </w:r>
          </w:p>
        </w:tc>
        <w:tc>
          <w:tcPr>
            <w:tcW w:w="2760" w:type="dxa"/>
            <w:vAlign w:val="center"/>
          </w:tcPr>
          <w:p w14:paraId="16912B76" w14:textId="77777777" w:rsidR="00A45621" w:rsidRDefault="00000000">
            <w:pPr>
              <w:pStyle w:val="TableText"/>
            </w:pPr>
            <w:r>
              <w:t>核心覆盖；传导、对流、辐射</w:t>
            </w:r>
          </w:p>
        </w:tc>
      </w:tr>
      <w:tr w:rsidR="00A45621" w14:paraId="134D85F2" w14:textId="77777777">
        <w:trPr>
          <w:cantSplit/>
        </w:trPr>
        <w:tc>
          <w:tcPr>
            <w:tcW w:w="1300" w:type="dxa"/>
            <w:shd w:val="clear" w:color="auto" w:fill="EEF5F0"/>
            <w:vAlign w:val="center"/>
          </w:tcPr>
          <w:p w14:paraId="71D0D9FB" w14:textId="77777777" w:rsidR="00A45621" w:rsidRDefault="00000000">
            <w:pPr>
              <w:pStyle w:val="TableText"/>
              <w:jc w:val="center"/>
            </w:pPr>
            <w:r>
              <w:rPr>
                <w:b/>
                <w:bCs/>
                <w:color w:val="0B2545"/>
              </w:rPr>
              <w:t>Unit 3</w:t>
            </w:r>
          </w:p>
        </w:tc>
        <w:tc>
          <w:tcPr>
            <w:tcW w:w="4200" w:type="dxa"/>
            <w:vAlign w:val="center"/>
          </w:tcPr>
          <w:p w14:paraId="74477707" w14:textId="77777777" w:rsidR="00A45621" w:rsidRDefault="00000000">
            <w:pPr>
              <w:pStyle w:val="TableText"/>
            </w:pPr>
            <w:r>
              <w:t>Notes 03 · Electromagnetic Spectrum</w:t>
            </w:r>
          </w:p>
        </w:tc>
        <w:tc>
          <w:tcPr>
            <w:tcW w:w="1100" w:type="dxa"/>
            <w:vAlign w:val="center"/>
          </w:tcPr>
          <w:p w14:paraId="74AE49B1" w14:textId="77777777" w:rsidR="00A45621" w:rsidRDefault="00000000">
            <w:pPr>
              <w:pStyle w:val="TableText"/>
              <w:jc w:val="center"/>
            </w:pPr>
            <w:r>
              <w:t>第</w:t>
            </w:r>
            <w:r>
              <w:t xml:space="preserve"> 5 </w:t>
            </w:r>
            <w:r>
              <w:t>次课</w:t>
            </w:r>
          </w:p>
        </w:tc>
        <w:tc>
          <w:tcPr>
            <w:tcW w:w="2760" w:type="dxa"/>
            <w:vAlign w:val="center"/>
          </w:tcPr>
          <w:p w14:paraId="5D4DF8C5" w14:textId="77777777" w:rsidR="00A45621" w:rsidRDefault="00000000">
            <w:pPr>
              <w:pStyle w:val="TableText"/>
            </w:pPr>
            <w:r>
              <w:t>聚焦可见光及光与物质作用</w:t>
            </w:r>
          </w:p>
        </w:tc>
      </w:tr>
      <w:tr w:rsidR="00A45621" w14:paraId="0DF29424" w14:textId="77777777">
        <w:trPr>
          <w:cantSplit/>
        </w:trPr>
        <w:tc>
          <w:tcPr>
            <w:tcW w:w="1300" w:type="dxa"/>
            <w:shd w:val="clear" w:color="auto" w:fill="EEF5F0"/>
            <w:vAlign w:val="center"/>
          </w:tcPr>
          <w:p w14:paraId="2018495E" w14:textId="77777777" w:rsidR="00A45621" w:rsidRDefault="00000000">
            <w:pPr>
              <w:pStyle w:val="TableText"/>
              <w:jc w:val="center"/>
            </w:pPr>
            <w:r>
              <w:rPr>
                <w:b/>
                <w:bCs/>
                <w:color w:val="0B2545"/>
              </w:rPr>
              <w:t>Unit 3</w:t>
            </w:r>
          </w:p>
        </w:tc>
        <w:tc>
          <w:tcPr>
            <w:tcW w:w="4200" w:type="dxa"/>
            <w:vAlign w:val="center"/>
          </w:tcPr>
          <w:p w14:paraId="5EC35451" w14:textId="77777777" w:rsidR="00A45621" w:rsidRDefault="00000000">
            <w:pPr>
              <w:pStyle w:val="TableText"/>
            </w:pPr>
            <w:r>
              <w:t>Homework 02 · Light Energy Book</w:t>
            </w:r>
          </w:p>
        </w:tc>
        <w:tc>
          <w:tcPr>
            <w:tcW w:w="1100" w:type="dxa"/>
            <w:vAlign w:val="center"/>
          </w:tcPr>
          <w:p w14:paraId="068697F9" w14:textId="77777777" w:rsidR="00A45621" w:rsidRDefault="00000000">
            <w:pPr>
              <w:pStyle w:val="TableText"/>
              <w:jc w:val="center"/>
            </w:pPr>
            <w:r>
              <w:t>第</w:t>
            </w:r>
            <w:r>
              <w:t xml:space="preserve"> 5 </w:t>
            </w:r>
            <w:r>
              <w:t>次课</w:t>
            </w:r>
          </w:p>
        </w:tc>
        <w:tc>
          <w:tcPr>
            <w:tcW w:w="2760" w:type="dxa"/>
            <w:vAlign w:val="center"/>
          </w:tcPr>
          <w:p w14:paraId="7480D830" w14:textId="77777777" w:rsidR="00A45621" w:rsidRDefault="00000000">
            <w:pPr>
              <w:pStyle w:val="TableText"/>
            </w:pPr>
            <w:r>
              <w:t>用四组实验完成应用与解释</w:t>
            </w:r>
          </w:p>
        </w:tc>
      </w:tr>
    </w:tbl>
    <w:p w14:paraId="2E29CF5E" w14:textId="77777777" w:rsidR="00A45621" w:rsidRDefault="00000000">
      <w:pPr>
        <w:pStyle w:val="2"/>
      </w:pPr>
      <w:r>
        <w:t>覆盖范围说明</w:t>
      </w:r>
    </w:p>
    <w:p w14:paraId="15051C06"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w:t>
      </w:r>
      <w:proofErr w:type="gramStart"/>
      <w:r>
        <w:t>贯穿第</w:t>
      </w:r>
      <w:proofErr w:type="gramEnd"/>
      <w:r>
        <w:t xml:space="preserve"> 2–5 </w:t>
      </w:r>
      <w:r>
        <w:t>次课。</w:t>
      </w:r>
    </w:p>
    <w:p w14:paraId="0010C19D"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1DE056B0"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426A6FB0" w14:textId="77777777" w:rsidR="00A45621" w:rsidRDefault="00000000">
      <w:pPr>
        <w:pStyle w:val="ParentBullet"/>
        <w:numPr>
          <w:ilvl w:val="0"/>
          <w:numId w:val="1"/>
        </w:numPr>
      </w:pPr>
      <w:r>
        <w:rPr>
          <w:b/>
          <w:bCs/>
          <w:color w:val="0B2545"/>
        </w:rPr>
        <w:t>Unit 4–5</w:t>
      </w:r>
      <w:r>
        <w:rPr>
          <w:b/>
          <w:bCs/>
          <w:color w:val="0B2545"/>
        </w:rPr>
        <w:t>：</w:t>
      </w:r>
      <w:r>
        <w:t>生命科学与空间科学</w:t>
      </w:r>
      <w:proofErr w:type="gramStart"/>
      <w:r>
        <w:t>不在第</w:t>
      </w:r>
      <w:proofErr w:type="gramEnd"/>
      <w:r>
        <w:t xml:space="preserve"> 1–5 </w:t>
      </w:r>
      <w:r>
        <w:t>次</w:t>
      </w:r>
      <w:proofErr w:type="gramStart"/>
      <w:r>
        <w:t>课范围</w:t>
      </w:r>
      <w:proofErr w:type="gramEnd"/>
      <w:r>
        <w:t>内，将在后续阶段展开。</w:t>
      </w:r>
    </w:p>
    <w:p w14:paraId="084B7A93" w14:textId="77777777" w:rsidR="00A45621" w:rsidRDefault="00000000">
      <w:pPr>
        <w:pStyle w:val="2"/>
      </w:pPr>
      <w:r>
        <w:lastRenderedPageBreak/>
        <w:t>本阶段形成的学习习惯</w:t>
      </w:r>
    </w:p>
    <w:p w14:paraId="52A9FF64"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5EB77CB0"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4037523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2559DF80"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03DFEAF9"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w:t>
      </w:r>
      <w:proofErr w:type="gramStart"/>
      <w:r>
        <w:t>课反复</w:t>
      </w:r>
      <w:proofErr w:type="gramEnd"/>
      <w:r>
        <w:t>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19EF" w14:textId="77777777" w:rsidR="00D55CA0" w:rsidRDefault="00D55CA0">
      <w:pPr>
        <w:spacing w:after="0" w:line="240" w:lineRule="auto"/>
      </w:pPr>
      <w:r>
        <w:separator/>
      </w:r>
    </w:p>
  </w:endnote>
  <w:endnote w:type="continuationSeparator" w:id="0">
    <w:p w14:paraId="33793748" w14:textId="77777777" w:rsidR="00D55CA0" w:rsidRDefault="00D5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8E74"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3E35" w14:textId="77777777" w:rsidR="00D55CA0" w:rsidRDefault="00D55CA0">
      <w:pPr>
        <w:spacing w:after="0" w:line="240" w:lineRule="auto"/>
      </w:pPr>
      <w:r>
        <w:separator/>
      </w:r>
    </w:p>
  </w:footnote>
  <w:footnote w:type="continuationSeparator" w:id="0">
    <w:p w14:paraId="6D861059" w14:textId="77777777" w:rsidR="00D55CA0" w:rsidRDefault="00D55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C8C1"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6E349A"/>
    <w:rsid w:val="00717DF8"/>
    <w:rsid w:val="00761617"/>
    <w:rsid w:val="007C0166"/>
    <w:rsid w:val="00A45621"/>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485E0"/>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1930</Words>
  <Characters>2452</Characters>
  <Application>Microsoft Office Word</Application>
  <DocSecurity>0</DocSecurity>
  <Lines>90</Lines>
  <Paragraphs>109</Paragraphs>
  <ScaleCrop>false</ScaleCrop>
  <Company>Science G5</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4</cp:revision>
  <dcterms:created xsi:type="dcterms:W3CDTF">2026-08-02T00:00:00Z</dcterms:created>
  <dcterms:modified xsi:type="dcterms:W3CDTF">2026-08-02T15:38:00Z</dcterms:modified>
</cp:coreProperties>
</file>