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65AA923" w14:textId="77777777" w:rsidR="00A45621" w:rsidRDefault="00000000">
      <w:pPr>
        <w:pStyle w:val="ParentKicker"/>
      </w:pPr>
      <w:r>
        <w:t>PARENT LEARNING UPDATE</w:t>
      </w:r>
    </w:p>
    <w:p w14:paraId="7F17693F" w14:textId="77777777" w:rsidR="00A45621" w:rsidRDefault="007C0166">
      <w:pPr>
        <w:pStyle w:val="ParentTitle"/>
      </w:pPr>
      <w:r>
        <w:rPr>
          <w:rFonts w:hint="eastAsia"/>
        </w:rPr>
        <w:t>7</w:t>
      </w:r>
      <w:r>
        <w:rPr>
          <w:rFonts w:hint="eastAsia"/>
        </w:rPr>
        <w:t>月</w:t>
      </w:r>
      <w:r>
        <w:t>实验</w:t>
      </w:r>
      <w:r>
        <w:rPr>
          <w:rFonts w:hint="eastAsia"/>
        </w:rPr>
        <w:t>总结</w:t>
      </w:r>
    </w:p>
    <w:p w14:paraId="2D5FDF13"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51FD984B" w14:textId="77777777"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物质、热、光，以及运动和力。先预测、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08C85E86" w14:textId="77777777" w:rsidR="00A45621" w:rsidRDefault="00000000">
      <w:pPr>
        <w:pStyle w:val="1"/>
      </w:pPr>
      <w:r>
        <w:t>六次课做了哪些实验</w:t>
      </w:r>
    </w:p>
    <w:p w14:paraId="09DEF607" w14:textId="77777777" w:rsidR="00A45621" w:rsidRDefault="00000000">
      <w:pPr>
        <w:pStyle w:val="2"/>
      </w:pPr>
      <w:r>
        <w:t>第</w:t>
      </w:r>
      <w:r>
        <w:t xml:space="preserve"> 1 </w:t>
      </w:r>
      <w:r>
        <w:t>次课｜单摆周期｜7月7日上午</w:t>
      </w:r>
    </w:p>
    <w:p w14:paraId="499118A0" w14:textId="3ADB2F42" w:rsidR="00706BA9" w:rsidRDefault="00000000">
      <w:pPr>
        <w:pStyle w:val="LessonQuestion"/>
      </w:pPr>
      <w:r>
        <w:t>研究问题：</w:t>
      </w:r>
      <w:r w:rsidR="00814621">
        <w:rPr>
          <w:rFonts w:hint="eastAsia"/>
        </w:rPr>
        <w:t>什么</w:t>
      </w:r>
      <w:r>
        <w:t>会影响单摆的周期（</w:t>
      </w:r>
      <w:r>
        <w:t>period of a pendulum</w:t>
      </w:r>
      <w:r>
        <w:t>）？</w:t>
      </w:r>
    </w:p>
    <w:p w14:paraId="5E6A80CC" w14:textId="3BC3FDC8" w:rsidR="00A45621" w:rsidRDefault="00814621">
      <w:r>
        <w:rPr>
          <w:rFonts w:hint="eastAsia"/>
        </w:rPr>
        <w:t>由孩子</w:t>
      </w:r>
      <w:r>
        <w:t>提出可能影响单摆周期的因素：摆长、摆锤质量、释放角度和摆的高度</w:t>
      </w:r>
      <w:r>
        <w:rPr>
          <w:rFonts w:hint="eastAsia"/>
        </w:rPr>
        <w:t>（</w:t>
      </w:r>
      <w:r>
        <w:t>其中</w:t>
      </w:r>
      <w:r>
        <w:t>“</w:t>
      </w:r>
      <w:r>
        <w:t>摆的高度</w:t>
      </w:r>
      <w:r>
        <w:t>”</w:t>
      </w:r>
      <w:r>
        <w:t>是她在教案之外</w:t>
      </w:r>
      <w:r>
        <w:rPr>
          <w:rFonts w:hint="eastAsia"/>
        </w:rPr>
        <w:t>自己</w:t>
      </w:r>
      <w:r>
        <w:t>提出的变量</w:t>
      </w:r>
      <w:r>
        <w:rPr>
          <w:rFonts w:hint="eastAsia"/>
        </w:rPr>
        <w:t>）</w:t>
      </w:r>
      <w:r>
        <w:t>。随后我们围绕</w:t>
      </w:r>
      <w:r w:rsidR="00B6684C">
        <w:rPr>
          <w:rFonts w:hint="eastAsia"/>
        </w:rPr>
        <w:t>提出的</w:t>
      </w:r>
      <w:r>
        <w:t>这四个因素进行对比实验。</w:t>
      </w:r>
    </w:p>
    <w:p w14:paraId="36DC07AC" w14:textId="13ECB889" w:rsidR="00A45621" w:rsidRDefault="00000000">
      <w:pPr>
        <w:pStyle w:val="ParentBullet"/>
        <w:numPr>
          <w:ilvl w:val="0"/>
          <w:numId w:val="1"/>
        </w:numPr>
      </w:pPr>
      <w:r>
        <w:rPr>
          <w:b/>
          <w:bCs/>
          <w:color w:val="0B2545"/>
        </w:rPr>
        <w:t>实验前</w:t>
      </w:r>
      <w:r w:rsidR="00814621">
        <w:rPr>
          <w:rFonts w:hint="eastAsia"/>
          <w:b/>
          <w:bCs/>
          <w:color w:val="0B2545"/>
        </w:rPr>
        <w:t>，</w:t>
      </w:r>
      <w:r>
        <w:rPr>
          <w:b/>
          <w:bCs/>
          <w:color w:val="0B2545"/>
        </w:rPr>
        <w:t>先统一测量方法：</w:t>
      </w:r>
      <w:r w:rsidR="00814621">
        <w:rPr>
          <w:rFonts w:hint="eastAsia"/>
        </w:rPr>
        <w:t>每次</w:t>
      </w:r>
      <w:r>
        <w:t>只改变一个因素，其他条件保持不变。每次测</w:t>
      </w:r>
      <w:r>
        <w:t xml:space="preserve"> 10 </w:t>
      </w:r>
      <w:r>
        <w:t>次完整摆动的总时间；同一条件重复</w:t>
      </w:r>
      <w:r>
        <w:t xml:space="preserve"> 3 </w:t>
      </w:r>
      <w:r>
        <w:t>次</w:t>
      </w:r>
      <w:r w:rsidR="00814621">
        <w:rPr>
          <w:rFonts w:hint="eastAsia"/>
        </w:rPr>
        <w:t>，再</w:t>
      </w:r>
      <w:r>
        <w:t>取平均值（</w:t>
      </w:r>
      <w:r>
        <w:t>average</w:t>
      </w:r>
      <w:r>
        <w:t>），减小</w:t>
      </w:r>
      <w:r w:rsidR="00814621">
        <w:rPr>
          <w:rFonts w:hint="eastAsia"/>
        </w:rPr>
        <w:t>单词</w:t>
      </w:r>
      <w:r>
        <w:t>计时和操作带来的误差。</w:t>
      </w:r>
    </w:p>
    <w:p w14:paraId="70C54136" w14:textId="1A3CF752" w:rsidR="00A45621" w:rsidRDefault="00000000">
      <w:pPr>
        <w:pStyle w:val="ParentBullet"/>
        <w:numPr>
          <w:ilvl w:val="0"/>
          <w:numId w:val="1"/>
        </w:numPr>
      </w:pPr>
      <w:r>
        <w:rPr>
          <w:b/>
          <w:bCs/>
          <w:color w:val="0B2545"/>
        </w:rPr>
        <w:t>实验</w:t>
      </w:r>
      <w:r>
        <w:rPr>
          <w:b/>
          <w:bCs/>
          <w:color w:val="0B2545"/>
        </w:rPr>
        <w:t xml:space="preserve"> 1</w:t>
      </w:r>
      <w:r>
        <w:rPr>
          <w:b/>
          <w:bCs/>
          <w:color w:val="0B2545"/>
        </w:rPr>
        <w:t>｜改变摆长</w:t>
      </w:r>
      <w:r w:rsidR="00814621">
        <w:rPr>
          <w:rFonts w:hint="eastAsia"/>
          <w:b/>
          <w:bCs/>
          <w:color w:val="0B2545"/>
        </w:rPr>
        <w:t>length</w:t>
      </w:r>
      <w:r>
        <w:rPr>
          <w:b/>
          <w:bCs/>
          <w:color w:val="0B2545"/>
        </w:rPr>
        <w:t>：</w:t>
      </w:r>
      <w:r>
        <w:t>比较短、中、长三种摆长，其他条件保持不变。</w:t>
      </w:r>
    </w:p>
    <w:p w14:paraId="5A639A5E" w14:textId="1ECD4C20" w:rsidR="00A45621" w:rsidRDefault="00000000">
      <w:pPr>
        <w:pStyle w:val="ParentBullet"/>
        <w:numPr>
          <w:ilvl w:val="0"/>
          <w:numId w:val="1"/>
        </w:numPr>
      </w:pPr>
      <w:r>
        <w:rPr>
          <w:b/>
          <w:bCs/>
          <w:color w:val="0B2545"/>
        </w:rPr>
        <w:t>实验</w:t>
      </w:r>
      <w:r>
        <w:rPr>
          <w:b/>
          <w:bCs/>
          <w:color w:val="0B2545"/>
        </w:rPr>
        <w:t xml:space="preserve"> 2</w:t>
      </w:r>
      <w:r>
        <w:rPr>
          <w:b/>
          <w:bCs/>
          <w:color w:val="0B2545"/>
        </w:rPr>
        <w:t>｜改变摆锤质量</w:t>
      </w:r>
      <w:r w:rsidR="00814621">
        <w:rPr>
          <w:rFonts w:hint="eastAsia"/>
          <w:b/>
          <w:bCs/>
          <w:color w:val="0B2545"/>
        </w:rPr>
        <w:t>mass</w:t>
      </w:r>
      <w:r>
        <w:rPr>
          <w:b/>
          <w:bCs/>
          <w:color w:val="0B2545"/>
        </w:rPr>
        <w:t>：</w:t>
      </w:r>
      <w:r>
        <w:t>更换轻、中、重三个摆锤，其他条件保持不变。</w:t>
      </w:r>
    </w:p>
    <w:p w14:paraId="3A25FBC3" w14:textId="32229FD6" w:rsidR="00A45621" w:rsidRDefault="00000000">
      <w:pPr>
        <w:pStyle w:val="ParentBullet"/>
        <w:numPr>
          <w:ilvl w:val="0"/>
          <w:numId w:val="1"/>
        </w:numPr>
      </w:pPr>
      <w:r>
        <w:rPr>
          <w:b/>
          <w:bCs/>
          <w:color w:val="0B2545"/>
        </w:rPr>
        <w:t>实验</w:t>
      </w:r>
      <w:r>
        <w:rPr>
          <w:b/>
          <w:bCs/>
          <w:color w:val="0B2545"/>
        </w:rPr>
        <w:t xml:space="preserve"> 3</w:t>
      </w:r>
      <w:r>
        <w:rPr>
          <w:b/>
          <w:bCs/>
          <w:color w:val="0B2545"/>
        </w:rPr>
        <w:t>｜改变释放角度</w:t>
      </w:r>
      <w:r w:rsidR="00814621">
        <w:rPr>
          <w:rFonts w:hint="eastAsia"/>
          <w:b/>
          <w:bCs/>
          <w:color w:val="0B2545"/>
        </w:rPr>
        <w:t>angle of release</w:t>
      </w:r>
      <w:r>
        <w:rPr>
          <w:b/>
          <w:bCs/>
          <w:color w:val="0B2545"/>
        </w:rPr>
        <w:t>：</w:t>
      </w:r>
      <w:r>
        <w:t>比较</w:t>
      </w:r>
      <w:r w:rsidR="00814621">
        <w:rPr>
          <w:rFonts w:hint="eastAsia"/>
        </w:rPr>
        <w:t>不同</w:t>
      </w:r>
      <w:r>
        <w:t>起始角度，其他条件保持不变。</w:t>
      </w:r>
    </w:p>
    <w:p w14:paraId="5E384C18" w14:textId="1A3A95EF" w:rsidR="00A45621" w:rsidRDefault="00000000">
      <w:pPr>
        <w:pStyle w:val="ParentBullet"/>
        <w:numPr>
          <w:ilvl w:val="0"/>
          <w:numId w:val="1"/>
        </w:numPr>
      </w:pPr>
      <w:r>
        <w:rPr>
          <w:b/>
          <w:bCs/>
          <w:color w:val="0B2545"/>
        </w:rPr>
        <w:t>实验</w:t>
      </w:r>
      <w:r>
        <w:rPr>
          <w:b/>
          <w:bCs/>
          <w:color w:val="0B2545"/>
        </w:rPr>
        <w:t xml:space="preserve"> 4</w:t>
      </w:r>
      <w:r>
        <w:rPr>
          <w:b/>
          <w:bCs/>
          <w:color w:val="0B2545"/>
        </w:rPr>
        <w:t>｜改变摆的高度</w:t>
      </w:r>
      <w:r w:rsidR="00814621">
        <w:rPr>
          <w:rFonts w:hint="eastAsia"/>
          <w:b/>
          <w:bCs/>
          <w:color w:val="0B2545"/>
        </w:rPr>
        <w:t>height</w:t>
      </w:r>
      <w:r>
        <w:rPr>
          <w:b/>
          <w:bCs/>
          <w:color w:val="0B2545"/>
        </w:rPr>
        <w:t>：</w:t>
      </w:r>
      <w:r w:rsidR="00814621">
        <w:rPr>
          <w:rFonts w:hint="eastAsia"/>
        </w:rPr>
        <w:t>元宝</w:t>
      </w:r>
      <w:r>
        <w:t>自己提出的变量。把整个单摆装置调高或调低</w:t>
      </w:r>
      <w:r w:rsidR="00B6684C">
        <w:rPr>
          <w:rFonts w:hint="eastAsia"/>
        </w:rPr>
        <w:t>，其他条件保持不变。</w:t>
      </w:r>
    </w:p>
    <w:p w14:paraId="7EA4B1D3" w14:textId="01DE14C3" w:rsidR="00814621" w:rsidRDefault="00814621" w:rsidP="00814621">
      <w:pPr>
        <w:pStyle w:val="ParentBullet"/>
        <w:numPr>
          <w:ilvl w:val="0"/>
          <w:numId w:val="1"/>
        </w:numPr>
      </w:pPr>
      <w:r>
        <w:rPr>
          <w:b/>
          <w:bCs/>
          <w:color w:val="0B2545"/>
        </w:rPr>
        <w:t>怎样判断一个因素是</w:t>
      </w:r>
      <w:r>
        <w:rPr>
          <w:rFonts w:hint="eastAsia"/>
          <w:b/>
          <w:bCs/>
          <w:color w:val="0B2545"/>
        </w:rPr>
        <w:t>否</w:t>
      </w:r>
      <w:r>
        <w:rPr>
          <w:b/>
          <w:bCs/>
          <w:color w:val="0B2545"/>
        </w:rPr>
        <w:t>真的有影响：</w:t>
      </w:r>
      <w:r>
        <w:t>先看同一条件下</w:t>
      </w:r>
      <w:r>
        <w:t xml:space="preserve"> 3 </w:t>
      </w:r>
      <w:r>
        <w:t>次测量本身有多大波动，再比较改变因素后的平均值差别。如果两组差别和组内波动差不多，甚至更小，就不能认为周期出现了明显变化；只有差别明显大于测量误差（</w:t>
      </w:r>
      <w:r>
        <w:t>measurement error</w:t>
      </w:r>
      <w:r>
        <w:t>），结论才比较可靠。</w:t>
      </w:r>
    </w:p>
    <w:p w14:paraId="06E0415B" w14:textId="2626AA77" w:rsidR="00B6684C" w:rsidRDefault="00000000">
      <w:pPr>
        <w:pStyle w:val="KnowledgeSummary"/>
        <w:rPr>
          <w:b/>
          <w:bCs/>
        </w:rPr>
      </w:pPr>
      <w:r>
        <w:rPr>
          <w:b/>
          <w:bCs/>
        </w:rPr>
        <w:t>结论：</w:t>
      </w:r>
      <w:r w:rsidR="00B6684C" w:rsidRPr="00B6684C">
        <w:rPr>
          <w:rFonts w:hint="eastAsia"/>
        </w:rPr>
        <w:t>摆长越长，单摆周期越长。其他因素对单摆周期没有显著影响。</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w:t>
      </w:r>
      <w:r w:rsidR="00814621">
        <w:rPr>
          <w:rFonts w:hint="eastAsia"/>
          <w:color w:val="0B2545"/>
        </w:rPr>
        <w:t>学会控制变量、控制误差，并建立科学的研究方法。</w:t>
      </w:r>
    </w:p>
    <w:p w14:paraId="3570002F" w14:textId="77777777" w:rsidR="00A45621" w:rsidRDefault="00000000">
      <w:pPr>
        <w:pStyle w:val="2"/>
      </w:pPr>
      <w:r>
        <w:lastRenderedPageBreak/>
        <w:t>第</w:t>
      </w:r>
      <w:r>
        <w:t xml:space="preserve"> 2 </w:t>
      </w:r>
      <w:r>
        <w:t>次课｜溶解调查｜7月13日晚上</w:t>
      </w:r>
    </w:p>
    <w:p w14:paraId="24C3E00B" w14:textId="55473068" w:rsidR="00A45621" w:rsidRDefault="00000000">
      <w:pPr>
        <w:pStyle w:val="LessonQuestion"/>
      </w:pPr>
      <w:r>
        <w:t>研究问题：溶解（</w:t>
      </w:r>
      <w:r>
        <w:t>dissolving</w:t>
      </w:r>
      <w:r>
        <w:t>）有什么特点？</w:t>
      </w:r>
      <w:r w:rsidR="00793CC6">
        <w:t xml:space="preserve"> </w:t>
      </w:r>
    </w:p>
    <w:p w14:paraId="0D9DED84" w14:textId="79572A98" w:rsidR="00A45621" w:rsidRDefault="00814621">
      <w:r>
        <w:rPr>
          <w:rFonts w:hint="eastAsia"/>
        </w:rPr>
        <w:t>本节</w:t>
      </w:r>
      <w:r w:rsidR="00793CC6">
        <w:rPr>
          <w:rFonts w:hint="eastAsia"/>
        </w:rPr>
        <w:t>探究</w:t>
      </w:r>
      <w:r>
        <w:rPr>
          <w:rFonts w:hint="eastAsia"/>
        </w:rPr>
        <w:t>溶解的特点</w:t>
      </w:r>
      <w:r w:rsidR="00793CC6">
        <w:rPr>
          <w:rFonts w:hint="eastAsia"/>
        </w:rPr>
        <w:t>，比较</w:t>
      </w:r>
      <w:r>
        <w:rPr>
          <w:rFonts w:hint="eastAsia"/>
        </w:rPr>
        <w:t>可溶物与</w:t>
      </w:r>
      <w:r w:rsidR="00793CC6">
        <w:rPr>
          <w:rFonts w:hint="eastAsia"/>
        </w:rPr>
        <w:t>不溶物</w:t>
      </w:r>
      <w:r>
        <w:rPr>
          <w:rFonts w:hint="eastAsia"/>
        </w:rPr>
        <w:t>，</w:t>
      </w:r>
      <w:r w:rsidR="00793CC6">
        <w:rPr>
          <w:rFonts w:hint="eastAsia"/>
        </w:rPr>
        <w:t>并</w:t>
      </w:r>
      <w:r>
        <w:rPr>
          <w:rFonts w:hint="eastAsia"/>
        </w:rPr>
        <w:t>通过加热溶液观察蒸发和结晶。</w:t>
      </w:r>
    </w:p>
    <w:p w14:paraId="7EAD8CEF" w14:textId="57CA58A3" w:rsidR="00A45621" w:rsidRDefault="00000000">
      <w:pPr>
        <w:pStyle w:val="ParentBullet"/>
        <w:numPr>
          <w:ilvl w:val="0"/>
          <w:numId w:val="1"/>
        </w:numPr>
      </w:pPr>
      <w:r>
        <w:rPr>
          <w:b/>
          <w:bCs/>
          <w:color w:val="0B2545"/>
        </w:rPr>
        <w:t>实验</w:t>
      </w:r>
      <w:r>
        <w:rPr>
          <w:b/>
          <w:bCs/>
          <w:color w:val="0B2545"/>
        </w:rPr>
        <w:t xml:space="preserve"> 1</w:t>
      </w:r>
      <w:r>
        <w:rPr>
          <w:b/>
          <w:bCs/>
          <w:color w:val="0B2545"/>
        </w:rPr>
        <w:t>｜溶解前后质量变化：</w:t>
      </w:r>
      <w:r>
        <w:t>称量水和</w:t>
      </w:r>
      <w:r w:rsidR="00793CC6">
        <w:rPr>
          <w:rFonts w:hint="eastAsia"/>
        </w:rPr>
        <w:t>食盐</w:t>
      </w:r>
      <w:r>
        <w:t>（</w:t>
      </w:r>
      <w:r w:rsidR="00793CC6">
        <w:rPr>
          <w:rFonts w:hint="eastAsia"/>
        </w:rPr>
        <w:t>氯化钠</w:t>
      </w:r>
      <w:r>
        <w:t>sodium chloride, NaCl</w:t>
      </w:r>
      <w:r>
        <w:t>）溶解前后的总质量。前后读数接近</w:t>
      </w:r>
      <w:r w:rsidR="00793CC6">
        <w:rPr>
          <w:rFonts w:hint="eastAsia"/>
        </w:rPr>
        <w:t>（可能有</w:t>
      </w:r>
      <w:r w:rsidR="00793CC6">
        <w:t>液体溅出</w:t>
      </w:r>
      <w:r w:rsidR="00793CC6">
        <w:rPr>
          <w:rFonts w:hint="eastAsia"/>
        </w:rPr>
        <w:t>、</w:t>
      </w:r>
      <w:r w:rsidR="00793CC6">
        <w:t>电子秤波动</w:t>
      </w:r>
      <w:r w:rsidR="00793CC6">
        <w:rPr>
          <w:rFonts w:hint="eastAsia"/>
        </w:rPr>
        <w:t>等小误差），</w:t>
      </w:r>
      <w:r w:rsidR="002F1136">
        <w:rPr>
          <w:rFonts w:hint="eastAsia"/>
        </w:rPr>
        <w:t>说明</w:t>
      </w:r>
      <w:r>
        <w:t>氯化钠虽然溶进水中、肉眼看不见了，但物质并没有消失。</w:t>
      </w:r>
    </w:p>
    <w:p w14:paraId="029AFAAF" w14:textId="77777777" w:rsidR="00793CC6" w:rsidRDefault="00000000" w:rsidP="00793CC6">
      <w:pPr>
        <w:pStyle w:val="ParentBullet"/>
        <w:keepNext/>
        <w:keepLines/>
        <w:numPr>
          <w:ilvl w:val="0"/>
          <w:numId w:val="1"/>
        </w:numPr>
        <w:spacing w:after="80"/>
      </w:pPr>
      <w:r>
        <w:rPr>
          <w:b/>
          <w:bCs/>
          <w:color w:val="0B2545"/>
        </w:rPr>
        <w:t>实验</w:t>
      </w:r>
      <w:r>
        <w:rPr>
          <w:b/>
          <w:bCs/>
          <w:color w:val="0B2545"/>
        </w:rPr>
        <w:t xml:space="preserve"> 2</w:t>
      </w:r>
      <w:r>
        <w:rPr>
          <w:b/>
          <w:bCs/>
          <w:color w:val="0B2545"/>
        </w:rPr>
        <w:t>｜溶解的性质：</w:t>
      </w:r>
      <w:r>
        <w:t>把</w:t>
      </w:r>
      <w:r w:rsidR="00793CC6">
        <w:rPr>
          <w:rFonts w:hint="eastAsia"/>
        </w:rPr>
        <w:t>等量食盐</w:t>
      </w:r>
      <w:r>
        <w:t>和二氧化硅（</w:t>
      </w:r>
      <w:r>
        <w:t>silicon dioxide, SiO₂</w:t>
      </w:r>
      <w:r>
        <w:t>）分别加入水中，比较搅拌、静置和过滤后的现象。</w:t>
      </w:r>
    </w:p>
    <w:p w14:paraId="6EA2592B" w14:textId="26D63423" w:rsidR="00793CC6" w:rsidRDefault="00793CC6" w:rsidP="00793CC6">
      <w:pPr>
        <w:pStyle w:val="ParentBullet"/>
        <w:keepNext/>
        <w:keepLines/>
        <w:numPr>
          <w:ilvl w:val="1"/>
          <w:numId w:val="1"/>
        </w:numPr>
        <w:spacing w:after="70"/>
      </w:pPr>
      <w:r>
        <w:rPr>
          <w:rFonts w:hint="eastAsia"/>
          <w:b/>
          <w:bCs/>
          <w:color w:val="1F4D78"/>
        </w:rPr>
        <w:t>重点</w:t>
      </w:r>
      <w:r>
        <w:rPr>
          <w:b/>
          <w:bCs/>
          <w:color w:val="1F4D78"/>
        </w:rPr>
        <w:t>比较：</w:t>
      </w:r>
      <w:r>
        <w:t>是否形成透明澄清的均一溶液，以及能否通过过滤分离。</w:t>
      </w:r>
    </w:p>
    <w:p w14:paraId="458FABDA" w14:textId="77777777" w:rsidR="00793CC6" w:rsidRDefault="00793CC6" w:rsidP="00793CC6">
      <w:pPr>
        <w:pStyle w:val="ParentBullet"/>
        <w:keepNext/>
        <w:keepLines/>
        <w:numPr>
          <w:ilvl w:val="1"/>
          <w:numId w:val="1"/>
        </w:numPr>
        <w:spacing w:after="55"/>
      </w:pPr>
      <w:r>
        <w:rPr>
          <w:rFonts w:hint="eastAsia"/>
          <w:b/>
          <w:bCs/>
          <w:color w:val="1F4D78"/>
        </w:rPr>
        <w:t>可溶物</w:t>
      </w:r>
      <w:r>
        <w:rPr>
          <w:rFonts w:hint="eastAsia"/>
          <w:b/>
          <w:bCs/>
          <w:color w:val="1F4D78"/>
        </w:rPr>
        <w:t>soluble</w:t>
      </w:r>
      <w:r>
        <w:rPr>
          <w:rFonts w:hint="eastAsia"/>
          <w:b/>
          <w:bCs/>
          <w:color w:val="1F4D78"/>
        </w:rPr>
        <w:t>：</w:t>
      </w:r>
      <w:r w:rsidR="00000000">
        <w:t>氯化钠</w:t>
      </w:r>
      <w:r>
        <w:rPr>
          <w:rFonts w:hint="eastAsia"/>
        </w:rPr>
        <w:t>溶液</w:t>
      </w:r>
      <w:r w:rsidR="00000000">
        <w:t>透明澄清，普通滤纸无滤出；</w:t>
      </w:r>
    </w:p>
    <w:p w14:paraId="63049E90" w14:textId="256055C2" w:rsidR="00A45621" w:rsidRDefault="00793CC6" w:rsidP="00793CC6">
      <w:pPr>
        <w:pStyle w:val="ParentBullet"/>
        <w:keepLines/>
        <w:numPr>
          <w:ilvl w:val="1"/>
          <w:numId w:val="1"/>
        </w:numPr>
        <w:spacing w:after="160"/>
      </w:pPr>
      <w:r>
        <w:rPr>
          <w:rFonts w:hint="eastAsia"/>
          <w:b/>
          <w:bCs/>
          <w:color w:val="1F4D78"/>
        </w:rPr>
        <w:t>不溶物</w:t>
      </w:r>
      <w:r>
        <w:rPr>
          <w:rFonts w:hint="eastAsia"/>
          <w:b/>
          <w:bCs/>
          <w:color w:val="1F4D78"/>
        </w:rPr>
        <w:t>insoluble</w:t>
      </w:r>
      <w:r>
        <w:rPr>
          <w:rFonts w:hint="eastAsia"/>
          <w:b/>
          <w:bCs/>
          <w:color w:val="1F4D78"/>
        </w:rPr>
        <w:t>：</w:t>
      </w:r>
      <w:r w:rsidR="00000000">
        <w:t>二氧化硅不溶于水，混合后液体浑浊，静置后颗粒会沉降，并且可以被滤纸截留。</w:t>
      </w:r>
    </w:p>
    <w:p w14:paraId="4343F053" w14:textId="58B81F3F" w:rsidR="00A45621" w:rsidRDefault="00000000">
      <w:pPr>
        <w:pStyle w:val="ParentBullet"/>
        <w:keepNext/>
        <w:keepLines/>
        <w:numPr>
          <w:ilvl w:val="0"/>
          <w:numId w:val="1"/>
        </w:numPr>
        <w:spacing w:after="80"/>
      </w:pPr>
      <w:r>
        <w:rPr>
          <w:b/>
          <w:bCs/>
          <w:color w:val="0B2545"/>
        </w:rPr>
        <w:t>实验</w:t>
      </w:r>
      <w:r>
        <w:rPr>
          <w:b/>
          <w:bCs/>
          <w:color w:val="0B2545"/>
        </w:rPr>
        <w:t xml:space="preserve"> 3</w:t>
      </w:r>
      <w:r>
        <w:rPr>
          <w:b/>
          <w:bCs/>
          <w:color w:val="0B2545"/>
        </w:rPr>
        <w:t>｜蒸发与结晶：</w:t>
      </w:r>
      <w:r>
        <w:t>分别加热氯化钠溶液和溶液，让水逐渐蒸发（</w:t>
      </w:r>
      <w:r>
        <w:t>evaporation</w:t>
      </w:r>
      <w:r>
        <w:t>），观察溶质（</w:t>
      </w:r>
      <w:r>
        <w:t>solute</w:t>
      </w:r>
      <w:r>
        <w:t>）重新析出并形成晶体。这个实验说明，即使溶液看起来透明澄清，溶质仍然存在；水分减少后，原来溶解在水中的物质可以重新形成固体。</w:t>
      </w:r>
      <w:r w:rsidR="00793CC6">
        <w:rPr>
          <w:rFonts w:hint="eastAsia"/>
        </w:rPr>
        <w:t>结束后还蒸发了</w:t>
      </w:r>
      <w:r w:rsidR="00793CC6">
        <w:t>硫酸铜（</w:t>
      </w:r>
      <w:r w:rsidR="00793CC6">
        <w:t>copper sulfate, CuSO₄</w:t>
      </w:r>
      <w:r w:rsidR="00793CC6">
        <w:t>）</w:t>
      </w:r>
      <w:r w:rsidR="00793CC6">
        <w:rPr>
          <w:rFonts w:hint="eastAsia"/>
        </w:rPr>
        <w:t>溶液，析出了漂亮的蓝色结晶。</w:t>
      </w:r>
    </w:p>
    <w:p w14:paraId="20677D37" w14:textId="77777777" w:rsidR="00A45621" w:rsidRDefault="00000000">
      <w:pPr>
        <w:pStyle w:val="ParentBullet"/>
        <w:keepLines/>
        <w:numPr>
          <w:ilvl w:val="1"/>
          <w:numId w:val="1"/>
        </w:numPr>
        <w:spacing w:after="160"/>
      </w:pPr>
      <w:r>
        <w:rPr>
          <w:b/>
          <w:bCs/>
          <w:color w:val="1F4D78"/>
        </w:rPr>
        <w:t>课堂实际情况｜更换热源：</w:t>
      </w:r>
      <w:r>
        <w:t>原计划使用酒精灯（</w:t>
      </w:r>
      <w:r>
        <w:t>alcohol burner</w:t>
      </w:r>
      <w:r>
        <w:t>）加热，但加入灯内的酒精浓度不够，无法正常持续燃烧，因此改用蜡烛（</w:t>
      </w:r>
      <w:r>
        <w:t>candle</w:t>
      </w:r>
      <w:r>
        <w:t>）完成加热。孩子也看到，真实实验中器材或材料有时不会按预期工作，需要先根据现象判断原因，再在保证安全的前提下调整方案。</w:t>
      </w:r>
    </w:p>
    <w:p w14:paraId="123FB90F" w14:textId="0FBCA708"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。对应溶质、溶剂、溶液、可溶与不溶，以及过滤、蒸发和结晶等分离方法。</w:t>
      </w:r>
    </w:p>
    <w:p w14:paraId="31AB429A" w14:textId="77777777" w:rsidR="00A45621" w:rsidRDefault="00000000">
      <w:pPr>
        <w:pStyle w:val="2"/>
      </w:pPr>
      <w:r>
        <w:t>第</w:t>
      </w:r>
      <w:r>
        <w:t xml:space="preserve"> 3 </w:t>
      </w:r>
      <w:r>
        <w:t>次课｜物理变化与化学变化｜7月19日早上</w:t>
      </w:r>
    </w:p>
    <w:p w14:paraId="1226D2BC" w14:textId="77777777" w:rsidR="00A45621" w:rsidRDefault="00000000">
      <w:pPr>
        <w:pStyle w:val="LessonQuestion"/>
      </w:pPr>
      <w:r>
        <w:t>核心问题：出现气泡、变色或温度变化，就一定说明发生了化学变化吗？</w:t>
      </w:r>
    </w:p>
    <w:p w14:paraId="766F2007" w14:textId="77777777" w:rsidR="00A45621" w:rsidRDefault="00000000">
      <w:pPr>
        <w:pStyle w:val="ParentBullet"/>
        <w:numPr>
          <w:ilvl w:val="0"/>
          <w:numId w:val="1"/>
        </w:numPr>
      </w:pPr>
      <w:r>
        <w:rPr>
          <w:b/>
          <w:bCs/>
          <w:color w:val="0B2545"/>
        </w:rPr>
        <w:t>蜡烛的两种变化：</w:t>
      </w:r>
      <w:r>
        <w:t>观察蜡受热熔化、熄灭后凝固，同时把火焰中的燃烧单独记录。学生由同一支蜡烛看见：相变不产生新物质，而燃烧会形成新物质。</w:t>
      </w:r>
    </w:p>
    <w:p w14:paraId="202CB36B" w14:textId="77777777" w:rsidR="00A45621" w:rsidRDefault="00000000">
      <w:pPr>
        <w:pStyle w:val="ParentBullet"/>
        <w:numPr>
          <w:ilvl w:val="0"/>
          <w:numId w:val="1"/>
        </w:numPr>
      </w:pPr>
      <w:r>
        <w:rPr>
          <w:b/>
          <w:bCs/>
          <w:color w:val="0B2545"/>
        </w:rPr>
        <w:lastRenderedPageBreak/>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6DEBC18C"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086D021D" w14:textId="77777777" w:rsidR="00A45621" w:rsidRDefault="00000000">
      <w:pPr>
        <w:pStyle w:val="ParentBullet"/>
        <w:numPr>
          <w:ilvl w:val="0"/>
          <w:numId w:val="1"/>
        </w:numPr>
      </w:pPr>
      <w:r>
        <w:rPr>
          <w:b/>
          <w:bCs/>
          <w:color w:val="0B2545"/>
        </w:rPr>
        <w:t>澄清溶液形成沉淀：</w:t>
      </w:r>
      <w:r>
        <w:t>把上一实验得到的醋酸钙滤液与小苏打溶液混合，并设置加水对照；实验组出现白色固体。这个现象说明两种看似澄清的溶液也能通过反应形成具有不同性质的新物质。</w:t>
      </w:r>
    </w:p>
    <w:p w14:paraId="58F6B587"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0B9ECF3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66803C48" w14:textId="77777777" w:rsidR="00A45621" w:rsidRDefault="00000000">
      <w:pPr>
        <w:pStyle w:val="2"/>
      </w:pPr>
      <w:r>
        <w:t>第</w:t>
      </w:r>
      <w:r>
        <w:t xml:space="preserve"> 4 </w:t>
      </w:r>
      <w:r>
        <w:t>次课｜热能传递｜7月21日下午</w:t>
      </w:r>
    </w:p>
    <w:p w14:paraId="6095850C" w14:textId="77777777" w:rsidR="00A45621" w:rsidRDefault="00000000">
      <w:pPr>
        <w:pStyle w:val="LessonQuestion"/>
      </w:pPr>
      <w:r>
        <w:t>核心问题：传导、对流和辐射分别怎样把热能从一处带到另一处？</w:t>
      </w:r>
    </w:p>
    <w:p w14:paraId="631E16F7"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1463FA5E"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把不锈钢、竹木和塑料筷的下端同时放入温水，用黄油固定的小纸旗显示热量何时传到上方。金属筷通常最先使黄油软化，说明能量可以沿接触的固体逐步传递。</w:t>
      </w:r>
    </w:p>
    <w:p w14:paraId="5A88AC8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4850BD92" w14:textId="77777777" w:rsidR="00A45621" w:rsidRDefault="00000000">
      <w:pPr>
        <w:pStyle w:val="ParentBullet"/>
        <w:numPr>
          <w:ilvl w:val="0"/>
          <w:numId w:val="1"/>
        </w:numPr>
      </w:pPr>
      <w:r>
        <w:rPr>
          <w:b/>
          <w:bCs/>
          <w:color w:val="0B2545"/>
        </w:rPr>
        <w:t>黑白表面的辐射吸收：</w:t>
      </w:r>
      <w:r>
        <w:t>让距离和角度相同的黑、白两杯接受同一热辐射源，比较两杯水的温升。两杯都能在不接触灯的情况下升温，黑色表面通常温升更大，支持辐射无需接触且不同表面吸收表现不同。</w:t>
      </w:r>
    </w:p>
    <w:p w14:paraId="5C8558CA"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02AC138E" w14:textId="77777777" w:rsidR="00A45621" w:rsidRDefault="00000000">
      <w:pPr>
        <w:pStyle w:val="SchoolAlignment"/>
        <w:pBdr>
          <w:left w:val="single" w:sz="16" w:space="7" w:color="2E74B5"/>
        </w:pBdr>
        <w:shd w:val="clear" w:color="auto" w:fill="E8EEF5"/>
        <w:ind w:left="230" w:right="144"/>
      </w:pPr>
      <w:r>
        <w:rPr>
          <w:b/>
          <w:bCs/>
          <w:color w:val="0B2545"/>
        </w:rPr>
        <w:lastRenderedPageBreak/>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次课重点完成三种热传递方式及其证据。</w:t>
      </w:r>
    </w:p>
    <w:p w14:paraId="1E76DDB8" w14:textId="77777777" w:rsidR="00A45621" w:rsidRDefault="00000000">
      <w:pPr>
        <w:pStyle w:val="2"/>
      </w:pPr>
      <w:r>
        <w:t>第</w:t>
      </w:r>
      <w:r>
        <w:t xml:space="preserve"> 5 </w:t>
      </w:r>
      <w:r>
        <w:t>次课｜光遇到物质后去了哪里｜7月28日下午</w:t>
      </w:r>
    </w:p>
    <w:p w14:paraId="512498FD" w14:textId="77777777" w:rsidR="00A45621" w:rsidRDefault="00000000">
      <w:pPr>
        <w:pStyle w:val="LessonQuestion"/>
      </w:pPr>
      <w:r>
        <w:t>核心问题：白光里有什么，光遇到不同物质后颜色和传播方向怎样改变？</w:t>
      </w:r>
    </w:p>
    <w:p w14:paraId="040DF4C9" w14:textId="77777777" w:rsidR="00A45621" w:rsidRDefault="00000000">
      <w:pPr>
        <w:pStyle w:val="ParentBullet"/>
        <w:numPr>
          <w:ilvl w:val="0"/>
          <w:numId w:val="1"/>
        </w:numPr>
      </w:pPr>
      <w:r>
        <w:rPr>
          <w:b/>
          <w:bCs/>
          <w:color w:val="0B2545"/>
        </w:rPr>
        <w:t>三棱镜展开白光：</w:t>
      </w:r>
      <w:r>
        <w:t>让窄白光通过三棱镜，在白纸上形成从红到紫的可见光谱。学生用</w:t>
      </w:r>
      <w:r>
        <w:t>“</w:t>
      </w:r>
      <w:r>
        <w:t>不同波长在玻璃中偏折程度不同</w:t>
      </w:r>
      <w:r>
        <w:t>”</w:t>
      </w:r>
      <w:r>
        <w:t>解释色散，并把可见光放回电磁波谱中。</w:t>
      </w:r>
    </w:p>
    <w:p w14:paraId="26747273" w14:textId="77777777" w:rsidR="00A45621" w:rsidRDefault="00000000">
      <w:pPr>
        <w:pStyle w:val="ParentBullet"/>
        <w:numPr>
          <w:ilvl w:val="0"/>
          <w:numId w:val="1"/>
        </w:numPr>
      </w:pPr>
      <w:r>
        <w:rPr>
          <w:b/>
          <w:bCs/>
          <w:color w:val="0B2545"/>
        </w:rPr>
        <w:t>彩色照明改变物体颜色：</w:t>
      </w:r>
      <w:r>
        <w:t>在白光、红光、绿光和蓝光下比较红、绿、蓝、白、黑纸片的颜色与亮度。实验说明物体的所见颜色取决于光源提供了哪些波长，以及材料选择性反射、透射或吸收了哪些光。</w:t>
      </w:r>
    </w:p>
    <w:p w14:paraId="5C577ECA"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23A8037F" w14:textId="77777777" w:rsidR="00A45621" w:rsidRDefault="00000000">
      <w:pPr>
        <w:pStyle w:val="ParentBullet"/>
        <w:numPr>
          <w:ilvl w:val="0"/>
          <w:numId w:val="1"/>
        </w:numPr>
      </w:pPr>
      <w:r>
        <w:rPr>
          <w:b/>
          <w:bCs/>
          <w:color w:val="0B2545"/>
        </w:rPr>
        <w:t>折射与水流全反射：</w:t>
      </w:r>
      <w:r>
        <w:t>先观察激光从空气斜射入水后向法线偏折，再让光沿弯曲水流传播。两段现象分别对应折射和全反射，也让学生理解光纤导光的基本原理。</w:t>
      </w:r>
    </w:p>
    <w:p w14:paraId="7F9AD921"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7288B774"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E76DDB8" w14:textId="77777777" w:rsidR="00A45621" w:rsidRDefault="00000000">
      <w:pPr>
        <w:pStyle w:val="2"/>
      </w:pPr>
      <w:r>
        <w:t>第 6 次课｜运动与力｜8月2日</w:t>
      </w:r>
    </w:p>
    <w:p w14:paraId="499118A0" w14:textId="3ADB2F42" w:rsidR="00706BA9" w:rsidRDefault="00000000">
      <w:pPr>
        <w:pStyle w:val="LessonQuestion"/>
      </w:pPr>
      <w:r>
        <w:t>研究问题：怎样用一辆小车观察惯性（inertia）和加速度（acceleration），并比较力（force）和质量（mass）对运动的影响？</w:t>
      </w:r>
    </w:p>
    <w:p w14:paraId="0D9DED84" w14:textId="79572A98" w:rsidR="00A45621" w:rsidRDefault="00814621">
      <w:r>
        <w:rPr>
          <w:rFonts w:hint="eastAsia"/>
        </w:rPr>
        <w:t>本节先制作并调校一辆空瓶小车，再用同一辆车完成惯性、加速度和牛顿三条运动定律的实验。</w:t>
      </w:r>
    </w:p>
    <w:p w14:paraId="36DC07AC" w14:textId="13ECB889" w:rsidR="00A45621" w:rsidRDefault="00000000">
      <w:pPr>
        <w:pStyle w:val="ParentBullet"/>
        <w:numPr>
          <w:ilvl w:val="0"/>
          <w:numId w:val="1"/>
        </w:numPr>
      </w:pPr>
      <w:r>
        <w:rPr>
          <w:b/>
          <w:bCs/>
          <w:color w:val="0B2545"/>
        </w:rPr>
        <w:t>实验 1｜惯性：</w:t>
      </w:r>
      <w:r>
        <w:t>快速弹走硬币下方的卡片，硬币基本保持原来的静止状态并落入杯中；再让小车从斜面进入水平面，观察它继续向前运动。两组现象帮助理解牛顿第一定律（Newton’s First Law）。</w:t>
      </w:r>
    </w:p>
    <w:p w14:paraId="36DC07AC" w14:textId="13ECB889" w:rsidR="00A45621" w:rsidRDefault="00000000">
      <w:pPr>
        <w:pStyle w:val="ParentBullet"/>
        <w:numPr>
          <w:ilvl w:val="0"/>
          <w:numId w:val="1"/>
        </w:numPr>
      </w:pPr>
      <w:r>
        <w:rPr>
          <w:b/>
          <w:bCs/>
          <w:color w:val="0B2545"/>
        </w:rPr>
        <w:t>实验 2｜造车与测量加速度：</w:t>
      </w:r>
      <w:r>
        <w:t>用空饮料瓶、吸管、竹签和瓶盖制作小车，并调校到能直线滚动和载重。录像时用视觉时间码（visual timecode）记录相等时间间隔内的位置；点距越来越大，说明速度（velocity）在增加，即小车有加速度。</w:t>
      </w:r>
    </w:p>
    <w:p w14:paraId="36DC07AC" w14:textId="13ECB889" w:rsidR="00A45621" w:rsidRDefault="00000000">
      <w:pPr>
        <w:pStyle w:val="ParentBullet"/>
        <w:numPr>
          <w:ilvl w:val="0"/>
          <w:numId w:val="1"/>
        </w:numPr>
      </w:pPr>
      <w:r>
        <w:rPr>
          <w:b/>
          <w:bCs/>
          <w:color w:val="0B2545"/>
        </w:rPr>
        <w:t>实验 3｜力和质量怎样影响加速度：</w:t>
      </w:r>
      <w:r>
        <w:t>用同一辆车完成 R/F/M 三种条件。R 与 F 比较时只增加悬挂硬币，牵引作用越强，加速度越大；R 与 M 比较时只增加车上载荷，质量越大，加速度越小。对应牛顿第二定律（Newton’s Second Law）。</w:t>
      </w:r>
    </w:p>
    <w:p w14:paraId="36DC07AC" w14:textId="13ECB889" w:rsidR="00A45621" w:rsidRDefault="00000000">
      <w:pPr>
        <w:pStyle w:val="ParentBullet"/>
        <w:numPr>
          <w:ilvl w:val="0"/>
          <w:numId w:val="1"/>
        </w:numPr>
      </w:pPr>
      <w:r>
        <w:rPr>
          <w:b/>
          <w:bCs/>
          <w:color w:val="0B2545"/>
        </w:rPr>
        <w:t>实验 4｜气球动力车：</w:t>
      </w:r>
      <w:r>
        <w:t>把同一辆小车改装成气球动力车。气球向后排出空气，空气同时向前推动气球和小车；两个力大小相等、方向相反，分别作用在不同物体上，对应牛顿第三定律（Newton’s Third Law）。</w:t>
      </w:r>
    </w:p>
    <w:p w14:paraId="06E0415B" w14:textId="2626AA77" w:rsidR="00B6684C" w:rsidRDefault="00000000">
      <w:pPr>
        <w:pStyle w:val="KnowledgeSummary"/>
        <w:rPr>
          <w:b/>
          <w:bCs/>
        </w:rPr>
      </w:pPr>
      <w:r>
        <w:rPr>
          <w:b/>
          <w:bCs/>
        </w:rPr>
        <w:t>结论：</w:t>
      </w:r>
      <w:r>
        <w:rPr>
          <w:rFonts w:hint="eastAsia"/>
        </w:rPr>
        <w:t>物体有保持原运动状态的惯性；其他条件相同时，合力越大，加速度越大，质量越大，加速度越小；相互作用的两个物体会同时受到方向相反的力。</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School 对应｜</w:t>
      </w:r>
      <w:r>
        <w:rPr>
          <w:rFonts w:hint="eastAsia"/>
          <w:color w:val="0B2545"/>
        </w:rPr>
        <w:t>Unit 3 — Notes 04 Vectors, Velocity, Acceleration；Notes 05–07 Newton’s Laws 1–3。覆盖速度、加速度、惯性及牛顿三条运动定律。</w:t>
      </w:r>
    </w:p>
    <w:p w14:paraId="01F2CFB6" w14:textId="77777777" w:rsidR="00A45621" w:rsidRDefault="00000000">
      <w:r>
        <w:br w:type="page"/>
      </w:r>
    </w:p>
    <w:p w14:paraId="5B172240" w14:textId="77777777" w:rsidR="00A45621" w:rsidRDefault="00000000">
      <w:pPr>
        <w:pStyle w:val="1"/>
      </w:pPr>
      <w:r>
        <w:lastRenderedPageBreak/>
        <w:t>与</w:t>
      </w:r>
      <w:r>
        <w:t xml:space="preserve"> School </w:t>
      </w:r>
      <w:r>
        <w:t>课程的对应总表</w:t>
      </w:r>
    </w:p>
    <w:p w14:paraId="2189E6BE" w14:textId="77777777" w:rsidR="00A45621" w:rsidRDefault="00000000">
      <w:r>
        <w:t>前六次课共覆盖 School 的 Unit 1、Unit 2 和 Unit 3。下表按学校材料原编号列出“哪一个 Unit、哪一节 Notes/Homework、在本课程第几次课落实”。</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49FC940E" w14:textId="77777777">
        <w:trPr>
          <w:cantSplit/>
          <w:tblHeader/>
        </w:trPr>
        <w:tc>
          <w:tcPr>
            <w:tcW w:w="1300" w:type="dxa"/>
            <w:shd w:val="clear" w:color="auto" w:fill="F2F4F7"/>
            <w:vAlign w:val="center"/>
          </w:tcPr>
          <w:p w14:paraId="4265CA4F" w14:textId="77777777" w:rsidR="00A45621" w:rsidRDefault="00000000">
            <w:pPr>
              <w:pStyle w:val="TableText"/>
              <w:jc w:val="center"/>
            </w:pPr>
            <w:r>
              <w:rPr>
                <w:b/>
                <w:bCs/>
                <w:color w:val="0B2545"/>
              </w:rPr>
              <w:t>School Unit</w:t>
            </w:r>
          </w:p>
        </w:tc>
        <w:tc>
          <w:tcPr>
            <w:tcW w:w="4200" w:type="dxa"/>
            <w:shd w:val="clear" w:color="auto" w:fill="F2F4F7"/>
            <w:vAlign w:val="center"/>
          </w:tcPr>
          <w:p w14:paraId="560F16E2"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1BEDC24E" w14:textId="77777777" w:rsidR="00A45621" w:rsidRDefault="00000000">
            <w:pPr>
              <w:pStyle w:val="TableText"/>
              <w:jc w:val="center"/>
            </w:pPr>
            <w:r>
              <w:rPr>
                <w:b/>
                <w:bCs/>
                <w:color w:val="0B2545"/>
              </w:rPr>
              <w:t>本课程</w:t>
            </w:r>
          </w:p>
        </w:tc>
        <w:tc>
          <w:tcPr>
            <w:tcW w:w="2760" w:type="dxa"/>
            <w:shd w:val="clear" w:color="auto" w:fill="F2F4F7"/>
            <w:vAlign w:val="center"/>
          </w:tcPr>
          <w:p w14:paraId="0B43FAE3" w14:textId="77777777" w:rsidR="00A45621" w:rsidRDefault="00000000">
            <w:pPr>
              <w:pStyle w:val="TableText"/>
              <w:jc w:val="center"/>
            </w:pPr>
            <w:r>
              <w:rPr>
                <w:b/>
                <w:bCs/>
                <w:color w:val="0B2545"/>
              </w:rPr>
              <w:t>覆盖说明</w:t>
            </w:r>
          </w:p>
        </w:tc>
      </w:tr>
      <w:tr w:rsidR="00A45621" w14:paraId="722FED7C" w14:textId="77777777">
        <w:trPr>
          <w:cantSplit/>
        </w:trPr>
        <w:tc>
          <w:tcPr>
            <w:tcW w:w="1300" w:type="dxa"/>
            <w:shd w:val="clear" w:color="auto" w:fill="EEF4FA"/>
            <w:vAlign w:val="center"/>
          </w:tcPr>
          <w:p w14:paraId="79C8C2C3" w14:textId="77777777" w:rsidR="00A45621" w:rsidRDefault="00000000">
            <w:pPr>
              <w:pStyle w:val="TableText"/>
              <w:jc w:val="center"/>
            </w:pPr>
            <w:r>
              <w:rPr>
                <w:b/>
                <w:bCs/>
                <w:color w:val="0B2545"/>
              </w:rPr>
              <w:t>Unit 1</w:t>
            </w:r>
          </w:p>
        </w:tc>
        <w:tc>
          <w:tcPr>
            <w:tcW w:w="4200" w:type="dxa"/>
            <w:vAlign w:val="center"/>
          </w:tcPr>
          <w:p w14:paraId="25E49F57" w14:textId="77777777" w:rsidR="00A45621" w:rsidRDefault="00000000">
            <w:pPr>
              <w:pStyle w:val="TableText"/>
            </w:pPr>
            <w:r>
              <w:t>Notes 01 · Observation and Inference</w:t>
            </w:r>
          </w:p>
        </w:tc>
        <w:tc>
          <w:tcPr>
            <w:tcW w:w="1100" w:type="dxa"/>
            <w:vAlign w:val="center"/>
          </w:tcPr>
          <w:p w14:paraId="4EC180AE" w14:textId="77777777" w:rsidR="00A45621" w:rsidRDefault="00000000">
            <w:pPr>
              <w:pStyle w:val="TableText"/>
              <w:jc w:val="center"/>
            </w:pPr>
            <w:r>
              <w:t>第</w:t>
            </w:r>
            <w:r>
              <w:t xml:space="preserve"> 1 </w:t>
            </w:r>
            <w:r>
              <w:t>次课</w:t>
            </w:r>
          </w:p>
        </w:tc>
        <w:tc>
          <w:tcPr>
            <w:tcW w:w="2760" w:type="dxa"/>
            <w:vAlign w:val="center"/>
          </w:tcPr>
          <w:p w14:paraId="70727643" w14:textId="77777777" w:rsidR="00A45621" w:rsidRDefault="00000000">
            <w:pPr>
              <w:pStyle w:val="TableText"/>
            </w:pPr>
            <w:r>
              <w:t>核心覆盖；后续实验持续使用</w:t>
            </w:r>
          </w:p>
        </w:tc>
      </w:tr>
      <w:tr w:rsidR="00A45621" w14:paraId="5040C4B3" w14:textId="77777777">
        <w:trPr>
          <w:cantSplit/>
        </w:trPr>
        <w:tc>
          <w:tcPr>
            <w:tcW w:w="1300" w:type="dxa"/>
            <w:shd w:val="clear" w:color="auto" w:fill="EEF4FA"/>
            <w:vAlign w:val="center"/>
          </w:tcPr>
          <w:p w14:paraId="33B6A5B5" w14:textId="77777777" w:rsidR="00A45621" w:rsidRDefault="00000000">
            <w:pPr>
              <w:pStyle w:val="TableText"/>
              <w:jc w:val="center"/>
            </w:pPr>
            <w:r>
              <w:rPr>
                <w:b/>
                <w:bCs/>
                <w:color w:val="0B2545"/>
              </w:rPr>
              <w:t>Unit 1</w:t>
            </w:r>
          </w:p>
        </w:tc>
        <w:tc>
          <w:tcPr>
            <w:tcW w:w="4200" w:type="dxa"/>
            <w:vAlign w:val="center"/>
          </w:tcPr>
          <w:p w14:paraId="00FFEDBE" w14:textId="77777777" w:rsidR="00A45621" w:rsidRDefault="00000000">
            <w:pPr>
              <w:pStyle w:val="TableText"/>
            </w:pPr>
            <w:r>
              <w:t>Notes 02 · Quantitative and Qualitative Data</w:t>
            </w:r>
          </w:p>
        </w:tc>
        <w:tc>
          <w:tcPr>
            <w:tcW w:w="1100" w:type="dxa"/>
            <w:vAlign w:val="center"/>
          </w:tcPr>
          <w:p w14:paraId="75505575" w14:textId="77777777" w:rsidR="00A45621" w:rsidRDefault="00000000">
            <w:pPr>
              <w:pStyle w:val="TableText"/>
              <w:jc w:val="center"/>
            </w:pPr>
            <w:r>
              <w:t>第</w:t>
            </w:r>
            <w:r>
              <w:t xml:space="preserve"> 1 </w:t>
            </w:r>
            <w:r>
              <w:t>次课</w:t>
            </w:r>
          </w:p>
        </w:tc>
        <w:tc>
          <w:tcPr>
            <w:tcW w:w="2760" w:type="dxa"/>
            <w:vAlign w:val="center"/>
          </w:tcPr>
          <w:p w14:paraId="25EB55A1" w14:textId="77777777" w:rsidR="00A45621" w:rsidRDefault="00000000">
            <w:pPr>
              <w:pStyle w:val="TableText"/>
            </w:pPr>
            <w:r>
              <w:t>核心覆盖；定性观察与定量测量</w:t>
            </w:r>
          </w:p>
        </w:tc>
      </w:tr>
      <w:tr w:rsidR="00A45621" w14:paraId="48F383C4" w14:textId="77777777">
        <w:trPr>
          <w:cantSplit/>
        </w:trPr>
        <w:tc>
          <w:tcPr>
            <w:tcW w:w="1300" w:type="dxa"/>
            <w:shd w:val="clear" w:color="auto" w:fill="EEF4FA"/>
            <w:vAlign w:val="center"/>
          </w:tcPr>
          <w:p w14:paraId="5FC6DE3E" w14:textId="77777777" w:rsidR="00A45621" w:rsidRDefault="00000000">
            <w:pPr>
              <w:pStyle w:val="TableText"/>
              <w:jc w:val="center"/>
            </w:pPr>
            <w:r>
              <w:rPr>
                <w:b/>
                <w:bCs/>
                <w:color w:val="0B2545"/>
              </w:rPr>
              <w:t>Unit 1</w:t>
            </w:r>
          </w:p>
        </w:tc>
        <w:tc>
          <w:tcPr>
            <w:tcW w:w="4200" w:type="dxa"/>
            <w:vAlign w:val="center"/>
          </w:tcPr>
          <w:p w14:paraId="6B48DAD8" w14:textId="77777777" w:rsidR="00A45621" w:rsidRDefault="00000000">
            <w:pPr>
              <w:pStyle w:val="TableText"/>
            </w:pPr>
            <w:r>
              <w:t>Notes 03 · Testable Questions</w:t>
            </w:r>
          </w:p>
        </w:tc>
        <w:tc>
          <w:tcPr>
            <w:tcW w:w="1100" w:type="dxa"/>
            <w:vAlign w:val="center"/>
          </w:tcPr>
          <w:p w14:paraId="65008701" w14:textId="77777777" w:rsidR="00A45621" w:rsidRDefault="00000000">
            <w:pPr>
              <w:pStyle w:val="TableText"/>
              <w:jc w:val="center"/>
            </w:pPr>
            <w:r>
              <w:t>第</w:t>
            </w:r>
            <w:r>
              <w:t xml:space="preserve"> 1 </w:t>
            </w:r>
            <w:r>
              <w:t>次课</w:t>
            </w:r>
          </w:p>
        </w:tc>
        <w:tc>
          <w:tcPr>
            <w:tcW w:w="2760" w:type="dxa"/>
            <w:vAlign w:val="center"/>
          </w:tcPr>
          <w:p w14:paraId="604818FD" w14:textId="77777777" w:rsidR="00A45621" w:rsidRDefault="00000000">
            <w:pPr>
              <w:pStyle w:val="TableText"/>
            </w:pPr>
            <w:r>
              <w:t>核心覆盖；变量与公平实验</w:t>
            </w:r>
          </w:p>
        </w:tc>
      </w:tr>
      <w:tr w:rsidR="00A45621" w14:paraId="54E47CBE" w14:textId="77777777">
        <w:trPr>
          <w:cantSplit/>
        </w:trPr>
        <w:tc>
          <w:tcPr>
            <w:tcW w:w="1300" w:type="dxa"/>
            <w:shd w:val="clear" w:color="auto" w:fill="F6F2E8"/>
            <w:vAlign w:val="center"/>
          </w:tcPr>
          <w:p w14:paraId="4112D896" w14:textId="77777777" w:rsidR="00A45621" w:rsidRDefault="00000000">
            <w:pPr>
              <w:pStyle w:val="TableText"/>
              <w:jc w:val="center"/>
            </w:pPr>
            <w:r>
              <w:rPr>
                <w:b/>
                <w:bCs/>
                <w:color w:val="0B2545"/>
              </w:rPr>
              <w:t>Unit 2</w:t>
            </w:r>
          </w:p>
        </w:tc>
        <w:tc>
          <w:tcPr>
            <w:tcW w:w="4200" w:type="dxa"/>
            <w:vAlign w:val="center"/>
          </w:tcPr>
          <w:p w14:paraId="0B0BB8EE" w14:textId="77777777" w:rsidR="00A45621" w:rsidRDefault="00000000">
            <w:pPr>
              <w:pStyle w:val="TableText"/>
            </w:pPr>
            <w:r>
              <w:t>Notes 01 · Phases of Matter</w:t>
            </w:r>
          </w:p>
        </w:tc>
        <w:tc>
          <w:tcPr>
            <w:tcW w:w="1100" w:type="dxa"/>
            <w:vAlign w:val="center"/>
          </w:tcPr>
          <w:p w14:paraId="5BC22C0B" w14:textId="77777777" w:rsidR="00A45621" w:rsidRDefault="00000000">
            <w:pPr>
              <w:pStyle w:val="TableText"/>
              <w:jc w:val="center"/>
            </w:pPr>
            <w:r>
              <w:t>第</w:t>
            </w:r>
            <w:r>
              <w:t xml:space="preserve"> 3 </w:t>
            </w:r>
            <w:r>
              <w:t>次课</w:t>
            </w:r>
          </w:p>
        </w:tc>
        <w:tc>
          <w:tcPr>
            <w:tcW w:w="2760" w:type="dxa"/>
            <w:vAlign w:val="center"/>
          </w:tcPr>
          <w:p w14:paraId="43209AEE" w14:textId="77777777" w:rsidR="00A45621" w:rsidRDefault="00000000">
            <w:pPr>
              <w:pStyle w:val="TableText"/>
            </w:pPr>
            <w:r>
              <w:t>核心覆盖；三态、相变及变化判断</w:t>
            </w:r>
          </w:p>
        </w:tc>
      </w:tr>
      <w:tr w:rsidR="00A45621" w14:paraId="03743FFD" w14:textId="77777777">
        <w:trPr>
          <w:cantSplit/>
        </w:trPr>
        <w:tc>
          <w:tcPr>
            <w:tcW w:w="1300" w:type="dxa"/>
            <w:shd w:val="clear" w:color="auto" w:fill="F6F2E8"/>
            <w:vAlign w:val="center"/>
          </w:tcPr>
          <w:p w14:paraId="5C926E85" w14:textId="77777777" w:rsidR="00A45621" w:rsidRDefault="00000000">
            <w:pPr>
              <w:pStyle w:val="TableText"/>
              <w:jc w:val="center"/>
            </w:pPr>
            <w:r>
              <w:rPr>
                <w:b/>
                <w:bCs/>
                <w:color w:val="0B2545"/>
              </w:rPr>
              <w:t>Unit 2</w:t>
            </w:r>
          </w:p>
        </w:tc>
        <w:tc>
          <w:tcPr>
            <w:tcW w:w="4200" w:type="dxa"/>
            <w:vAlign w:val="center"/>
          </w:tcPr>
          <w:p w14:paraId="78A6DAED" w14:textId="77777777" w:rsidR="00A45621" w:rsidRDefault="00000000">
            <w:pPr>
              <w:pStyle w:val="TableText"/>
            </w:pPr>
            <w:r>
              <w:t>Notes 02 · Mixtures and Solutions</w:t>
            </w:r>
          </w:p>
        </w:tc>
        <w:tc>
          <w:tcPr>
            <w:tcW w:w="1100" w:type="dxa"/>
            <w:vAlign w:val="center"/>
          </w:tcPr>
          <w:p w14:paraId="3429A48B" w14:textId="77777777" w:rsidR="00A45621" w:rsidRDefault="00000000">
            <w:pPr>
              <w:pStyle w:val="TableText"/>
              <w:jc w:val="center"/>
            </w:pPr>
            <w:r>
              <w:t>第</w:t>
            </w:r>
            <w:r>
              <w:t xml:space="preserve"> 2 </w:t>
            </w:r>
            <w:r>
              <w:t>次课</w:t>
            </w:r>
          </w:p>
        </w:tc>
        <w:tc>
          <w:tcPr>
            <w:tcW w:w="2760" w:type="dxa"/>
            <w:vAlign w:val="center"/>
          </w:tcPr>
          <w:p w14:paraId="3C9A3872" w14:textId="77777777" w:rsidR="00A45621" w:rsidRDefault="00000000">
            <w:pPr>
              <w:pStyle w:val="TableText"/>
            </w:pPr>
            <w:r>
              <w:t>核心覆盖；第</w:t>
            </w:r>
            <w:r>
              <w:t xml:space="preserve"> 3 </w:t>
            </w:r>
            <w:r>
              <w:t>次课回看证据</w:t>
            </w:r>
          </w:p>
        </w:tc>
      </w:tr>
      <w:tr w:rsidR="00A45621" w14:paraId="74C44E41" w14:textId="77777777">
        <w:trPr>
          <w:cantSplit/>
        </w:trPr>
        <w:tc>
          <w:tcPr>
            <w:tcW w:w="1300" w:type="dxa"/>
            <w:shd w:val="clear" w:color="auto" w:fill="F6F2E8"/>
            <w:vAlign w:val="center"/>
          </w:tcPr>
          <w:p w14:paraId="1DC786D5" w14:textId="77777777" w:rsidR="00A45621" w:rsidRDefault="00000000">
            <w:pPr>
              <w:pStyle w:val="TableText"/>
              <w:jc w:val="center"/>
            </w:pPr>
            <w:r>
              <w:rPr>
                <w:b/>
                <w:bCs/>
                <w:color w:val="0B2545"/>
              </w:rPr>
              <w:t>Unit 2</w:t>
            </w:r>
          </w:p>
        </w:tc>
        <w:tc>
          <w:tcPr>
            <w:tcW w:w="4200" w:type="dxa"/>
            <w:vAlign w:val="center"/>
          </w:tcPr>
          <w:p w14:paraId="0A8C5C85" w14:textId="77777777" w:rsidR="00A45621" w:rsidRDefault="00000000">
            <w:pPr>
              <w:pStyle w:val="TableText"/>
            </w:pPr>
            <w:r>
              <w:t>Notes 03 · Atoms and Period Square</w:t>
            </w:r>
          </w:p>
        </w:tc>
        <w:tc>
          <w:tcPr>
            <w:tcW w:w="1100" w:type="dxa"/>
            <w:vAlign w:val="center"/>
          </w:tcPr>
          <w:p w14:paraId="45C60434" w14:textId="77777777" w:rsidR="00A45621" w:rsidRDefault="00000000">
            <w:pPr>
              <w:pStyle w:val="TableText"/>
              <w:jc w:val="center"/>
            </w:pPr>
            <w:r>
              <w:t>第</w:t>
            </w:r>
            <w:r>
              <w:t xml:space="preserve"> 3 </w:t>
            </w:r>
            <w:r>
              <w:t>次课</w:t>
            </w:r>
          </w:p>
        </w:tc>
        <w:tc>
          <w:tcPr>
            <w:tcW w:w="2760" w:type="dxa"/>
            <w:vAlign w:val="center"/>
          </w:tcPr>
          <w:p w14:paraId="589C06F8" w14:textId="77777777" w:rsidR="00A45621" w:rsidRDefault="00000000">
            <w:pPr>
              <w:pStyle w:val="TableText"/>
            </w:pPr>
            <w:r>
              <w:t>基础衔接；原子、元素与原子重组</w:t>
            </w:r>
          </w:p>
        </w:tc>
      </w:tr>
      <w:tr w:rsidR="00A45621" w14:paraId="121A7DE7" w14:textId="77777777">
        <w:trPr>
          <w:cantSplit/>
        </w:trPr>
        <w:tc>
          <w:tcPr>
            <w:tcW w:w="1300" w:type="dxa"/>
            <w:shd w:val="clear" w:color="auto" w:fill="EEF5F0"/>
            <w:vAlign w:val="center"/>
          </w:tcPr>
          <w:p w14:paraId="29FAFE9D" w14:textId="77777777" w:rsidR="00A45621" w:rsidRDefault="00000000">
            <w:pPr>
              <w:pStyle w:val="TableText"/>
              <w:jc w:val="center"/>
            </w:pPr>
            <w:r>
              <w:rPr>
                <w:b/>
                <w:bCs/>
                <w:color w:val="0B2545"/>
              </w:rPr>
              <w:t>Unit 3</w:t>
            </w:r>
          </w:p>
        </w:tc>
        <w:tc>
          <w:tcPr>
            <w:tcW w:w="4200" w:type="dxa"/>
            <w:vAlign w:val="center"/>
          </w:tcPr>
          <w:p w14:paraId="1D068F33" w14:textId="77777777" w:rsidR="00A45621" w:rsidRDefault="00000000">
            <w:pPr>
              <w:pStyle w:val="TableText"/>
            </w:pPr>
            <w:r>
              <w:t>Notes 01 · Energy Forms and Transfers</w:t>
            </w:r>
          </w:p>
        </w:tc>
        <w:tc>
          <w:tcPr>
            <w:tcW w:w="1100" w:type="dxa"/>
            <w:vAlign w:val="center"/>
          </w:tcPr>
          <w:p w14:paraId="1FB059EB" w14:textId="77777777" w:rsidR="00A45621" w:rsidRDefault="00000000">
            <w:pPr>
              <w:pStyle w:val="TableText"/>
              <w:jc w:val="center"/>
            </w:pPr>
            <w:r>
              <w:t>第</w:t>
            </w:r>
            <w:r>
              <w:t xml:space="preserve"> 4 </w:t>
            </w:r>
            <w:r>
              <w:t>次课</w:t>
            </w:r>
          </w:p>
        </w:tc>
        <w:tc>
          <w:tcPr>
            <w:tcW w:w="2760" w:type="dxa"/>
            <w:vAlign w:val="center"/>
          </w:tcPr>
          <w:p w14:paraId="4B763D4D" w14:textId="77777777" w:rsidR="00A45621" w:rsidRDefault="00000000">
            <w:pPr>
              <w:pStyle w:val="TableText"/>
            </w:pPr>
            <w:r>
              <w:t>入门覆盖；能量转移与转化</w:t>
            </w:r>
          </w:p>
        </w:tc>
      </w:tr>
      <w:tr w:rsidR="00A45621" w14:paraId="5D3B0F2F" w14:textId="77777777">
        <w:trPr>
          <w:cantSplit/>
        </w:trPr>
        <w:tc>
          <w:tcPr>
            <w:tcW w:w="1300" w:type="dxa"/>
            <w:shd w:val="clear" w:color="auto" w:fill="EEF5F0"/>
            <w:vAlign w:val="center"/>
          </w:tcPr>
          <w:p w14:paraId="1D5CD2F9" w14:textId="77777777" w:rsidR="00A45621" w:rsidRDefault="00000000">
            <w:pPr>
              <w:pStyle w:val="TableText"/>
              <w:jc w:val="center"/>
            </w:pPr>
            <w:r>
              <w:rPr>
                <w:b/>
                <w:bCs/>
                <w:color w:val="0B2545"/>
              </w:rPr>
              <w:t>Unit 3</w:t>
            </w:r>
          </w:p>
        </w:tc>
        <w:tc>
          <w:tcPr>
            <w:tcW w:w="4200" w:type="dxa"/>
            <w:vAlign w:val="center"/>
          </w:tcPr>
          <w:p w14:paraId="0D165BF3" w14:textId="77777777" w:rsidR="00A45621" w:rsidRDefault="00000000">
            <w:pPr>
              <w:pStyle w:val="TableText"/>
            </w:pPr>
            <w:r>
              <w:t>Notes 02 · Thermal Energy Transfer</w:t>
            </w:r>
          </w:p>
        </w:tc>
        <w:tc>
          <w:tcPr>
            <w:tcW w:w="1100" w:type="dxa"/>
            <w:vAlign w:val="center"/>
          </w:tcPr>
          <w:p w14:paraId="2DD22350" w14:textId="77777777" w:rsidR="00A45621" w:rsidRDefault="00000000">
            <w:pPr>
              <w:pStyle w:val="TableText"/>
              <w:jc w:val="center"/>
            </w:pPr>
            <w:r>
              <w:t>第</w:t>
            </w:r>
            <w:r>
              <w:t xml:space="preserve"> 4 </w:t>
            </w:r>
            <w:r>
              <w:t>次课</w:t>
            </w:r>
          </w:p>
        </w:tc>
        <w:tc>
          <w:tcPr>
            <w:tcW w:w="2760" w:type="dxa"/>
            <w:vAlign w:val="center"/>
          </w:tcPr>
          <w:p w14:paraId="71A18A14" w14:textId="77777777" w:rsidR="00A45621" w:rsidRDefault="00000000">
            <w:pPr>
              <w:pStyle w:val="TableText"/>
            </w:pPr>
            <w:r>
              <w:t>核心覆盖；传导、对流、辐射</w:t>
            </w:r>
          </w:p>
        </w:tc>
      </w:tr>
      <w:tr w:rsidR="00A45621" w14:paraId="5667234B" w14:textId="77777777">
        <w:trPr>
          <w:cantSplit/>
        </w:trPr>
        <w:tc>
          <w:tcPr>
            <w:tcW w:w="1300" w:type="dxa"/>
            <w:shd w:val="clear" w:color="auto" w:fill="EEF5F0"/>
            <w:vAlign w:val="center"/>
          </w:tcPr>
          <w:p w14:paraId="3DC269E6" w14:textId="77777777" w:rsidR="00A45621" w:rsidRDefault="00000000">
            <w:pPr>
              <w:pStyle w:val="TableText"/>
              <w:jc w:val="center"/>
            </w:pPr>
            <w:r>
              <w:rPr>
                <w:b/>
                <w:bCs/>
                <w:color w:val="0B2545"/>
              </w:rPr>
              <w:t>Unit 3</w:t>
            </w:r>
          </w:p>
        </w:tc>
        <w:tc>
          <w:tcPr>
            <w:tcW w:w="4200" w:type="dxa"/>
            <w:vAlign w:val="center"/>
          </w:tcPr>
          <w:p w14:paraId="66655EA4" w14:textId="77777777" w:rsidR="00A45621" w:rsidRDefault="00000000">
            <w:pPr>
              <w:pStyle w:val="TableText"/>
            </w:pPr>
            <w:r>
              <w:t>Notes 03 · Electromagnetic Spectrum</w:t>
            </w:r>
          </w:p>
        </w:tc>
        <w:tc>
          <w:tcPr>
            <w:tcW w:w="1100" w:type="dxa"/>
            <w:vAlign w:val="center"/>
          </w:tcPr>
          <w:p w14:paraId="59EC9B5C" w14:textId="77777777" w:rsidR="00A45621" w:rsidRDefault="00000000">
            <w:pPr>
              <w:pStyle w:val="TableText"/>
              <w:jc w:val="center"/>
            </w:pPr>
            <w:r>
              <w:t>第</w:t>
            </w:r>
            <w:r>
              <w:t xml:space="preserve"> 5 </w:t>
            </w:r>
            <w:r>
              <w:t>次课</w:t>
            </w:r>
          </w:p>
        </w:tc>
        <w:tc>
          <w:tcPr>
            <w:tcW w:w="2760" w:type="dxa"/>
            <w:vAlign w:val="center"/>
          </w:tcPr>
          <w:p w14:paraId="6510F3D5" w14:textId="77777777" w:rsidR="00A45621" w:rsidRDefault="00000000">
            <w:pPr>
              <w:pStyle w:val="TableText"/>
            </w:pPr>
            <w:r>
              <w:t>聚焦可见光及光与物质作用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04 · Vectors, Velocity, Acceleration</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核心覆盖；速度、加速度与等时位置数据</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05 · Newton’s First Law</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核心覆盖；惯性与平衡力</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06 · Newton’s Second Law</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核心覆盖；力、质量与加速度</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Notes 07 · Newton’s Third Law</w:t>
            </w:r>
          </w:p>
        </w:tc>
        <w:tc>
          <w:tcPr>
            <w:tcW w:w="1100" w:type="dxa"/>
            <w:vAlign w:val="center"/>
          </w:tcPr>
          <w:p w14:paraId="31B4B726" w14:textId="77777777" w:rsidR="00A45621" w:rsidRDefault="00000000">
            <w:pPr>
              <w:pStyle w:val="TableText"/>
              <w:jc w:val="center"/>
            </w:pPr>
            <w:r>
              <w:t>第 6 次课</w:t>
            </w:r>
          </w:p>
        </w:tc>
        <w:tc>
          <w:tcPr>
            <w:tcW w:w="2760" w:type="dxa"/>
            <w:vAlign w:val="center"/>
          </w:tcPr>
          <w:p w14:paraId="7CE2EE10" w14:textId="77777777" w:rsidR="00A45621" w:rsidRDefault="00000000">
            <w:pPr>
              <w:pStyle w:val="TableText"/>
            </w:pPr>
            <w:r>
              <w:t>核心覆盖；气球动力车的作用—反作用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Homework 02 · Light Energy Book</w:t>
            </w:r>
          </w:p>
        </w:tc>
        <w:tc>
          <w:tcPr>
            <w:tcW w:w="1100" w:type="dxa"/>
            <w:vAlign w:val="center"/>
          </w:tcPr>
          <w:p w14:paraId="31B4B726" w14:textId="77777777" w:rsidR="00A45621" w:rsidRDefault="00000000">
            <w:pPr>
              <w:pStyle w:val="TableText"/>
              <w:jc w:val="center"/>
            </w:pPr>
            <w:r>
              <w:t>第</w:t>
            </w:r>
            <w:r>
              <w:t xml:space="preserve"> 5 </w:t>
            </w:r>
            <w:r>
              <w:t>次课</w:t>
            </w:r>
          </w:p>
        </w:tc>
        <w:tc>
          <w:tcPr>
            <w:tcW w:w="2760" w:type="dxa"/>
            <w:vAlign w:val="center"/>
          </w:tcPr>
          <w:p w14:paraId="7CE2EE10" w14:textId="77777777" w:rsidR="00A45621" w:rsidRDefault="00000000">
            <w:pPr>
              <w:pStyle w:val="TableText"/>
            </w:pPr>
            <w:r>
              <w:t>用四组实验完成应用与解释</w:t>
            </w:r>
          </w:p>
        </w:tc>
      </w:tr>
    </w:tbl>
    <w:p w14:paraId="63DFE96F" w14:textId="77777777" w:rsidR="00A45621" w:rsidRDefault="00000000">
      <w:pPr>
        <w:pStyle w:val="2"/>
      </w:pPr>
      <w:r>
        <w:t>覆盖范围说明</w:t>
      </w:r>
    </w:p>
    <w:p w14:paraId="200B420F"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的科学方法核心已经覆盖，并继续贯穿第 2–6 次课</w:t>
      </w:r>
      <w:r>
        <w:t xml:space="preserve"/>
      </w:r>
      <w:r>
        <w:t>。</w:t>
      </w:r>
    </w:p>
    <w:p w14:paraId="6AF20127"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61232EDA" w14:textId="77777777" w:rsidR="00A45621" w:rsidRDefault="00000000">
      <w:pPr>
        <w:pStyle w:val="ParentBullet"/>
        <w:numPr>
          <w:ilvl w:val="0"/>
          <w:numId w:val="1"/>
        </w:numPr>
      </w:pPr>
      <w:r>
        <w:rPr>
          <w:b/>
          <w:bCs/>
          <w:color w:val="0B2545"/>
        </w:rPr>
        <w:t>Unit 3：Notes 01 完成能量转移/转化的入口，Notes 02 完成三种热传递核心，Notes 03 完成可见光及光与物质作用的重点；第 6 次课进一步覆盖 Notes 04 的速度、加速度，以及 Notes 05–07 的牛顿三条运动定律。</w:t>
      </w:r>
    </w:p>
    <w:p w14:paraId="1DC93A70" w14:textId="77777777" w:rsidR="00A45621" w:rsidRDefault="00000000">
      <w:pPr>
        <w:pStyle w:val="ParentBullet"/>
        <w:numPr>
          <w:ilvl w:val="0"/>
          <w:numId w:val="1"/>
        </w:numPr>
      </w:pPr>
      <w:r>
        <w:rPr>
          <w:b/>
          <w:bCs/>
          <w:color w:val="0B2545"/>
        </w:rPr>
        <w:t>Unit 4–5</w:t>
      </w:r>
      <w:r>
        <w:rPr>
          <w:b/>
          <w:bCs/>
          <w:color w:val="0B2545"/>
        </w:rPr>
        <w:t>：</w:t>
      </w:r>
      <w:r>
        <w:t>生命科学与空间科学不在第 1–6 次课范围内</w:t>
      </w:r>
      <w:r>
        <w:t xml:space="preserve"/>
      </w:r>
      <w:r>
        <w:t>，将在后续阶段展开。</w:t>
      </w:r>
    </w:p>
    <w:p w14:paraId="4BD39AFA" w14:textId="77777777" w:rsidR="00A45621" w:rsidRDefault="00000000">
      <w:pPr>
        <w:pStyle w:val="2"/>
      </w:pPr>
      <w:r>
        <w:lastRenderedPageBreak/>
        <w:t>本阶段形成的学习习惯</w:t>
      </w:r>
    </w:p>
    <w:p w14:paraId="0FED3CD1"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1B42E928"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70F7651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5DEE2115"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13781B0B"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。这正是前六次课反复练习的科学思维。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29CC" w14:textId="77777777" w:rsidR="00BE69EA" w:rsidRDefault="00BE69EA">
      <w:pPr>
        <w:spacing w:after="0" w:line="240" w:lineRule="auto"/>
      </w:pPr>
      <w:r>
        <w:separator/>
      </w:r>
    </w:p>
  </w:endnote>
  <w:endnote w:type="continuationSeparator" w:id="0">
    <w:p w14:paraId="3F6BF1E7" w14:textId="77777777" w:rsidR="00BE69EA" w:rsidRDefault="00BE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B"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412" w14:textId="77777777" w:rsidR="00BE69EA" w:rsidRDefault="00BE69EA">
      <w:pPr>
        <w:spacing w:after="0" w:line="240" w:lineRule="auto"/>
      </w:pPr>
      <w:r>
        <w:separator/>
      </w:r>
    </w:p>
  </w:footnote>
  <w:footnote w:type="continuationSeparator" w:id="0">
    <w:p w14:paraId="1AAC016F" w14:textId="77777777" w:rsidR="00BE69EA" w:rsidRDefault="00BE6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E095"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mc:Ignorable="w14 w15 w16se w16cid w16 w16cex w16sdtdh w16sdtfl w16du wp14">
  <w:abstractNum w:abstractNumId="0" w15:restartNumberingAfterBreak="0">
    <w:nsid w:val="432357B3"/>
    <w:multiLevelType w:val="multi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lvl w:ilvl="1">
      <w:start w:val="1"/>
      <w:numFmt w:val="bullet"/>
      <w:lvlText w:val="◦"/>
      <w:lvlJc w:val="left"/>
      <w:pPr>
        <w:tabs>
          <w:tab w:val="num" w:pos="1080"/>
        </w:tabs>
        <w:spacing w:after="80" w:line="280" w:lineRule="auto"/>
        <w:ind w:left="1080" w:hanging="300"/>
      </w:pPr>
      <w:rPr>
        <w:rFonts w:ascii="Calibri" w:eastAsia="微软雅黑" w:hAnsi="Calibri"/>
        <w:color w:val="5B6573"/>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2F1136"/>
    <w:rsid w:val="004C7A94"/>
    <w:rsid w:val="00586E02"/>
    <w:rsid w:val="006E349A"/>
    <w:rsid w:val="00706BA9"/>
    <w:rsid w:val="00717DF8"/>
    <w:rsid w:val="00761617"/>
    <w:rsid w:val="00793CC6"/>
    <w:rsid w:val="007C0166"/>
    <w:rsid w:val="00814621"/>
    <w:rsid w:val="00996D31"/>
    <w:rsid w:val="00A45621"/>
    <w:rsid w:val="00B6684C"/>
    <w:rsid w:val="00BE69EA"/>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D2BE"/>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2077</Words>
  <Characters>2659</Characters>
  <Application>Microsoft Office Word</Application>
  <DocSecurity>0</DocSecurity>
  <Lines>91</Lines>
  <Paragraphs>105</Paragraphs>
  <ScaleCrop>false</ScaleCrop>
  <Company>Science G5</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1</cp:revision>
  <dcterms:created xsi:type="dcterms:W3CDTF">2026-08-02T00:00:00Z</dcterms:created>
  <dcterms:modified xsi:type="dcterms:W3CDTF">2026-08-02T16:56:00Z</dcterms:modified>
</cp:coreProperties>
</file>