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SUPERCORE COMMERCE OS</w:t>
      </w:r>
    </w:p>
    <w:p/>
    <w:p>
      <w:pPr>
        <w:pStyle w:val="Heading2"/>
      </w:pPr>
      <w:r>
        <w:t xml:space="preserve">External Reference Clones v1.0</w:t>
      </w:r>
    </w:p>
    <w:p/>
    <w:p>
      <w:r>
        <w:t xml:space="preserve">Document type: Development lookup map (not a numbered phase)  </w:t>
      </w:r>
    </w:p>
    <w:p>
      <w:r>
        <w:t xml:space="preserve">Status: Active  </w:t>
      </w:r>
    </w:p>
    <w:p>
      <w:r>
        <w:t xml:space="preserve">Date: 2026-09-17</w:t>
      </w:r>
    </w:p>
    <w:p/>
    <w:p>
      <w:r>
        <w:t xml:space="preserve">Local clones live in references/. They are comparison trees. They are not runtimes, not phases, and not the system of record.</w:t>
      </w:r>
    </w:p>
    <w:p/>
    <w:p>
      <w:r>
        <w:t xml:space="preserve">How we build:</w:t>
      </w:r>
    </w:p>
    <w:p/>
    <w:p>
      <w:pPr>
        <w:pStyle w:val="Code"/>
      </w:pPr>
      <w:r>
        <w:rPr>
          <w:rFonts w:ascii="Consolas" w:hAnsi="Consolas"/>
          <w:sz w:val="18"/>
        </w:rPr>
        <w:t xml:space="preserve">specs/  (canonical rules)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 xml:space="preserve">apps/ + packages/  (canonical code)</w:t>
      </w:r>
    </w:p>
    <w:p>
      <w:pPr>
        <w:pStyle w:val="Code"/>
      </w:pPr>
      <w:r>
        <w:rPr>
          <w:rFonts w:ascii="Consolas" w:hAnsi="Consolas"/>
          <w:sz w:val="18"/>
        </w:rPr>
        <w:t xml:space="preserve">    ↓</w:t>
      </w:r>
    </w:p>
    <w:p>
      <w:pPr>
        <w:pStyle w:val="Code"/>
      </w:pPr>
      <w:r>
        <w:rPr>
          <w:rFonts w:ascii="Consolas" w:hAnsi="Consolas"/>
          <w:sz w:val="18"/>
        </w:rPr>
        <w:t xml:space="preserve">references/  (optional look-up: how another product modelled a similar problem)</w:t>
      </w:r>
    </w:p>
    <w:p/>
    <w:p>
      <w:r>
        <w:t xml:space="preserve">A pattern seen in Vendure, ERPNext, or Frappe CRM may inform a design conversation. It does not become a Supercore business rule until it is written into an approved phase spec or ADR.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1. Trees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t xml:space="preserve">Path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Upstream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Typical lookup</w:t>
            </w:r>
          </w:p>
        </w:tc>
      </w:tr>
      <w:tr>
        <w:tc>
          <w:tcPr>
            <w:tcW w:w="3000" w:type="dxa"/>
          </w:tcPr>
          <w:p>
            <w:r>
              <w:t xml:space="preserve">`references/vendure/`</w:t>
            </w:r>
          </w:p>
        </w:tc>
        <w:tc>
          <w:tcPr>
            <w:tcW w:w="3000" w:type="dxa"/>
          </w:tcPr>
          <w:p>
            <w:r>
              <w:t xml:space="preserve">https://github.com/vendure-ecommerce/vendure</w:t>
            </w:r>
          </w:p>
        </w:tc>
        <w:tc>
          <w:tcPr>
            <w:tcW w:w="3000" w:type="dxa"/>
          </w:tcPr>
          <w:p>
            <w:r>
              <w:t xml:space="preserve">Catalog, variant, order, payment plugin, GraphQL admin</w:t>
            </w:r>
          </w:p>
        </w:tc>
      </w:tr>
      <w:tr>
        <w:tc>
          <w:tcPr>
            <w:tcW w:w="3000" w:type="dxa"/>
          </w:tcPr>
          <w:p>
            <w:r>
              <w:t xml:space="preserve">`references/erpnext/`</w:t>
            </w:r>
          </w:p>
        </w:tc>
        <w:tc>
          <w:tcPr>
            <w:tcW w:w="3000" w:type="dxa"/>
          </w:tcPr>
          <w:p>
            <w:r>
              <w:t xml:space="preserve">https://github.com/frappe/erpnext</w:t>
            </w:r>
          </w:p>
        </w:tc>
        <w:tc>
          <w:tcPr>
            <w:tcW w:w="3000" w:type="dxa"/>
          </w:tcPr>
          <w:p>
            <w:r>
              <w:t xml:space="preserve">Chart of accounts, journal, stock, purchase order, invoice</w:t>
            </w:r>
          </w:p>
        </w:tc>
      </w:tr>
      <w:tr>
        <w:tc>
          <w:tcPr>
            <w:tcW w:w="3000" w:type="dxa"/>
          </w:tcPr>
          <w:p>
            <w:r>
              <w:t xml:space="preserve">`references/frappe-crm/`</w:t>
            </w:r>
          </w:p>
        </w:tc>
        <w:tc>
          <w:tcPr>
            <w:tcW w:w="3000" w:type="dxa"/>
          </w:tcPr>
          <w:p>
            <w:r>
              <w:t xml:space="preserve">https://github.com/frappe/crm</w:t>
            </w:r>
          </w:p>
        </w:tc>
        <w:tc>
          <w:tcPr>
            <w:tcW w:w="3000" w:type="dxa"/>
          </w:tcPr>
          <w:p>
            <w:r>
              <w:t xml:space="preserve">Lead, organization, deal, activity</w:t>
            </w:r>
          </w:p>
        </w:tc>
      </w:tr>
      <w:tr>
        <w:tc>
          <w:tcPr>
            <w:tcW w:w="3000" w:type="dxa"/>
          </w:tcPr>
          <w:p>
            <w:r>
              <w:t xml:space="preserve">`references/frappe/`</w:t>
            </w:r>
          </w:p>
        </w:tc>
        <w:tc>
          <w:tcPr>
            <w:tcW w:w="3000" w:type="dxa"/>
          </w:tcPr>
          <w:p>
            <w:r>
              <w:t xml:space="preserve">https://github.com/frappe/frappe</w:t>
            </w:r>
          </w:p>
        </w:tc>
        <w:tc>
          <w:tcPr>
            <w:tcW w:w="3000" w:type="dxa"/>
          </w:tcPr>
          <w:p>
            <w:r>
              <w:t xml:space="preserve">DocType, permissions, desk — framework only</w:t>
            </w:r>
          </w:p>
        </w:tc>
      </w:tr>
    </w:tbl>
    <w:p/>
    <w:p>
      <w:r>
        <w:t xml:space="preserve">Clone recreation and ignore rules: references/README.md.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2. Per-phase lookup</w:t>
      </w:r>
    </w:p>
    <w:p/>
    <w:tbl>
      <w:tblPr>
        <w:tblW w:w="900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shd w:val="clear" w:fill="F2F2F2"/>
          </w:tcPr>
          <w:p>
            <w:r>
              <w:t xml:space="preserve">Phase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Primary lookup</w:t>
            </w:r>
          </w:p>
        </w:tc>
        <w:tc>
          <w:tcPr>
            <w:tcW w:w="3000" w:type="dxa"/>
            <w:shd w:val="clear" w:fill="F2F2F2"/>
          </w:tcPr>
          <w:p>
            <w:r>
              <w:t xml:space="preserve">Do not take from the clone</w:t>
            </w:r>
          </w:p>
        </w:tc>
      </w:tr>
      <w:tr>
        <w:tc>
          <w:tcPr>
            <w:tcW w:w="3000" w:type="dxa"/>
          </w:tcPr>
          <w:p>
            <w:r>
              <w:t xml:space="preserve">0 Foundation</w:t>
            </w:r>
          </w:p>
        </w:tc>
        <w:tc>
          <w:tcPr>
            <w:tcW w:w="3000" w:type="dxa"/>
          </w:tcPr>
          <w:p>
            <w:r>
              <w:t xml:space="preserve">None required</w:t>
            </w:r>
          </w:p>
        </w:tc>
        <w:tc>
          <w:tcPr>
            <w:tcW w:w="3000" w:type="dxa"/>
          </w:tcPr>
          <w:p>
            <w:r>
              <w:t xml:space="preserve">Their Docker/bench as our runtime</w:t>
            </w:r>
          </w:p>
        </w:tc>
      </w:tr>
      <w:tr>
        <w:tc>
          <w:tcPr>
            <w:tcW w:w="3000" w:type="dxa"/>
          </w:tcPr>
          <w:p>
            <w:r>
              <w:t xml:space="preserve">1 Platform Core</w:t>
            </w:r>
          </w:p>
        </w:tc>
        <w:tc>
          <w:tcPr>
            <w:tcW w:w="3000" w:type="dxa"/>
          </w:tcPr>
          <w:p>
            <w:r>
              <w:t xml:space="preserve">First-party auth. Comparison only: Vendure user/session/address, Frappe User, ERPNext Company. Cite paths when used.</w:t>
            </w:r>
          </w:p>
        </w:tc>
        <w:tc>
          <w:tcPr>
            <w:tcW w:w="3000" w:type="dxa"/>
          </w:tcPr>
          <w:p>
            <w:r>
              <w:t xml:space="preserve">Their user/tenant/company models as ours; global email uniqueness; bcrypt as our hasher</w:t>
            </w:r>
          </w:p>
        </w:tc>
      </w:tr>
      <w:tr>
        <w:tc>
          <w:tcPr>
            <w:tcW w:w="3000" w:type="dxa"/>
          </w:tcPr>
          <w:p>
            <w:r>
              <w:t xml:space="preserve">2 Commerce</w:t>
            </w:r>
          </w:p>
        </w:tc>
        <w:tc>
          <w:tcPr>
            <w:tcW w:w="3000" w:type="dxa"/>
          </w:tcPr>
          <w:p>
            <w:r>
              <w:t xml:space="preserve">`references/vendure/`</w:t>
            </w:r>
          </w:p>
        </w:tc>
        <w:tc>
          <w:tcPr>
            <w:tcW w:w="3000" w:type="dxa"/>
          </w:tcPr>
          <w:p>
            <w:r>
              <w:t xml:space="preserve">Their IDs, checkout math, tax mode</w:t>
            </w:r>
          </w:p>
        </w:tc>
      </w:tr>
      <w:tr>
        <w:tc>
          <w:tcPr>
            <w:tcW w:w="3000" w:type="dxa"/>
          </w:tcPr>
          <w:p>
            <w:r>
              <w:t xml:space="preserve">3 B2B + CRM</w:t>
            </w:r>
          </w:p>
        </w:tc>
        <w:tc>
          <w:tcPr>
            <w:tcW w:w="3000" w:type="dxa"/>
          </w:tcPr>
          <w:p>
            <w:r>
              <w:t xml:space="preserve">`references/frappe-crm/`</w:t>
            </w:r>
          </w:p>
        </w:tc>
        <w:tc>
          <w:tcPr>
            <w:tcW w:w="3000" w:type="dxa"/>
          </w:tcPr>
          <w:p>
            <w:r>
              <w:t xml:space="preserve">Their pipeline probabilities, Frappe as SoR</w:t>
            </w:r>
          </w:p>
        </w:tc>
      </w:tr>
      <w:tr>
        <w:tc>
          <w:tcPr>
            <w:tcW w:w="3000" w:type="dxa"/>
          </w:tcPr>
          <w:p>
            <w:r>
              <w:t xml:space="preserve">4 Inventory / procurement</w:t>
            </w:r>
          </w:p>
        </w:tc>
        <w:tc>
          <w:tcPr>
            <w:tcW w:w="3000" w:type="dxa"/>
          </w:tcPr>
          <w:p>
            <w:r>
              <w:t xml:space="preserve">`references/erpnext/` (stock, buying)</w:t>
            </w:r>
          </w:p>
        </w:tc>
        <w:tc>
          <w:tcPr>
            <w:tcW w:w="3000" w:type="dxa"/>
          </w:tcPr>
          <w:p>
            <w:r>
              <w:t xml:space="preserve">ATP, MRP, running ERPNext</w:t>
            </w:r>
          </w:p>
        </w:tc>
      </w:tr>
      <w:tr>
        <w:tc>
          <w:tcPr>
            <w:tcW w:w="3000" w:type="dxa"/>
          </w:tcPr>
          <w:p>
            <w:r>
              <w:t xml:space="preserve">5 Accounting</w:t>
            </w:r>
          </w:p>
        </w:tc>
        <w:tc>
          <w:tcPr>
            <w:tcW w:w="3000" w:type="dxa"/>
          </w:tcPr>
          <w:p>
            <w:r>
              <w:t xml:space="preserve">`references/erpnext/` (accounts) + `references/frappe/`</w:t>
            </w:r>
          </w:p>
        </w:tc>
        <w:tc>
          <w:tcPr>
            <w:tcW w:w="3000" w:type="dxa"/>
          </w:tcPr>
          <w:p>
            <w:r>
              <w:t xml:space="preserve">Their CoA as our CoA</w:t>
            </w:r>
          </w:p>
        </w:tc>
      </w:tr>
      <w:tr>
        <w:tc>
          <w:tcPr>
            <w:tcW w:w="3000" w:type="dxa"/>
          </w:tcPr>
          <w:p>
            <w:r>
              <w:t xml:space="preserve">6 Tax / VAT</w:t>
            </w:r>
          </w:p>
        </w:tc>
        <w:tc>
          <w:tcPr>
            <w:tcW w:w="3000" w:type="dxa"/>
          </w:tcPr>
          <w:p>
            <w:r>
              <w:t xml:space="preserve">`references/erpnext/` tax/VAT modules only as comparison</w:t>
            </w:r>
          </w:p>
        </w:tc>
        <w:tc>
          <w:tcPr>
            <w:tcW w:w="3000" w:type="dxa"/>
          </w:tcPr>
          <w:p>
            <w:r>
              <w:t xml:space="preserve">HMRC filing, rates</w:t>
            </w:r>
          </w:p>
        </w:tc>
      </w:tr>
      <w:tr>
        <w:tc>
          <w:tcPr>
            <w:tcW w:w="3000" w:type="dxa"/>
          </w:tcPr>
          <w:p>
            <w:r>
              <w:t xml:space="preserve">7 AI</w:t>
            </w:r>
          </w:p>
        </w:tc>
        <w:tc>
          <w:tcPr>
            <w:tcW w:w="3000" w:type="dxa"/>
          </w:tcPr>
          <w:p>
            <w:r>
              <w:t xml:space="preserve">None of these three as product AI</w:t>
            </w:r>
          </w:p>
        </w:tc>
        <w:tc>
          <w:tcPr>
            <w:tcW w:w="3000" w:type="dxa"/>
          </w:tcPr>
          <w:p>
            <w:r>
              <w:t xml:space="preserve">Autonomous posting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3. Rules for Cursor (and any agent)</w:t>
      </w:r>
    </w:p>
    <w:p/>
    <w:p>
      <w:r>
        <w:t xml:space="preserve">1. Read the phase spec first.</w:t>
      </w:r>
    </w:p>
    <w:p>
      <w:r>
        <w:t xml:space="preserve">2. When the human issues a prompt that needs spec approval, modelling, information, or coding, search references/ for the relevant slice, cite the path, and take details that help. The trees stay in the project folder. Do not skip the lookup because a phase already closed.</w:t>
      </w:r>
    </w:p>
    <w:p>
      <w:r>
        <w:t xml:space="preserve">3. Quote paths under references/ when you use them, so the choice is reviewable.</w:t>
      </w:r>
    </w:p>
    <w:p>
      <w:r>
        <w:t xml:space="preserve">4. Do not import those trees into @supercore/*.</w:t>
      </w:r>
    </w:p>
    <w:p>
      <w:r>
        <w:t xml:space="preserve">5. Do not copy their SQL, GraphQL schema, or Python DocTypes into production.</w:t>
      </w:r>
    </w:p>
    <w:p>
      <w:r>
        <w:t xml:space="preserve">6. Do not install or start Vendure / bench / MariaDB for those clones unless a later spec says so.</w:t>
      </w:r>
    </w:p>
    <w:p>
      <w:r>
        <w:t xml:space="preserve">7. Optional adapters remain unscheduled.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4. Conflict</w:t>
      </w:r>
    </w:p>
    <w:p/>
    <w:p>
      <w:r>
        <w:t xml:space="preserve">If a clone disagrees with specs/ or an ADR, the spec and ADR win.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