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3 — Addendum First Decisions v1.0</w:t>
      </w:r>
    </w:p>
    <w:p/>
    <w:p>
      <w:r>
        <w:t xml:space="preserve">Document type: Approved addendum to the Phase 3 charter  </w:t>
      </w:r>
    </w:p>
    <w:p>
      <w:r>
        <w:t xml:space="preserve">Status: Approved 2026-10-05 (product approval to write these decisions from the comparison clones)  </w:t>
      </w:r>
    </w:p>
    <w:p>
      <w:r>
        <w:t xml:space="preserve">Depends on: Phase 1 Platform Core; Phase 2 first-slice addendum and placeOrderRecord / addCartLine in @supercore/commerce  </w:t>
      </w:r>
    </w:p>
    <w:p>
      <w:r>
        <w:t xml:space="preserve">Does not include: Phase 3 code, pipeline probabilities, lead scores, quantity-break formulas, credit holds, punchout/EDI, Frappe as system of record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Why this file exists</w:t>
      </w:r>
    </w:p>
    <w:p/>
    <w:p>
      <w:r>
        <w:t xml:space="preserve">The Phase 3 charter left eight decisions unwritten and forbade inventing them in code. This addendum closes those eight. Lookup was comparison only. Paths below were read. Nothing in references/ is imported.</w:t>
      </w:r>
    </w:p>
    <w:p/>
    <w:p>
      <w:r>
        <w:t xml:space="preserve">Binding map: specs/architecture/Supercore Commerce OS — External Reference Clones v1.0.md. Phase 3 primary tree is references/frappe-crm/. That map forbids taking Frappe pipeline probabilities or making Frappe the system of record. Where a clone disagrees with a spec or ADR, the spec wins.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Closed decisions</w:t>
      </w:r>
    </w:p>
    <w:p/>
    <w:p>
      <w:pPr>
        <w:pStyle w:val="Heading2"/>
      </w:pPr>
      <w:r>
        <w:t xml:space="preserve">2.1 CRM Account and Phase 1 Customer</w:t>
      </w:r>
    </w:p>
    <w:p/>
    <w:p>
      <w:r>
        <w:t xml:space="preserve">Looked up: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Source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Path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What it does</w:t>
            </w:r>
          </w:p>
        </w:tc>
      </w:tr>
      <w:tr>
        <w:tc>
          <w:tcPr>
            <w:tcW w:w="3000" w:type="dxa"/>
          </w:tcPr>
          <w:p>
            <w:r>
              <w:t xml:space="preserve">Frappe CRM Organization</w:t>
            </w:r>
          </w:p>
        </w:tc>
        <w:tc>
          <w:tcPr>
            <w:tcW w:w="3000" w:type="dxa"/>
          </w:tcPr>
          <w:p>
            <w:r>
              <w:t xml:space="preserve">`references/frappe-crm/crm/fcrm/doctype/crm_organization/crm_organization.json`</w:t>
            </w:r>
          </w:p>
        </w:tc>
        <w:tc>
          <w:tcPr>
            <w:tcW w:w="3000" w:type="dxa"/>
          </w:tcPr>
          <w:p>
            <w:r>
              <w:t xml:space="preserve">A named company. Not an ERPNext Customer.</w:t>
            </w:r>
          </w:p>
        </w:tc>
      </w:tr>
      <w:tr>
        <w:tc>
          <w:tcPr>
            <w:tcW w:w="3000" w:type="dxa"/>
          </w:tcPr>
          <w:p>
            <w:r>
              <w:t xml:space="preserve">Frappe → ERPNext customer</w:t>
            </w:r>
          </w:p>
        </w:tc>
        <w:tc>
          <w:tcPr>
            <w:tcW w:w="3000" w:type="dxa"/>
          </w:tcPr>
          <w:p>
            <w:r>
              <w:t xml:space="preserve">`references/frappe-crm/crm/fcrm/doctype/erpnext_crm_settings/erpnext_crm_settings.py` (`create_customer_in_erpnext`, `create_customer_from_deal`)</w:t>
            </w:r>
          </w:p>
        </w:tc>
        <w:tc>
          <w:tcPr>
            <w:tcW w:w="3000" w:type="dxa"/>
          </w:tcPr>
          <w:p>
            <w:r>
              <w:t xml:space="preserve">Creates a Customer only when settings are enabled and the deal status matches. Organization name becomes a Company customer. No organization uses the primary contact name as an Individual customer.</w:t>
            </w:r>
          </w:p>
        </w:tc>
      </w:tr>
      <w:tr>
        <w:tc>
          <w:tcPr>
            <w:tcW w:w="3000" w:type="dxa"/>
          </w:tcPr>
          <w:p>
            <w:r>
              <w:t xml:space="preserve">ERPNext Customer</w:t>
            </w:r>
          </w:p>
        </w:tc>
        <w:tc>
          <w:tcPr>
            <w:tcW w:w="3000" w:type="dxa"/>
          </w:tcPr>
          <w:p>
            <w:r>
              <w:t xml:space="preserve">`references/erpnext/erpnext/selling/doctype/customer/customer.json` (`is_internal_customer`, `represents_company`)</w:t>
            </w:r>
          </w:p>
        </w:tc>
        <w:tc>
          <w:tcPr>
            <w:tcW w:w="3000" w:type="dxa"/>
          </w:tcPr>
          <w:p>
            <w:r>
              <w:t xml:space="preserve">Internal customer is inter-company, not a SaaS tenant.</w:t>
            </w:r>
          </w:p>
        </w:tc>
      </w:tr>
      <w:tr>
        <w:tc>
          <w:tcPr>
            <w:tcW w:w="3000" w:type="dxa"/>
          </w:tcPr>
          <w:p>
            <w:r>
              <w:t xml:space="preserve">Vendure Customer</w:t>
            </w:r>
          </w:p>
        </w:tc>
        <w:tc>
          <w:tcPr>
            <w:tcW w:w="3000" w:type="dxa"/>
          </w:tcPr>
          <w:p>
            <w:r>
              <w:t xml:space="preserve">`references/vendure/packages/core/src/entity/customer/customer.entity.ts`</w:t>
            </w:r>
          </w:p>
        </w:tc>
        <w:tc>
          <w:tcPr>
            <w:tcW w:w="3000" w:type="dxa"/>
          </w:tcPr>
          <w:p>
            <w:r>
              <w:t xml:space="preserve">A person. Optional `User`. No Account.</w:t>
            </w:r>
          </w:p>
        </w:tc>
      </w:tr>
    </w:tbl>
    <w:p/>
    <w:p>
      <w:r>
        <w:t xml:space="preserve">Decision:</w:t>
      </w:r>
    </w:p>
    <w:p/>
    <w:p>
      <w:pPr>
        <w:pStyle w:val="ListBullet"/>
      </w:pPr>
      <w:r>
        <w:t xml:space="preserve">CRM Account is its own row. It is not a Phase 1 Customer and not a Phase 1 Organization.</w:t>
      </w:r>
    </w:p>
    <w:p>
      <w:pPr>
        <w:pStyle w:val="ListBullet"/>
      </w:pPr>
      <w:r>
        <w:t xml:space="preserve">They are the same party only when `customerId` is set to a Customer in the same tenant. No match on email, name, or website.</w:t>
      </w:r>
    </w:p>
    <w:p>
      <w:pPr>
        <w:pStyle w:val="ListBullet"/>
      </w:pPr>
      <w:r>
        <w:t xml:space="preserve">Creating an Account does not create a Customer. Creating a Customer does not create an Account.</w:t>
      </w:r>
    </w:p>
    <w:p>
      <w:pPr>
        <w:pStyle w:val="ListBullet"/>
      </w:pPr>
      <w:r>
        <w:t xml:space="preserve">`organizationId` is optional and, when set, points at a Phase 1 Organization in the same tenant. That link is also explicit.</w:t>
      </w:r>
    </w:p>
    <w:p>
      <w:pPr>
        <w:pStyle w:val="ListBullet"/>
      </w:pPr>
      <w:r>
        <w:t xml:space="preserve">Rejected: automatic Customer creation on a deal status. Rejected: Vendure’s person-as-customer as the Account. Rejected: ERPNext internal customer as the tenant model.</w:t>
      </w:r>
    </w:p>
    <w:p/>
    <w:p>
      <w:pPr>
        <w:pStyle w:val="Heading2"/>
      </w:pPr>
      <w:r>
        <w:t xml:space="preserve">2.2 Pipeline stage names and probabilities</w:t>
      </w:r>
    </w:p>
    <w:p/>
    <w:p>
      <w:r>
        <w:t xml:space="preserve">Looked up: references/frappe-crm/crm/install.py add_default_deal_statuses and add_default_lead_statuses. Deal rows there store probability percents (10, 25, 50, 70, 90, 100, 0). The clone map says those percents are not ours.</w:t>
      </w:r>
    </w:p>
    <w:p/>
    <w:p>
      <w:r>
        <w:t xml:space="preserve">Decision:</w:t>
      </w:r>
    </w:p>
    <w:p/>
    <w:p>
      <w:pPr>
        <w:pStyle w:val="ListBullet"/>
      </w:pPr>
      <w:r>
        <w:t xml:space="preserve">A pipeline is an ordered list of stages for one tenant.</w:t>
      </w:r>
    </w:p>
    <w:p>
      <w:pPr>
        <w:pStyle w:val="ListBullet"/>
      </w:pPr>
      <w:r>
        <w:t xml:space="preserve">A stage has `name`, `position`, and `outcome` of `open`, `ongoing`, `won`, or `lost`. There is no probability column and no forecast math.</w:t>
      </w:r>
    </w:p>
    <w:p>
      <w:pPr>
        <w:pStyle w:val="ListBullet"/>
      </w:pPr>
      <w:r>
        <w:t xml:space="preserve">Deal-stage seed (names and outcomes only):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Position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Name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Outcome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Qualification</w:t>
            </w:r>
          </w:p>
        </w:tc>
        <w:tc>
          <w:tcPr>
            <w:tcW w:w="3000" w:type="dxa"/>
          </w:tcPr>
          <w:p>
            <w:r>
              <w:t xml:space="preserve">open</w:t>
            </w:r>
          </w:p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Demo/Making</w:t>
            </w:r>
          </w:p>
        </w:tc>
        <w:tc>
          <w:tcPr>
            <w:tcW w:w="3000" w:type="dxa"/>
          </w:tcPr>
          <w:p>
            <w:r>
              <w:t xml:space="preserve">ongoing</w:t>
            </w:r>
          </w:p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Proposal/Quotation</w:t>
            </w:r>
          </w:p>
        </w:tc>
        <w:tc>
          <w:tcPr>
            <w:tcW w:w="3000" w:type="dxa"/>
          </w:tcPr>
          <w:p>
            <w:r>
              <w:t xml:space="preserve">ongoing</w:t>
            </w:r>
          </w:p>
        </w:tc>
      </w:tr>
      <w:tr>
        <w:tc>
          <w:tcPr>
            <w:tcW w:w="3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Negotiation</w:t>
            </w:r>
          </w:p>
        </w:tc>
        <w:tc>
          <w:tcPr>
            <w:tcW w:w="3000" w:type="dxa"/>
          </w:tcPr>
          <w:p>
            <w:r>
              <w:t xml:space="preserve">ongoing</w:t>
            </w:r>
          </w:p>
        </w:tc>
      </w:tr>
      <w:tr>
        <w:tc>
          <w:tcPr>
            <w:tcW w:w="30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Ready to Close</w:t>
            </w:r>
          </w:p>
        </w:tc>
        <w:tc>
          <w:tcPr>
            <w:tcW w:w="3000" w:type="dxa"/>
          </w:tcPr>
          <w:p>
            <w:r>
              <w:t xml:space="preserve">ongoing</w:t>
            </w:r>
          </w:p>
        </w:tc>
      </w:tr>
      <w:tr>
        <w:tc>
          <w:tcPr>
            <w:tcW w:w="3000" w:type="dxa"/>
          </w:tcPr>
          <w:p>
            <w:r>
              <w:t xml:space="preserve">6</w:t>
            </w:r>
          </w:p>
        </w:tc>
        <w:tc>
          <w:tcPr>
            <w:tcW w:w="3000" w:type="dxa"/>
          </w:tcPr>
          <w:p>
            <w:r>
              <w:t xml:space="preserve">Won</w:t>
            </w:r>
          </w:p>
        </w:tc>
        <w:tc>
          <w:tcPr>
            <w:tcW w:w="3000" w:type="dxa"/>
          </w:tcPr>
          <w:p>
            <w:r>
              <w:t xml:space="preserve">won</w:t>
            </w:r>
          </w:p>
        </w:tc>
      </w:tr>
      <w:tr>
        <w:tc>
          <w:tcPr>
            <w:tcW w:w="3000" w:type="dxa"/>
          </w:tcPr>
          <w:p>
            <w:r>
              <w:t xml:space="preserve">7</w:t>
            </w:r>
          </w:p>
        </w:tc>
        <w:tc>
          <w:tcPr>
            <w:tcW w:w="3000" w:type="dxa"/>
          </w:tcPr>
          <w:p>
            <w:r>
              <w:t xml:space="preserve">Lost</w:t>
            </w:r>
          </w:p>
        </w:tc>
        <w:tc>
          <w:tcPr>
            <w:tcW w:w="3000" w:type="dxa"/>
          </w:tcPr>
          <w:p>
            <w:r>
              <w:t xml:space="preserve">lost</w:t>
            </w:r>
          </w:p>
        </w:tc>
      </w:tr>
    </w:tbl>
    <w:p/>
    <w:p>
      <w:pPr>
        <w:pStyle w:val="ListBullet"/>
      </w:pPr>
      <w:r>
        <w:t xml:space="preserve">Lead-status seed from the same file, without colors: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Position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Name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Outcome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New</w:t>
            </w:r>
          </w:p>
        </w:tc>
        <w:tc>
          <w:tcPr>
            <w:tcW w:w="3000" w:type="dxa"/>
          </w:tcPr>
          <w:p>
            <w:r>
              <w:t xml:space="preserve">open</w:t>
            </w:r>
          </w:p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Contacted</w:t>
            </w:r>
          </w:p>
        </w:tc>
        <w:tc>
          <w:tcPr>
            <w:tcW w:w="3000" w:type="dxa"/>
          </w:tcPr>
          <w:p>
            <w:r>
              <w:t xml:space="preserve">ongoing</w:t>
            </w:r>
          </w:p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Nurture</w:t>
            </w:r>
          </w:p>
        </w:tc>
        <w:tc>
          <w:tcPr>
            <w:tcW w:w="3000" w:type="dxa"/>
          </w:tcPr>
          <w:p>
            <w:r>
              <w:t xml:space="preserve">ongoing</w:t>
            </w:r>
          </w:p>
        </w:tc>
      </w:tr>
      <w:tr>
        <w:tc>
          <w:tcPr>
            <w:tcW w:w="3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Qualified</w:t>
            </w:r>
          </w:p>
        </w:tc>
        <w:tc>
          <w:tcPr>
            <w:tcW w:w="3000" w:type="dxa"/>
          </w:tcPr>
          <w:p>
            <w:r>
              <w:t xml:space="preserve">won</w:t>
            </w:r>
          </w:p>
        </w:tc>
      </w:tr>
      <w:tr>
        <w:tc>
          <w:tcPr>
            <w:tcW w:w="30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Unqualified</w:t>
            </w:r>
          </w:p>
        </w:tc>
        <w:tc>
          <w:tcPr>
            <w:tcW w:w="3000" w:type="dxa"/>
          </w:tcPr>
          <w:p>
            <w:r>
              <w:t xml:space="preserve">lost</w:t>
            </w:r>
          </w:p>
        </w:tc>
      </w:tr>
      <w:tr>
        <w:tc>
          <w:tcPr>
            <w:tcW w:w="3000" w:type="dxa"/>
          </w:tcPr>
          <w:p>
            <w:r>
              <w:t xml:space="preserve">6</w:t>
            </w:r>
          </w:p>
        </w:tc>
        <w:tc>
          <w:tcPr>
            <w:tcW w:w="3000" w:type="dxa"/>
          </w:tcPr>
          <w:p>
            <w:r>
              <w:t xml:space="preserve">Junk</w:t>
            </w:r>
          </w:p>
        </w:tc>
        <w:tc>
          <w:tcPr>
            <w:tcW w:w="3000" w:type="dxa"/>
          </w:tcPr>
          <w:p>
            <w:r>
              <w:t xml:space="preserve">lost</w:t>
            </w:r>
          </w:p>
        </w:tc>
      </w:tr>
    </w:tbl>
    <w:p/>
    <w:p>
      <w:pPr>
        <w:pStyle w:val="ListBullet"/>
      </w:pPr>
      <w:r>
        <w:t xml:space="preserve">Frappe also seeds a lead status `Converted`. Supercore does not. Conversion is a flag, matching `convert_to_deal` in `references/frappe-crm/crm/fcrm/doctype/crm_lead/crm_lead.py`: set `converted` and set status to `Qualified`. A lead whose status outcome is `lost` cannot convert.</w:t>
      </w:r>
    </w:p>
    <w:p/>
    <w:p>
      <w:pPr>
        <w:pStyle w:val="Heading2"/>
      </w:pPr>
      <w:r>
        <w:t xml:space="preserve">2.3 Lead scoring</w:t>
      </w:r>
    </w:p>
    <w:p/>
    <w:p>
      <w:r>
        <w:t xml:space="preserve">Looked up: references/frappe-crm/crm/fcrm/doctype/crm_lead/crm_lead.json has no score field.</w:t>
      </w:r>
    </w:p>
    <w:p/>
    <w:p>
      <w:r>
        <w:t xml:space="preserve">Decision: Phase 3 has no lead score column and no scoring job.</w:t>
      </w:r>
    </w:p>
    <w:p/>
    <w:p>
      <w:pPr>
        <w:pStyle w:val="Heading2"/>
      </w:pPr>
      <w:r>
        <w:t xml:space="preserve">2.4 Quantity-break formulas</w:t>
      </w:r>
    </w:p>
    <w:p/>
    <w:p>
      <w:r>
        <w:t xml:space="preserve">Looked up: references/erpnext/erpnext/accounts/doctype/pricing_rule/pricing_rule.json (min_qty, max_qty, min_amt). That is a price formula. Phase 2 addendum §2.1 prices a line as quantity × unitPrice from the list price and leaves discount stacking out of the slice. Vendure CustomerGroup (references/vendure/packages/core/src/entity/customer-group/customer-group.entity.ts) groups people for promotions and tax, not for a quantity break.</w:t>
      </w:r>
    </w:p>
    <w:p/>
    <w:p>
      <w:r>
        <w:t xml:space="preserve">Decision: Phase 3 does not store or evaluate quantity breaks, amount breaks, or customer-group price rules.</w:t>
      </w:r>
    </w:p>
    <w:p/>
    <w:p>
      <w:r>
        <w:t xml:space="preserve">Catalog access structure (charter §3):</w:t>
      </w:r>
    </w:p>
    <w:p/>
    <w:p>
      <w:pPr>
        <w:pStyle w:val="ListBullet"/>
      </w:pPr>
      <w:r>
        <w:t xml:space="preserve">Table `account_catalog_products` (`accountId`, `productId`), both in the same tenant. `productId` is a Phase 2 product.</w:t>
      </w:r>
    </w:p>
    <w:p>
      <w:pPr>
        <w:pStyle w:val="ListBullet"/>
      </w:pPr>
      <w:r>
        <w:t xml:space="preserve">A B2B buyer’s catalog list is the intersection of the Phase 2 catalog and that account’s rows.</w:t>
      </w:r>
    </w:p>
    <w:p>
      <w:pPr>
        <w:pStyle w:val="ListBullet"/>
      </w:pPr>
      <w:r>
        <w:t xml:space="preserve">Zero rows means the buyer sees no products.</w:t>
      </w:r>
    </w:p>
    <w:p>
      <w:pPr>
        <w:pStyle w:val="ListBullet"/>
      </w:pPr>
      <w:r>
        <w:t xml:space="preserve">A tenant user with `catalog.read` is not filtered by this table.</w:t>
      </w:r>
    </w:p>
    <w:p/>
    <w:p>
      <w:pPr>
        <w:pStyle w:val="Heading2"/>
      </w:pPr>
      <w:r>
        <w:t xml:space="preserve">2.5 Credit holds</w:t>
      </w:r>
    </w:p>
    <w:p/>
    <w:p>
      <w:r>
        <w:t xml:space="preserve">Looked up: references/erpnext/erpnext/selling/doctype/customer/customer.py check_credit_limit. It compares customer outstanding to a per-company credit_limit and throws unless the user has the credit-controller role. Outstanding is accounts receivable.</w:t>
      </w:r>
    </w:p>
    <w:p/>
    <w:p>
      <w:r>
        <w:t xml:space="preserve">Decision: Phase 3 does not store a credit limit, a bypass flag, or a hold. That comparison belongs to a later Phase 5 addendum if it is ever approved. No credit column on Account.</w:t>
      </w:r>
    </w:p>
    <w:p/>
    <w:p>
      <w:pPr>
        <w:pStyle w:val="Heading2"/>
      </w:pPr>
      <w:r>
        <w:t xml:space="preserve">2.6 Quote conversion to a Phase 2 order</w:t>
      </w:r>
    </w:p>
    <w:p/>
    <w:p>
      <w:r>
        <w:t xml:space="preserve">Looked up: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Source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Path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What it does</w:t>
            </w:r>
          </w:p>
        </w:tc>
      </w:tr>
      <w:tr>
        <w:tc>
          <w:tcPr>
            <w:tcW w:w="3000" w:type="dxa"/>
          </w:tcPr>
          <w:p>
            <w:r>
              <w:t xml:space="preserve">Frappe lead → deal</w:t>
            </w:r>
          </w:p>
        </w:tc>
        <w:tc>
          <w:tcPr>
            <w:tcW w:w="3000" w:type="dxa"/>
          </w:tcPr>
          <w:p>
            <w:r>
              <w:t xml:space="preserve">`references/frappe-crm/crm/fcrm/doctype/crm_lead/crm_lead.py` `convert_to_deal`</w:t>
            </w:r>
          </w:p>
        </w:tc>
        <w:tc>
          <w:tcPr>
            <w:tcW w:w="3000" w:type="dxa"/>
          </w:tcPr>
          <w:p>
            <w:r>
              <w:t xml:space="preserve">Creates contact, organization, and deal. Does not create an order. Refuses a lost lead.</w:t>
            </w:r>
          </w:p>
        </w:tc>
      </w:tr>
      <w:tr>
        <w:tc>
          <w:tcPr>
            <w:tcW w:w="3000" w:type="dxa"/>
          </w:tcPr>
          <w:p>
            <w:r>
              <w:t xml:space="preserve">ERPNext quotation → sales order</w:t>
            </w:r>
          </w:p>
        </w:tc>
        <w:tc>
          <w:tcPr>
            <w:tcW w:w="3000" w:type="dxa"/>
          </w:tcPr>
          <w:p>
            <w:r>
              <w:t xml:space="preserve">`references/erpnext/erpnext/selling/doctype/quotation/mapper.py` `make_sales_order`</w:t>
            </w:r>
          </w:p>
        </w:tc>
        <w:tc>
          <w:tcPr>
            <w:tcW w:w="3000" w:type="dxa"/>
          </w:tcPr>
          <w:p>
            <w:r>
              <w:t xml:space="preserve">Requires submitted quotation (`docstatus = 1`). Refuses a past `valid_till`. Then recalculates taxes and copies tax rows.</w:t>
            </w:r>
          </w:p>
        </w:tc>
      </w:tr>
      <w:tr>
        <w:tc>
          <w:tcPr>
            <w:tcW w:w="3000" w:type="dxa"/>
          </w:tcPr>
          <w:p>
            <w:r>
              <w:t xml:space="preserve">Vendure</w:t>
            </w:r>
          </w:p>
        </w:tc>
        <w:tc>
          <w:tcPr>
            <w:tcW w:w="3000" w:type="dxa"/>
          </w:tcPr>
          <w:p>
            <w:r>
              <w:t xml:space="preserve">`references/vendure/packages/core/src/service/services/order.service.ts`</w:t>
            </w:r>
          </w:p>
        </w:tc>
        <w:tc>
          <w:tcPr>
            <w:tcW w:w="3000" w:type="dxa"/>
          </w:tcPr>
          <w:p>
            <w:r>
              <w:t xml:space="preserve">“Quote” there is a shipping or payment method price, not a CRM quotation. No quotation entity.</w:t>
            </w:r>
          </w:p>
        </w:tc>
      </w:tr>
      <w:tr>
        <w:tc>
          <w:tcPr>
            <w:tcW w:w="3000" w:type="dxa"/>
          </w:tcPr>
          <w:p>
            <w:r>
              <w:t xml:space="preserve">Supercore checkout</w:t>
            </w:r>
          </w:p>
        </w:tc>
        <w:tc>
          <w:tcPr>
            <w:tcW w:w="3000" w:type="dxa"/>
          </w:tcPr>
          <w:p>
            <w:r>
              <w:t xml:space="preserve">`packages/commerce/src/checkout.ts` `addCartLine`, `placeOrderRecord`</w:t>
            </w:r>
          </w:p>
        </w:tc>
        <w:tc>
          <w:tcPr>
            <w:tcW w:w="3000" w:type="dxa"/>
          </w:tcPr>
          <w:p>
            <w:r>
              <w:t xml:space="preserve">Cart line price comes from the variant list price. Place-order checks out that user’s open cart.</w:t>
            </w:r>
          </w:p>
        </w:tc>
      </w:tr>
    </w:tbl>
    <w:p/>
    <w:p>
      <w:r>
        <w:t xml:space="preserve">Decision:</w:t>
      </w:r>
    </w:p>
    <w:p/>
    <w:p>
      <w:pPr>
        <w:pStyle w:val="ListBullet"/>
      </w:pPr>
      <w:r>
        <w:t xml:space="preserve">A Quote belongs to one Opportunity. Status is `draft`, `accepted`, `expired`, or `converted`.</w:t>
      </w:r>
    </w:p>
    <w:p>
      <w:pPr>
        <w:pStyle w:val="ListBullet"/>
      </w:pPr>
      <w:r>
        <w:t xml:space="preserve">Only `accepted` may convert. `validUntil` is a date. If it is set and is before today, conversion is refused and a draft or accepted quote is read as `expired`.</w:t>
      </w:r>
    </w:p>
    <w:p>
      <w:pPr>
        <w:pStyle w:val="ListBullet"/>
      </w:pPr>
      <w:r>
        <w:t xml:space="preserve">A quote converts at most once. The resulting Phase 2 order id is stored on the quote. The quote is not an order.</w:t>
      </w:r>
    </w:p>
    <w:p>
      <w:pPr>
        <w:pStyle w:val="ListBullet"/>
      </w:pPr>
      <w:r>
        <w:t xml:space="preserve">Quote lines are `variantId` + quantity (decimal string). They do not store a negotiated unit price. ERPNext’s copied item rate and tax rows are rejected because Phase 2 owns price and does not compute VAT.</w:t>
      </w:r>
    </w:p>
    <w:p>
      <w:pPr>
        <w:pStyle w:val="ListBullet"/>
      </w:pPr>
      <w:r>
        <w:t xml:space="preserve">Conversion uses the existing commerce services. It refuses when the actor already has an open cart that has lines. Otherwise it adds each quote line with `addCartLine` and then calls `placeOrderRecord` with the Account’s `customerId`. Stock decrement and the stub payment stay inside that Phase 2 transaction.</w:t>
      </w:r>
    </w:p>
    <w:p>
      <w:pPr>
        <w:pStyle w:val="ListBullet"/>
      </w:pPr>
      <w:r>
        <w:t xml:space="preserve">If `customerId` is null, conversion fails. It does not create a Customer.</w:t>
      </w:r>
    </w:p>
    <w:p>
      <w:pPr>
        <w:pStyle w:val="ListBullet"/>
      </w:pPr>
      <w:r>
        <w:t xml:space="preserve">The actor is the signed-in tenant user. Super Admin cannot convert (Phase 2: Super Admin cannot own a cart).</w:t>
      </w:r>
    </w:p>
    <w:p/>
    <w:p>
      <w:pPr>
        <w:pStyle w:val="Heading2"/>
      </w:pPr>
      <w:r>
        <w:t xml:space="preserve">2.7 B2B company user</w:t>
      </w:r>
    </w:p>
    <w:p/>
    <w:p>
      <w:r>
        <w:t xml:space="preserve">Looked up: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Source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Path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What it does</w:t>
            </w:r>
          </w:p>
        </w:tc>
      </w:tr>
      <w:tr>
        <w:tc>
          <w:tcPr>
            <w:tcW w:w="3000" w:type="dxa"/>
          </w:tcPr>
          <w:p>
            <w:r>
              <w:t xml:space="preserve">ERPNext portal</w:t>
            </w:r>
          </w:p>
        </w:tc>
        <w:tc>
          <w:tcPr>
            <w:tcW w:w="3000" w:type="dxa"/>
          </w:tcPr>
          <w:p>
            <w:r>
              <w:t xml:space="preserve">`references/erpnext/erpnext/selling/doctype/customer/customer.json` (`portal_users`); `references/erpnext/erpnext/utilities/doctype/portal_user/portal_user.json`</w:t>
            </w:r>
          </w:p>
        </w:tc>
        <w:tc>
          <w:tcPr>
            <w:tcW w:w="3000" w:type="dxa"/>
          </w:tcPr>
          <w:p>
            <w:r>
              <w:t xml:space="preserve">Child rows of User on a Customer.</w:t>
            </w:r>
          </w:p>
        </w:tc>
      </w:tr>
      <w:tr>
        <w:tc>
          <w:tcPr>
            <w:tcW w:w="3000" w:type="dxa"/>
          </w:tcPr>
          <w:p>
            <w:r>
              <w:t xml:space="preserve">Vendure</w:t>
            </w:r>
          </w:p>
        </w:tc>
        <w:tc>
          <w:tcPr>
            <w:tcW w:w="3000" w:type="dxa"/>
          </w:tcPr>
          <w:p>
            <w:r>
              <w:t xml:space="preserve">`references/vendure/packages/core/src/entity/customer/customer.entity.ts`</w:t>
            </w:r>
          </w:p>
        </w:tc>
        <w:tc>
          <w:tcPr>
            <w:tcW w:w="3000" w:type="dxa"/>
          </w:tcPr>
          <w:p>
            <w:r>
              <w:t xml:space="preserve">Optional one-to-one User. A guest Customer has no User.</w:t>
            </w:r>
          </w:p>
        </w:tc>
      </w:tr>
    </w:tbl>
    <w:p/>
    <w:p>
      <w:r>
        <w:t xml:space="preserve">Decision:</w:t>
      </w:r>
    </w:p>
    <w:p/>
    <w:p>
      <w:pPr>
        <w:pStyle w:val="ListBullet"/>
      </w:pPr>
      <w:r>
        <w:t xml:space="preserve">A B2B buyer is an existing Phase 1 User in the same tenant. No second user table.</w:t>
      </w:r>
    </w:p>
    <w:p>
      <w:pPr>
        <w:pStyle w:val="ListBullet"/>
      </w:pPr>
      <w:r>
        <w:t xml:space="preserve">Membership is `(accountId, userId)`, unique. Super Admin cannot be a member.</w:t>
      </w:r>
    </w:p>
    <w:p>
      <w:pPr>
        <w:pStyle w:val="ListBullet"/>
      </w:pPr>
      <w:r>
        <w:t xml:space="preserve">If the Account has `organizationId`, the user must already have a Phase 1 membership of that Organization. The check is a precondition on insert. It does not create the organization membership.</w:t>
      </w:r>
    </w:p>
    <w:p>
      <w:pPr>
        <w:pStyle w:val="ListBullet"/>
      </w:pPr>
      <w:r>
        <w:t xml:space="preserve">Buyer catalog calls use this membership. They do not grant CRM write.</w:t>
      </w:r>
    </w:p>
    <w:p/>
    <w:p>
      <w:pPr>
        <w:pStyle w:val="Heading2"/>
      </w:pPr>
      <w:r>
        <w:t xml:space="preserve">2.8 Still not taken from the clones</w:t>
      </w:r>
    </w:p>
    <w:p/>
    <w:p>
      <w:r>
        <w:t xml:space="preserve">Punchout, EDI, marketing automation, SLA, telephony, and domain-enrichment stay out. Frappe Organization exchange_rate is a float and is not stored (ADR-007). HubSpot, Salesforce, and Frappe are not the system of record.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Permissions for this slice</w:t>
      </w:r>
    </w:p>
    <w:p/>
    <w:p>
      <w:r>
        <w:t xml:space="preserve">Existing Phase 1 roles. tenant_admin still receives every tenant permission.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2F2F2"/>
          </w:tcPr>
          <w:p>
            <w:r>
              <w:t xml:space="preserve">Permission</w:t>
            </w:r>
          </w:p>
        </w:tc>
        <w:tc>
          <w:tcPr>
            <w:tcW w:w="1500" w:type="dxa"/>
            <w:shd w:val="clear" w:fill="F2F2F2"/>
          </w:tcPr>
          <w:p>
            <w:r>
              <w:t xml:space="preserve">tenant_admin</w:t>
            </w:r>
          </w:p>
        </w:tc>
        <w:tc>
          <w:tcPr>
            <w:tcW w:w="1500" w:type="dxa"/>
            <w:shd w:val="clear" w:fill="F2F2F2"/>
          </w:tcPr>
          <w:p>
            <w:r>
              <w:t xml:space="preserve">manager</w:t>
            </w:r>
          </w:p>
        </w:tc>
        <w:tc>
          <w:tcPr>
            <w:tcW w:w="1500" w:type="dxa"/>
            <w:shd w:val="clear" w:fill="F2F2F2"/>
          </w:tcPr>
          <w:p>
            <w:r>
              <w:t xml:space="preserve">sales</w:t>
            </w:r>
          </w:p>
        </w:tc>
        <w:tc>
          <w:tcPr>
            <w:tcW w:w="1500" w:type="dxa"/>
            <w:shd w:val="clear" w:fill="F2F2F2"/>
          </w:tcPr>
          <w:p>
            <w:r>
              <w:t xml:space="preserve">viewer</w:t>
            </w:r>
          </w:p>
        </w:tc>
        <w:tc>
          <w:tcPr>
            <w:tcW w:w="1500" w:type="dxa"/>
            <w:shd w:val="clear" w:fill="F2F2F2"/>
          </w:tcPr>
          <w:p>
            <w:r>
              <w:t xml:space="preserve">B2B member</w:t>
            </w:r>
          </w:p>
        </w:tc>
      </w:tr>
      <w:tr>
        <w:tc>
          <w:tcPr>
            <w:tcW w:w="1500" w:type="dxa"/>
          </w:tcPr>
          <w:p>
            <w:r>
              <w:t xml:space="preserve">`crm.read`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</w:tr>
      <w:tr>
        <w:tc>
          <w:tcPr>
            <w:tcW w:w="1500" w:type="dxa"/>
          </w:tcPr>
          <w:p>
            <w:r>
              <w:t xml:space="preserve">`crm.write`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</w:tr>
      <w:tr>
        <w:tc>
          <w:tcPr>
            <w:tcW w:w="1500" w:type="dxa"/>
          </w:tcPr>
          <w:p>
            <w:r>
              <w:t xml:space="preserve">`b2b.manage`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yes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</w:tr>
      <w:tr>
        <w:tc>
          <w:tcPr>
            <w:tcW w:w="1500" w:type="dxa"/>
          </w:tcPr>
          <w:p>
            <w:r>
              <w:t xml:space="preserve">`b2b.buy`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  <w:tc>
          <w:tcPr>
            <w:tcW w:w="1500" w:type="dxa"/>
          </w:tcPr>
          <w:p>
            <w:r>
              <w:t xml:space="preserve">no</w:t>
            </w:r>
          </w:p>
        </w:tc>
        <w:tc>
          <w:tcPr>
            <w:tcW w:w="1500" w:type="dxa"/>
          </w:tcPr>
          <w:p>
            <w:r>
              <w:t xml:space="preserve">yes, on that account only</w:t>
            </w:r>
          </w:p>
        </w:tc>
      </w:tr>
    </w:tbl>
    <w:p/>
    <w:p>
      <w:r>
        <w:t xml:space="preserve">b2b.buy is not a Phase 1 role name. It is granted by the membership row.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What this approval does not start</w:t>
      </w:r>
    </w:p>
    <w:p/>
    <w:p>
      <w:r>
        <w:t xml:space="preserve">These decisions are approved. This file does not add @supercore/crm or @supercore/b2b behavior, tables, or screens. Implementation is a later change and must follow this addendum without reopening the rejected clone rules.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