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Phase 7 — Supercore AI Specification v1.0</w:t>
      </w:r>
    </w:p>
    <w:p/>
    <w:p>
      <w:r>
        <w:t xml:space="preserve">Document type: Phase charter  </w:t>
      </w:r>
    </w:p>
    <w:p>
      <w:r>
        <w:t xml:space="preserve">Status: Draft direction  </w:t>
      </w:r>
    </w:p>
    <w:p>
      <w:r>
        <w:t xml:space="preserve">Depends on: Phase 1 plus the domains the assistant is allowed to use  </w:t>
      </w:r>
    </w:p>
    <w:p>
      <w:r>
        <w:t xml:space="preserve">Date: 2026-09-17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Purpose</w:t>
      </w:r>
    </w:p>
    <w:p/>
    <w:p>
      <w:r>
        <w:t xml:space="preserve">Phase 7 adds Supercore AI as an assistant over existing engines.</w:t>
      </w:r>
    </w:p>
    <w:p/>
    <w:p>
      <w:r>
        <w:t xml:space="preserve">It does not replace Commerce, CRM, Accounting, or Tax.</w:t>
      </w:r>
    </w:p>
    <w:p>
      <w:r>
        <w:t xml:space="preserve">It cannot invent postings, orders, or HMRC filings.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User</w:t>
      </w:r>
    </w:p>
    <w:p>
      <w:pPr>
        <w:pStyle w:val="Code"/>
      </w:pPr>
      <w:r>
        <w:rPr>
          <w:rFonts w:ascii="Consolas" w:hAnsi="Consolas"/>
          <w:sz w:val="18"/>
        </w:rPr>
        <w:t xml:space="preserve"> ↓</w:t>
      </w:r>
    </w:p>
    <w:p>
      <w:pPr>
        <w:pStyle w:val="Code"/>
      </w:pPr>
      <w:r>
        <w:rPr>
          <w:rFonts w:ascii="Consolas" w:hAnsi="Consolas"/>
          <w:sz w:val="18"/>
        </w:rPr>
        <w:t xml:space="preserve">Assistant UI</w:t>
      </w:r>
    </w:p>
    <w:p>
      <w:pPr>
        <w:pStyle w:val="Code"/>
      </w:pPr>
      <w:r>
        <w:rPr>
          <w:rFonts w:ascii="Consolas" w:hAnsi="Consolas"/>
          <w:sz w:val="18"/>
        </w:rPr>
        <w:t xml:space="preserve"> ↓</w:t>
      </w:r>
    </w:p>
    <w:p>
      <w:pPr>
        <w:pStyle w:val="Code"/>
      </w:pPr>
      <w:r>
        <w:rPr>
          <w:rFonts w:ascii="Consolas" w:hAnsi="Consolas"/>
          <w:sz w:val="18"/>
        </w:rPr>
        <w:t xml:space="preserve">packages/ai</w:t>
      </w:r>
    </w:p>
    <w:p>
      <w:pPr>
        <w:pStyle w:val="Code"/>
      </w:pPr>
      <w:r>
        <w:rPr>
          <w:rFonts w:ascii="Consolas" w:hAnsi="Consolas"/>
          <w:sz w:val="18"/>
        </w:rPr>
        <w:t xml:space="preserve"> ↓</w:t>
      </w:r>
    </w:p>
    <w:p>
      <w:pPr>
        <w:pStyle w:val="Code"/>
      </w:pPr>
      <w:r>
        <w:rPr>
          <w:rFonts w:ascii="Consolas" w:hAnsi="Consolas"/>
          <w:sz w:val="18"/>
        </w:rPr>
        <w:t xml:space="preserve">application services (commerce, crm, accounting, tax, ...)</w:t>
      </w:r>
    </w:p>
    <w:p>
      <w:pPr>
        <w:pStyle w:val="Code"/>
      </w:pPr>
      <w:r>
        <w:rPr>
          <w:rFonts w:ascii="Consolas" w:hAnsi="Consolas"/>
          <w:sz w:val="18"/>
        </w:rPr>
        <w:t xml:space="preserve"> ↓</w:t>
      </w:r>
    </w:p>
    <w:p>
      <w:pPr>
        <w:pStyle w:val="Code"/>
      </w:pPr>
      <w:r>
        <w:rPr>
          <w:rFonts w:ascii="Consolas" w:hAnsi="Consolas"/>
          <w:sz w:val="18"/>
        </w:rPr>
        <w:t xml:space="preserve">domain + RBAC + audit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Hard rules</w:t>
      </w:r>
    </w:p>
    <w:p/>
    <w:p>
      <w:pPr>
        <w:pStyle w:val="ListBullet"/>
      </w:pPr>
      <w:r>
        <w:t xml:space="preserve">Cursor is the coding tool; this phase is the product AI</w:t>
      </w:r>
    </w:p>
    <w:p>
      <w:pPr>
        <w:pStyle w:val="ListBullet"/>
      </w:pPr>
      <w:r>
        <w:t xml:space="preserve">Codex is not part of the workflow</w:t>
      </w:r>
    </w:p>
    <w:p>
      <w:pPr>
        <w:pStyle w:val="ListBullet"/>
      </w:pPr>
      <w:r>
        <w:t xml:space="preserve">AI cannot bypass domain rules or RBAC</w:t>
      </w:r>
    </w:p>
    <w:p>
      <w:pPr>
        <w:pStyle w:val="ListBullet"/>
      </w:pPr>
      <w:r>
        <w:t xml:space="preserve">AI cannot submit HMRC filings</w:t>
      </w:r>
    </w:p>
    <w:p>
      <w:pPr>
        <w:pStyle w:val="ListBullet"/>
      </w:pPr>
      <w:r>
        <w:t xml:space="preserve">AI cannot post immutable financial records except through accounting services and the same approvals as a human</w:t>
      </w:r>
    </w:p>
    <w:p>
      <w:pPr>
        <w:pStyle w:val="ListBullet"/>
      </w:pPr>
      <w:r>
        <w:t xml:space="preserve">No cross-tenant context leakage</w:t>
      </w:r>
    </w:p>
    <w:p>
      <w:pPr>
        <w:pStyle w:val="ListBullet"/>
      </w:pPr>
      <w:r>
        <w:t xml:space="preserve">Secrets are not logged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In scope (after addendum)</w:t>
      </w:r>
    </w:p>
    <w:p/>
    <w:p>
      <w:pPr>
        <w:pStyle w:val="ListBullet"/>
      </w:pPr>
      <w:r>
        <w:t xml:space="preserve">`AIProvider` (model vendor replaceable)</w:t>
      </w:r>
    </w:p>
    <w:p>
      <w:pPr>
        <w:pStyle w:val="ListBullet"/>
      </w:pPr>
      <w:r>
        <w:t xml:space="preserve">Tools that call existing application services</w:t>
      </w:r>
    </w:p>
    <w:p>
      <w:pPr>
        <w:pStyle w:val="ListBullet"/>
      </w:pPr>
      <w:r>
        <w:t xml:space="preserve">Drafts that still require a human to send/approve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Out of scope until addendum</w:t>
      </w:r>
    </w:p>
    <w:p/>
    <w:p>
      <w:pPr>
        <w:pStyle w:val="ListBullet"/>
      </w:pPr>
      <w:r>
        <w:t xml:space="preserve">Autonomous purchasing, refunds, or credit notes</w:t>
      </w:r>
    </w:p>
    <w:p>
      <w:pPr>
        <w:pStyle w:val="ListBullet"/>
      </w:pPr>
      <w:r>
        <w:t xml:space="preserve">Unattended production agents</w:t>
      </w:r>
    </w:p>
    <w:p>
      <w:pPr>
        <w:pStyle w:val="ListBullet"/>
      </w:pPr>
      <w:r>
        <w:t xml:space="preserve">Training on customer data without a privacy decision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Definition of done (after addendum)</w:t>
      </w:r>
    </w:p>
    <w:p/>
    <w:p>
      <w:pPr>
        <w:pStyle w:val="ListBullet"/>
      </w:pPr>
      <w:r>
        <w:t xml:space="preserve">Every AI write goes through application services</w:t>
      </w:r>
    </w:p>
    <w:p>
      <w:pPr>
        <w:pStyle w:val="ListBullet"/>
      </w:pPr>
      <w:r>
        <w:t xml:space="preserve">Audit shows the assisted actor</w:t>
      </w:r>
    </w:p>
    <w:p>
      <w:pPr>
        <w:pStyle w:val="ListBullet"/>
      </w:pPr>
      <w:r>
        <w:t xml:space="preserve">Cross-tenant retrieval tests fail closed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Development agents and UI</w:t>
      </w:r>
    </w:p>
    <w:p/>
    <w:p>
      <w:r>
        <w:t xml:space="preserve">Canonical: specs/architecture/Supercore Commerce OS — Development Agent Architecture v1.0.md.</w:t>
      </w:r>
    </w:p>
    <w:p/>
    <w:p>
      <w:r>
        <w:t xml:space="preserve">This phase is product AI. It is not a replacement for Cursor/Lovable/Aider.</w:t>
      </w:r>
    </w:p>
    <w:p/>
    <w:p>
      <w:pPr>
        <w:pStyle w:val="Heading2"/>
      </w:pPr>
      <w:r>
        <w:t xml:space="preserve">6.1 Lovable (this phase)</w:t>
      </w:r>
    </w:p>
    <w:p/>
    <w:p>
      <w:r>
        <w:t xml:space="preserve">Assistant / draft chat UI, confirmation step before any write, empty/error states.</w:t>
      </w:r>
    </w:p>
    <w:p/>
    <w:p>
      <w:r>
        <w:t xml:space="preserve">Do not hide approval. Do not design autonomous “run the business” controls.</w:t>
      </w:r>
    </w:p>
    <w:p/>
    <w:p>
      <w:pPr>
        <w:pStyle w:val="Heading2"/>
      </w:pPr>
      <w:r>
        <w:t xml:space="preserve">6.2 Cursor</w:t>
      </w:r>
    </w:p>
    <w:p/>
    <w:p>
      <w:r>
        <w:t xml:space="preserve">packages/ai tools that call existing application services, RBAC, audit of assisted actor, port UI, tests.</w:t>
      </w:r>
    </w:p>
    <w:p/>
    <w:p>
      <w:pPr>
        <w:pStyle w:val="Heading2"/>
      </w:pPr>
      <w:r>
        <w:t xml:space="preserve">6.3 Aider</w:t>
      </w:r>
    </w:p>
    <w:p/>
    <w:p>
      <w:r>
        <w:t xml:space="preserve">Optional small patch. No new autonomous tools.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7. Reference lookup</w:t>
      </w:r>
    </w:p>
    <w:p/>
    <w:p>
      <w:r>
        <w:t xml:space="preserve">Vendure / ERPNext / Frappe CRM are not the product-AI source for this phase.</w:t>
      </w:r>
    </w:p>
    <w:p/>
    <w:p>
      <w:r>
        <w:t xml:space="preserve">Keep using existing application services. Map: specs/architecture/Supercore Commerce OS — External Reference Clones v1.0.md.</w:t>
      </w:r>
    </w:p>
    <w:p/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