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SUPERCORE COMMERCE OS</w:t>
      </w:r>
    </w:p>
    <w:p/>
    <w:p>
      <w:pPr>
        <w:pStyle w:val="Heading2"/>
      </w:pPr>
      <w:r>
        <w:t xml:space="preserve">Product Vision and Phase Roadmap v1.1</w:t>
      </w:r>
    </w:p>
    <w:p/>
    <w:p>
      <w:r>
        <w:t xml:space="preserve">Document type: Product and architecture roadmap  </w:t>
      </w:r>
    </w:p>
    <w:p>
      <w:r>
        <w:t xml:space="preserve">Status: Active — supersedes v1.0 phase numbering  </w:t>
      </w:r>
    </w:p>
    <w:p>
      <w:r>
        <w:t xml:space="preserve">Owner: Supercore  </w:t>
      </w:r>
    </w:p>
    <w:p>
      <w:r>
        <w:t xml:space="preserve">Primary implementation tool: Cursor  </w:t>
      </w:r>
    </w:p>
    <w:p>
      <w:r>
        <w:t xml:space="preserve">UI/UX prototyping: Lovable  </w:t>
      </w:r>
    </w:p>
    <w:p>
      <w:r>
        <w:t xml:space="preserve">Controlled patches: Aider  </w:t>
      </w:r>
    </w:p>
    <w:p>
      <w:r>
        <w:t xml:space="preserve">Date: 2026-09-17  </w:t>
      </w:r>
    </w:p>
    <w:p>
      <w:r>
        <w:t xml:space="preserve">Reference clones protocol: 2026-10-05 (§2.1 — trees stay in references/; query on prompt)</w:t>
      </w:r>
    </w:p>
    <w:p/>
    <w:p>
      <w:pPr>
        <w:pBdr>
          <w:bottom w:val="single" w:sz="6" w:space="1" w:color="CCCCCC"/>
        </w:pBdr>
      </w:pPr>
    </w:p>
    <w:p/>
    <w:p>
      <w:pPr>
        <w:pStyle w:val="Heading1"/>
      </w:pPr>
      <w:r>
        <w:t xml:space="preserve">1. What we are building</w:t>
      </w:r>
    </w:p>
    <w:p/>
    <w:p>
      <w:r>
        <w:t xml:space="preserve">Supercore Commerce OS is Supercore’s own Commerce OS / Business OS.</w:t>
      </w:r>
    </w:p>
    <w:p/>
    <w:p>
      <w:r>
        <w:t xml:space="preserve">It is greenfield. There is no Shopify, Vendure, ERPNext, or Frappe migration.</w:t>
      </w:r>
    </w:p>
    <w:p/>
    <w:p>
      <w:r>
        <w:t xml:space="preserve">Supercore owns the canonical engines:</w:t>
      </w:r>
    </w:p>
    <w:p/>
    <w:p>
      <w:pPr>
        <w:pStyle w:val="ListBullet"/>
      </w:pPr>
      <w:r>
        <w:t xml:space="preserve">Supercore Commerce Engine</w:t>
      </w:r>
    </w:p>
    <w:p>
      <w:pPr>
        <w:pStyle w:val="ListBullet"/>
      </w:pPr>
      <w:r>
        <w:t xml:space="preserve">Supercore CRM</w:t>
      </w:r>
    </w:p>
    <w:p>
      <w:pPr>
        <w:pStyle w:val="ListBullet"/>
      </w:pPr>
      <w:r>
        <w:t xml:space="preserve">Supercore Accounting Engine</w:t>
      </w:r>
    </w:p>
    <w:p>
      <w:pPr>
        <w:pStyle w:val="ListBullet"/>
      </w:pPr>
      <w:r>
        <w:t xml:space="preserve">Supercore Tax Engine</w:t>
      </w:r>
    </w:p>
    <w:p/>
    <w:p>
      <w:r>
        <w:t xml:space="preserve">External systems such as Vendure, ERPNext, Frappe CRM, HMRC, payment providers, shipping providers and supplier APIs must remain replaceable integrations.</w:t>
      </w:r>
    </w:p>
    <w:p/>
    <w:p>
      <w:r>
        <w:t xml:space="preserve">They are not the system of record.</w:t>
      </w:r>
    </w:p>
    <w:p>
      <w:r>
        <w:t xml:space="preserve">They are not scheduled implementations.</w:t>
      </w:r>
    </w:p>
    <w:p>
      <w:r>
        <w:t xml:space="preserve">They are not separate phases.</w:t>
      </w:r>
    </w:p>
    <w:p/>
    <w:p>
      <w:pPr>
        <w:pBdr>
          <w:bottom w:val="single" w:sz="6" w:space="1" w:color="CCCCCC"/>
        </w:pBdr>
      </w:pPr>
    </w:p>
    <w:p/>
    <w:p>
      <w:pPr>
        <w:pStyle w:val="Heading1"/>
      </w:pPr>
      <w:r>
        <w:t xml:space="preserve">2. Binding engine strategy</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System</w:t>
            </w:r>
          </w:p>
        </w:tc>
        <w:tc>
          <w:tcPr>
            <w:tcW w:w="3000" w:type="dxa"/>
            <w:shd w:val="clear" w:fill="F2F2F2"/>
          </w:tcPr>
          <w:p>
            <w:r>
              <w:t xml:space="preserve">When</w:t>
            </w:r>
          </w:p>
        </w:tc>
        <w:tc>
          <w:tcPr>
            <w:tcW w:w="3000" w:type="dxa"/>
            <w:shd w:val="clear" w:fill="F2F2F2"/>
          </w:tcPr>
          <w:p>
            <w:r>
              <w:t xml:space="preserve">Role</w:t>
            </w:r>
          </w:p>
        </w:tc>
      </w:tr>
      <w:tr>
        <w:tc>
          <w:tcPr>
            <w:tcW w:w="3000" w:type="dxa"/>
          </w:tcPr>
          <w:p>
            <w:r>
              <w:t xml:space="preserve">Vendure</w:t>
            </w:r>
          </w:p>
        </w:tc>
        <w:tc>
          <w:tcPr>
            <w:tcW w:w="3000" w:type="dxa"/>
          </w:tcPr>
          <w:p>
            <w:r>
              <w:t xml:space="preserve">**Not installed in Phase 0–1.** No dedicated phase.</w:t>
            </w:r>
          </w:p>
        </w:tc>
        <w:tc>
          <w:tcPr>
            <w:tcW w:w="3000" w:type="dxa"/>
          </w:tcPr>
          <w:p>
            <w:r>
              <w:t xml:space="preserve">Optional future reference / comparison / temporary `CommerceProvider` if a later spec justifies it</w:t>
            </w:r>
          </w:p>
        </w:tc>
      </w:tr>
      <w:tr>
        <w:tc>
          <w:tcPr>
            <w:tcW w:w="3000" w:type="dxa"/>
          </w:tcPr>
          <w:p>
            <w:r>
              <w:t xml:space="preserve">ERPNext</w:t>
            </w:r>
          </w:p>
        </w:tc>
        <w:tc>
          <w:tcPr>
            <w:tcW w:w="3000" w:type="dxa"/>
          </w:tcPr>
          <w:p>
            <w:r>
              <w:t xml:space="preserve">**Not installed in Phase 0–1.** No dedicated phase.</w:t>
            </w:r>
          </w:p>
        </w:tc>
        <w:tc>
          <w:tcPr>
            <w:tcW w:w="3000" w:type="dxa"/>
          </w:tcPr>
          <w:p>
            <w:r>
              <w:t xml:space="preserve">Optional future reference / temporary `AccountingProvider` if a later spec justifies it</w:t>
            </w:r>
          </w:p>
        </w:tc>
      </w:tr>
      <w:tr>
        <w:tc>
          <w:tcPr>
            <w:tcW w:w="3000" w:type="dxa"/>
          </w:tcPr>
          <w:p>
            <w:r>
              <w:t xml:space="preserve">Frappe CRM</w:t>
            </w:r>
          </w:p>
        </w:tc>
        <w:tc>
          <w:tcPr>
            <w:tcW w:w="3000" w:type="dxa"/>
          </w:tcPr>
          <w:p>
            <w:r>
              <w:t xml:space="preserve">**Not installed in Phase 0–1.** No dedicated phase.</w:t>
            </w:r>
          </w:p>
        </w:tc>
        <w:tc>
          <w:tcPr>
            <w:tcW w:w="3000" w:type="dxa"/>
          </w:tcPr>
          <w:p>
            <w:r>
              <w:t xml:space="preserve">Optional future `CRMProvider` if a later spec justifies it</w:t>
            </w:r>
          </w:p>
        </w:tc>
      </w:tr>
      <w:tr>
        <w:tc>
          <w:tcPr>
            <w:tcW w:w="3000" w:type="dxa"/>
          </w:tcPr>
          <w:p>
            <w:r>
              <w:t xml:space="preserve">Supercore Commerce Engine</w:t>
            </w:r>
          </w:p>
        </w:tc>
        <w:tc>
          <w:tcPr>
            <w:tcW w:w="3000" w:type="dxa"/>
          </w:tcPr>
          <w:p>
            <w:r>
              <w:t xml:space="preserve">Phase 2</w:t>
            </w:r>
          </w:p>
        </w:tc>
        <w:tc>
          <w:tcPr>
            <w:tcW w:w="3000" w:type="dxa"/>
          </w:tcPr>
          <w:p>
            <w:r>
              <w:t xml:space="preserve">Canonical commerce</w:t>
            </w:r>
          </w:p>
        </w:tc>
      </w:tr>
      <w:tr>
        <w:tc>
          <w:tcPr>
            <w:tcW w:w="3000" w:type="dxa"/>
          </w:tcPr>
          <w:p>
            <w:r>
              <w:t xml:space="preserve">Supercore CRM (with B2B)</w:t>
            </w:r>
          </w:p>
        </w:tc>
        <w:tc>
          <w:tcPr>
            <w:tcW w:w="3000" w:type="dxa"/>
          </w:tcPr>
          <w:p>
            <w:r>
              <w:t xml:space="preserve">Phase 3</w:t>
            </w:r>
          </w:p>
        </w:tc>
        <w:tc>
          <w:tcPr>
            <w:tcW w:w="3000" w:type="dxa"/>
          </w:tcPr>
          <w:p>
            <w:r>
              <w:t xml:space="preserve">Canonical CRM + B2B</w:t>
            </w:r>
          </w:p>
        </w:tc>
      </w:tr>
      <w:tr>
        <w:tc>
          <w:tcPr>
            <w:tcW w:w="3000" w:type="dxa"/>
          </w:tcPr>
          <w:p>
            <w:r>
              <w:t xml:space="preserve">Supercore ERP foundations</w:t>
            </w:r>
          </w:p>
        </w:tc>
        <w:tc>
          <w:tcPr>
            <w:tcW w:w="3000" w:type="dxa"/>
          </w:tcPr>
          <w:p>
            <w:r>
              <w:t xml:space="preserve">Phase 4</w:t>
            </w:r>
          </w:p>
        </w:tc>
        <w:tc>
          <w:tcPr>
            <w:tcW w:w="3000" w:type="dxa"/>
          </w:tcPr>
          <w:p>
            <w:r>
              <w:t xml:space="preserve">Inventory + procurement foundations</w:t>
            </w:r>
          </w:p>
        </w:tc>
      </w:tr>
      <w:tr>
        <w:tc>
          <w:tcPr>
            <w:tcW w:w="3000" w:type="dxa"/>
          </w:tcPr>
          <w:p>
            <w:r>
              <w:t xml:space="preserve">Supercore Accounting Engine</w:t>
            </w:r>
          </w:p>
        </w:tc>
        <w:tc>
          <w:tcPr>
            <w:tcW w:w="3000" w:type="dxa"/>
          </w:tcPr>
          <w:p>
            <w:r>
              <w:t xml:space="preserve">Phase 5</w:t>
            </w:r>
          </w:p>
        </w:tc>
        <w:tc>
          <w:tcPr>
            <w:tcW w:w="3000" w:type="dxa"/>
          </w:tcPr>
          <w:p>
            <w:r>
              <w:t xml:space="preserve">Canonical accounting</w:t>
            </w:r>
          </w:p>
        </w:tc>
      </w:tr>
      <w:tr>
        <w:tc>
          <w:tcPr>
            <w:tcW w:w="3000" w:type="dxa"/>
          </w:tcPr>
          <w:p>
            <w:r>
              <w:t xml:space="preserve">Supercore Tax Engine</w:t>
            </w:r>
          </w:p>
        </w:tc>
        <w:tc>
          <w:tcPr>
            <w:tcW w:w="3000" w:type="dxa"/>
          </w:tcPr>
          <w:p>
            <w:r>
              <w:t xml:space="preserve">Phase 6</w:t>
            </w:r>
          </w:p>
        </w:tc>
        <w:tc>
          <w:tcPr>
            <w:tcW w:w="3000" w:type="dxa"/>
          </w:tcPr>
          <w:p>
            <w:r>
              <w:t xml:space="preserve">Canonical tax / VAT</w:t>
            </w:r>
          </w:p>
        </w:tc>
      </w:tr>
      <w:tr>
        <w:tc>
          <w:tcPr>
            <w:tcW w:w="3000" w:type="dxa"/>
          </w:tcPr>
          <w:p>
            <w:r>
              <w:t xml:space="preserve">Supercore AI</w:t>
            </w:r>
          </w:p>
        </w:tc>
        <w:tc>
          <w:tcPr>
            <w:tcW w:w="3000" w:type="dxa"/>
          </w:tcPr>
          <w:p>
            <w:r>
              <w:t xml:space="preserve">Phase 7</w:t>
            </w:r>
          </w:p>
        </w:tc>
        <w:tc>
          <w:tcPr>
            <w:tcW w:w="3000" w:type="dxa"/>
          </w:tcPr>
          <w:p>
            <w:r>
              <w:t xml:space="preserve">Assistive AI; cannot bypass domain rules</w:t>
            </w:r>
          </w:p>
        </w:tc>
      </w:tr>
    </w:tbl>
    <w:p/>
    <w:p>
      <w:r>
        <w:t xml:space="preserve">We will not add Vendure or ERPNext merely because they exist.</w:t>
      </w:r>
    </w:p>
    <w:p/>
    <w:p>
      <w:pPr>
        <w:pStyle w:val="Heading2"/>
      </w:pPr>
      <w:r>
        <w:t xml:space="preserve">2.1 Reference architecture clones (stay in the project)</w:t>
      </w:r>
    </w:p>
    <w:p/>
    <w:p>
      <w:r>
        <w:t xml:space="preserve">Vendure, ERPNext, Frappe CRM, and the Frappe framework remain in this project folder as read-only reference architecture and code. They stay under references/. They are not deleted when a phase closes. They are not installed runtimes. They are not numbered phases.</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Lookup</w:t>
            </w:r>
          </w:p>
        </w:tc>
        <w:tc>
          <w:tcPr>
            <w:tcW w:w="3000" w:type="dxa"/>
            <w:shd w:val="clear" w:fill="F2F2F2"/>
          </w:tcPr>
          <w:p>
            <w:r>
              <w:t xml:space="preserve">Path</w:t>
            </w:r>
          </w:p>
        </w:tc>
        <w:tc>
          <w:tcPr>
            <w:tcW w:w="3000" w:type="dxa"/>
            <w:shd w:val="clear" w:fill="F2F2F2"/>
          </w:tcPr>
          <w:p>
            <w:r>
              <w:t xml:space="preserve">Stays in the repo as</w:t>
            </w:r>
          </w:p>
        </w:tc>
      </w:tr>
      <w:tr>
        <w:tc>
          <w:tcPr>
            <w:tcW w:w="3000" w:type="dxa"/>
          </w:tcPr>
          <w:p>
            <w:r>
              <w:t xml:space="preserve">Commerce patterns</w:t>
            </w:r>
          </w:p>
        </w:tc>
        <w:tc>
          <w:tcPr>
            <w:tcW w:w="3000" w:type="dxa"/>
          </w:tcPr>
          <w:p>
            <w:r>
              <w:t xml:space="preserve">`references/vendure/`</w:t>
            </w:r>
          </w:p>
        </w:tc>
        <w:tc>
          <w:tcPr>
            <w:tcW w:w="3000" w:type="dxa"/>
          </w:tcPr>
          <w:p>
            <w:r>
              <w:t xml:space="preserve">Reference architecture / code</w:t>
            </w:r>
          </w:p>
        </w:tc>
      </w:tr>
      <w:tr>
        <w:tc>
          <w:tcPr>
            <w:tcW w:w="3000" w:type="dxa"/>
          </w:tcPr>
          <w:p>
            <w:r>
              <w:t xml:space="preserve">CRM patterns</w:t>
            </w:r>
          </w:p>
        </w:tc>
        <w:tc>
          <w:tcPr>
            <w:tcW w:w="3000" w:type="dxa"/>
          </w:tcPr>
          <w:p>
            <w:r>
              <w:t xml:space="preserve">`references/frappe-crm/`</w:t>
            </w:r>
          </w:p>
        </w:tc>
        <w:tc>
          <w:tcPr>
            <w:tcW w:w="3000" w:type="dxa"/>
          </w:tcPr>
          <w:p>
            <w:r>
              <w:t xml:space="preserve">Reference architecture / code</w:t>
            </w:r>
          </w:p>
        </w:tc>
      </w:tr>
      <w:tr>
        <w:tc>
          <w:tcPr>
            <w:tcW w:w="3000" w:type="dxa"/>
          </w:tcPr>
          <w:p>
            <w:r>
              <w:t xml:space="preserve">Accounting / stock / buying</w:t>
            </w:r>
          </w:p>
        </w:tc>
        <w:tc>
          <w:tcPr>
            <w:tcW w:w="3000" w:type="dxa"/>
          </w:tcPr>
          <w:p>
            <w:r>
              <w:t xml:space="preserve">`references/erpnext/`</w:t>
            </w:r>
          </w:p>
        </w:tc>
        <w:tc>
          <w:tcPr>
            <w:tcW w:w="3000" w:type="dxa"/>
          </w:tcPr>
          <w:p>
            <w:r>
              <w:t xml:space="preserve">Reference architecture / code</w:t>
            </w:r>
          </w:p>
        </w:tc>
      </w:tr>
      <w:tr>
        <w:tc>
          <w:tcPr>
            <w:tcW w:w="3000" w:type="dxa"/>
          </w:tcPr>
          <w:p>
            <w:r>
              <w:t xml:space="preserve">Frappe framework</w:t>
            </w:r>
          </w:p>
        </w:tc>
        <w:tc>
          <w:tcPr>
            <w:tcW w:w="3000" w:type="dxa"/>
          </w:tcPr>
          <w:p>
            <w:r>
              <w:t xml:space="preserve">`references/frappe/`</w:t>
            </w:r>
          </w:p>
        </w:tc>
        <w:tc>
          <w:tcPr>
            <w:tcW w:w="3000" w:type="dxa"/>
          </w:tcPr>
          <w:p>
            <w:r>
              <w:t xml:space="preserve">Reference architecture / code</w:t>
            </w:r>
          </w:p>
        </w:tc>
      </w:tr>
    </w:tbl>
    <w:p/>
    <w:p>
      <w:r>
        <w:t xml:space="preserve">When a human issues a prompt that needs spec approval, modelling, information, or coding, Cursor must query those trees for the relevant slice, cite the path used, and may take details that help the work. That lookup does not install those products.</w:t>
      </w:r>
    </w:p>
    <w:p/>
    <w:p>
      <w:r>
        <w:t xml:space="preserve">Hard limits (unchanged):</w:t>
      </w:r>
    </w:p>
    <w:p/>
    <w:p>
      <w:pPr>
        <w:pStyle w:val="ListBullet"/>
      </w:pPr>
      <w:r>
        <w:t xml:space="preserve">Specs and ADRs beat a pattern found in a clone.</w:t>
      </w:r>
    </w:p>
    <w:p>
      <w:pPr>
        <w:pStyle w:val="ListBullet"/>
      </w:pPr>
      <w:r>
        <w:t xml:space="preserve">Do not copy clone business rules into Supercore unless an approved spec or ADR already allows that rule.</w:t>
      </w:r>
    </w:p>
    <w:p>
      <w:pPr>
        <w:pStyle w:val="ListBullet"/>
      </w:pPr>
      <w:r>
        <w:t xml:space="preserve">Do not `import` `references/` into `apps/` or `@supercore/*`.</w:t>
      </w:r>
    </w:p>
    <w:p>
      <w:pPr>
        <w:pStyle w:val="ListBullet"/>
      </w:pPr>
      <w:r>
        <w:t xml:space="preserve">Do not copy their SQL, GraphQL schema, or Python DocTypes into production.</w:t>
      </w:r>
    </w:p>
    <w:p>
      <w:pPr>
        <w:pStyle w:val="ListBullet"/>
      </w:pPr>
      <w:r>
        <w:t xml:space="preserve">Optional adapters stay unscheduled.</w:t>
      </w:r>
    </w:p>
    <w:p/>
    <w:p>
      <w:r>
        <w:t xml:space="preserve">Binding usage: specs/architecture/Supercore Commerce OS — External Reference Clones v1.0.md.</w:t>
      </w:r>
    </w:p>
    <w:p/>
    <w:p>
      <w:r>
        <w:t xml:space="preserve">If a later phase needs a temporary or comparative external engine, it is evaluated as an adapter only:</w:t>
      </w:r>
    </w:p>
    <w:p/>
    <w:p>
      <w:pPr>
        <w:pStyle w:val="Code"/>
      </w:pPr>
      <w:r>
        <w:rPr>
          <w:rFonts w:ascii="Consolas" w:hAnsi="Consolas"/>
          <w:sz w:val="18"/>
        </w:rPr>
        <w:t xml:space="preserve">CommerceProvider</w:t>
      </w:r>
    </w:p>
    <w:p>
      <w:pPr>
        <w:pStyle w:val="Code"/>
      </w:pPr>
      <w:r>
        <w:rPr>
          <w:rFonts w:ascii="Consolas" w:hAnsi="Consolas"/>
          <w:sz w:val="18"/>
        </w:rPr>
        <w:t xml:space="preserve">        ├── SupercoreCommerceProvider     (canonical)</w:t>
      </w:r>
    </w:p>
    <w:p>
      <w:pPr>
        <w:pStyle w:val="Code"/>
      </w:pPr>
      <w:r>
        <w:rPr>
          <w:rFonts w:ascii="Consolas" w:hAnsi="Consolas"/>
          <w:sz w:val="18"/>
        </w:rPr>
        <w:t xml:space="preserve">        └── VendureCommerceProvider       (optional, unscheduled)</w:t>
      </w:r>
    </w:p>
    <w:p>
      <w:pPr>
        <w:pStyle w:val="Code"/>
      </w:pPr>
      <w:r>
        <w:rPr>
          <w:rFonts w:ascii="Consolas" w:hAnsi="Consolas"/>
          <w:sz w:val="18"/>
        </w:rPr>
        <w:t/>
      </w:r>
    </w:p>
    <w:p>
      <w:pPr>
        <w:pStyle w:val="Code"/>
      </w:pPr>
      <w:r>
        <w:rPr>
          <w:rFonts w:ascii="Consolas" w:hAnsi="Consolas"/>
          <w:sz w:val="18"/>
        </w:rPr>
        <w:t xml:space="preserve">CRMProvider</w:t>
      </w:r>
    </w:p>
    <w:p>
      <w:pPr>
        <w:pStyle w:val="Code"/>
      </w:pPr>
      <w:r>
        <w:rPr>
          <w:rFonts w:ascii="Consolas" w:hAnsi="Consolas"/>
          <w:sz w:val="18"/>
        </w:rPr>
        <w:t xml:space="preserve">        ├── SupercoreCRMProvider          (canonical)</w:t>
      </w:r>
    </w:p>
    <w:p>
      <w:pPr>
        <w:pStyle w:val="Code"/>
      </w:pPr>
      <w:r>
        <w:rPr>
          <w:rFonts w:ascii="Consolas" w:hAnsi="Consolas"/>
          <w:sz w:val="18"/>
        </w:rPr>
        <w:t xml:space="preserve">        └── FrappeCRMProvider             (optional, unscheduled)</w:t>
      </w:r>
    </w:p>
    <w:p>
      <w:pPr>
        <w:pStyle w:val="Code"/>
      </w:pPr>
      <w:r>
        <w:rPr>
          <w:rFonts w:ascii="Consolas" w:hAnsi="Consolas"/>
          <w:sz w:val="18"/>
        </w:rPr>
        <w:t/>
      </w:r>
    </w:p>
    <w:p>
      <w:pPr>
        <w:pStyle w:val="Code"/>
      </w:pPr>
      <w:r>
        <w:rPr>
          <w:rFonts w:ascii="Consolas" w:hAnsi="Consolas"/>
          <w:sz w:val="18"/>
        </w:rPr>
        <w:t xml:space="preserve">AccountingProvider</w:t>
      </w:r>
    </w:p>
    <w:p>
      <w:pPr>
        <w:pStyle w:val="Code"/>
      </w:pPr>
      <w:r>
        <w:rPr>
          <w:rFonts w:ascii="Consolas" w:hAnsi="Consolas"/>
          <w:sz w:val="18"/>
        </w:rPr>
        <w:t xml:space="preserve">        ├── SupercoreAccountingProvider   (canonical)</w:t>
      </w:r>
    </w:p>
    <w:p>
      <w:pPr>
        <w:pStyle w:val="Code"/>
      </w:pPr>
      <w:r>
        <w:rPr>
          <w:rFonts w:ascii="Consolas" w:hAnsi="Consolas"/>
          <w:sz w:val="18"/>
        </w:rPr>
        <w:t xml:space="preserve">        └── ERPNextAccountingProvider     (optional, unscheduled)</w:t>
      </w:r>
    </w:p>
    <w:p/>
    <w:p>
      <w:r>
        <w:t xml:space="preserve">This guarantees Supercore remains the owner. It does not create a dependency.</w:t>
      </w:r>
    </w:p>
    <w:p/>
    <w:p>
      <w:pPr>
        <w:pBdr>
          <w:bottom w:val="single" w:sz="6" w:space="1" w:color="CCCCCC"/>
        </w:pBdr>
      </w:pPr>
    </w:p>
    <w:p/>
    <w:p>
      <w:pPr>
        <w:pStyle w:val="Heading1"/>
      </w:pPr>
      <w:r>
        <w:t xml:space="preserve">3. Phase sequence (authoritative)</w:t>
      </w:r>
    </w:p>
    <w:p/>
    <w:p>
      <w:pPr>
        <w:pStyle w:val="Code"/>
      </w:pPr>
      <w:r>
        <w:rPr>
          <w:rFonts w:ascii="Consolas" w:hAnsi="Consolas"/>
          <w:sz w:val="18"/>
        </w:rPr>
        <w:t xml:space="preserve">Phase 0  Foundation                 COMPLETE</w:t>
      </w:r>
    </w:p>
    <w:p>
      <w:pPr>
        <w:pStyle w:val="Code"/>
      </w:pPr>
      <w:r>
        <w:rPr>
          <w:rFonts w:ascii="Consolas" w:hAnsi="Consolas"/>
          <w:sz w:val="18"/>
        </w:rPr>
        <w:t xml:space="preserve">Phase 1  Platform Core</w:t>
      </w:r>
    </w:p>
    <w:p>
      <w:pPr>
        <w:pStyle w:val="Code"/>
      </w:pPr>
      <w:r>
        <w:rPr>
          <w:rFonts w:ascii="Consolas" w:hAnsi="Consolas"/>
          <w:sz w:val="18"/>
        </w:rPr>
        <w:t xml:space="preserve">Phase 2  Supercore Commerce</w:t>
      </w:r>
    </w:p>
    <w:p>
      <w:pPr>
        <w:pStyle w:val="Code"/>
      </w:pPr>
      <w:r>
        <w:rPr>
          <w:rFonts w:ascii="Consolas" w:hAnsi="Consolas"/>
          <w:sz w:val="18"/>
        </w:rPr>
        <w:t xml:space="preserve">Phase 3  Supercore B2B + CRM</w:t>
      </w:r>
    </w:p>
    <w:p>
      <w:pPr>
        <w:pStyle w:val="Code"/>
      </w:pPr>
      <w:r>
        <w:rPr>
          <w:rFonts w:ascii="Consolas" w:hAnsi="Consolas"/>
          <w:sz w:val="18"/>
        </w:rPr>
        <w:t xml:space="preserve">Phase 4  ERP / Inventory / Procurement foundations</w:t>
      </w:r>
    </w:p>
    <w:p>
      <w:pPr>
        <w:pStyle w:val="Code"/>
      </w:pPr>
      <w:r>
        <w:rPr>
          <w:rFonts w:ascii="Consolas" w:hAnsi="Consolas"/>
          <w:sz w:val="18"/>
        </w:rPr>
        <w:t xml:space="preserve">Phase 5  Supercore Accounting</w:t>
      </w:r>
    </w:p>
    <w:p>
      <w:pPr>
        <w:pStyle w:val="Code"/>
      </w:pPr>
      <w:r>
        <w:rPr>
          <w:rFonts w:ascii="Consolas" w:hAnsi="Consolas"/>
          <w:sz w:val="18"/>
        </w:rPr>
        <w:t xml:space="preserve">Phase 6  Supercore Tax / VAT</w:t>
      </w:r>
    </w:p>
    <w:p>
      <w:pPr>
        <w:pStyle w:val="Code"/>
      </w:pPr>
      <w:r>
        <w:rPr>
          <w:rFonts w:ascii="Consolas" w:hAnsi="Consolas"/>
          <w:sz w:val="18"/>
        </w:rPr>
        <w:t xml:space="preserve">Phase 7  Supercore AI</w:t>
      </w:r>
    </w:p>
    <w:p/>
    <w:p>
      <w:r>
        <w:t xml:space="preserve">There is no Phase “Vendure”.</w:t>
      </w:r>
    </w:p>
    <w:p>
      <w:r>
        <w:t xml:space="preserve">There is no Phase “ERPNext”.</w:t>
      </w:r>
    </w:p>
    <w:p>
      <w:r>
        <w:t xml:space="preserve">The previous 11-phase numbering is retired.</w:t>
      </w:r>
    </w:p>
    <w:p/>
    <w:p>
      <w:pPr>
        <w:pBdr>
          <w:bottom w:val="single" w:sz="6" w:space="1" w:color="CCCCCC"/>
        </w:pBdr>
      </w:pPr>
    </w:p>
    <w:p/>
    <w:p>
      <w:pPr>
        <w:pStyle w:val="Heading1"/>
      </w:pPr>
      <w:r>
        <w:t xml:space="preserve">4. Architecture</w:t>
      </w:r>
    </w:p>
    <w:p/>
    <w:p>
      <w:pPr>
        <w:pStyle w:val="Code"/>
      </w:pPr>
      <w:r>
        <w:rPr>
          <w:rFonts w:ascii="Consolas" w:hAnsi="Consolas"/>
          <w:sz w:val="18"/>
        </w:rPr>
        <w:t xml:space="preserve">Requirement → Spec → Domain → Application → API → Infrastructure → Database</w:t>
      </w:r>
    </w:p>
    <w:p>
      <w:pPr>
        <w:pStyle w:val="Code"/>
      </w:pPr>
      <w:r>
        <w:rPr>
          <w:rFonts w:ascii="Consolas" w:hAnsi="Consolas"/>
          <w:sz w:val="18"/>
        </w:rPr>
        <w:t/>
      </w:r>
    </w:p>
    <w:p>
      <w:pPr>
        <w:pStyle w:val="Code"/>
      </w:pPr>
      <w:r>
        <w:rPr>
          <w:rFonts w:ascii="Consolas" w:hAnsi="Consolas"/>
          <w:sz w:val="18"/>
        </w:rPr>
        <w:t xml:space="preserve">Supercore Domain → Adapter Interface → External Provider (optional)</w:t>
      </w:r>
    </w:p>
    <w:p/>
    <w:p>
      <w:r>
        <w:t xml:space="preserve">Modular monolith.</w:t>
      </w:r>
    </w:p>
    <w:p/>
    <w:p>
      <w:r>
        <w:t xml:space="preserve">Development agents (not a phase):</w:t>
      </w:r>
    </w:p>
    <w:p/>
    <w:p>
      <w:pPr>
        <w:pStyle w:val="Code"/>
      </w:pPr>
      <w:r>
        <w:rPr>
          <w:rFonts w:ascii="Consolas" w:hAnsi="Consolas"/>
          <w:sz w:val="18"/>
        </w:rPr>
        <w:t xml:space="preserve">                    SUPERCORE DEVELOPMENT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w:t>
      </w:r>
    </w:p>
    <w:p>
      <w:pPr>
        <w:pStyle w:val="Code"/>
      </w:pPr>
      <w:r>
        <w:rPr>
          <w:rFonts w:ascii="Consolas" w:hAnsi="Consolas"/>
          <w:sz w:val="18"/>
        </w:rPr>
        <w:t xml:space="preserve">       CURSOR           LOVABLE           AIDER</w:t>
      </w:r>
    </w:p>
    <w:p>
      <w:pPr>
        <w:pStyle w:val="Code"/>
      </w:pPr>
      <w:r>
        <w:rPr>
          <w:rFonts w:ascii="Consolas" w:hAnsi="Consolas"/>
          <w:sz w:val="18"/>
        </w:rPr>
        <w:t xml:space="preserve">      MAIN DEV         UI/UX DEV      CONTROLLED PATCH</w:t>
      </w:r>
    </w:p>
    <w:p>
      <w:pPr>
        <w:pStyle w:val="Code"/>
      </w:pPr>
      <w:r>
        <w:rPr>
          <w:rFonts w:ascii="Consolas" w:hAnsi="Consolas"/>
          <w:sz w:val="18"/>
        </w:rPr>
        <w:t xml:space="preserv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Git / CI</w:t>
      </w:r>
    </w:p>
    <w:p/>
    <w:p>
      <w:pPr>
        <w:pStyle w:val="Code"/>
      </w:pPr>
      <w:r>
        <w:rPr>
          <w:rFonts w:ascii="Consolas" w:hAnsi="Consolas"/>
          <w:sz w:val="18"/>
        </w:rPr>
        <w:t xml:space="preserve">Requirement → Spec → Lovable → UI/UX prototype → Next.js / Tailwind / shadcn</w:t>
      </w:r>
    </w:p>
    <w:p>
      <w:pPr>
        <w:pStyle w:val="Code"/>
      </w:pPr>
      <w:r>
        <w:rPr>
          <w:rFonts w:ascii="Consolas" w:hAnsi="Consolas"/>
          <w:sz w:val="18"/>
        </w:rPr>
        <w:t xml:space="preserve">        → Cursor → production code</w:t>
      </w:r>
    </w:p>
    <w:p/>
    <w:p>
      <w:r>
        <w:t xml:space="preserve">Cursor is the primary engineer. Lovable is UI/UX prototyping only (no business logic). Aider is controlled refactors. Codex is not used.</w:t>
      </w:r>
    </w:p>
    <w:p/>
    <w:p>
      <w:r>
        <w:t xml:space="preserve">Canonical: specs/architecture/Supercore Commerce OS — Development Agent Architecture v1.0.md.</w:t>
      </w:r>
    </w:p>
    <w:p/>
    <w:p>
      <w:pPr>
        <w:pBdr>
          <w:bottom w:val="single" w:sz="6" w:space="1" w:color="CCCCCC"/>
        </w:pBdr>
      </w:pPr>
    </w:p>
    <w:p/>
    <w:p>
      <w:pPr>
        <w:pStyle w:val="Heading1"/>
      </w:pPr>
      <w:r>
        <w:t xml:space="preserve">5. Current position</w:t>
      </w:r>
    </w:p>
    <w:p/>
    <w:p>
      <w:r>
        <w:t xml:space="preserve">Phase 0 foundation is in the repository (see Phase 0 Completion Audit). Local checks were reported during implementation. Remote CI did not run on 7de6c75 because .github/workflows/ci.yml triggered on main while the default branch is master. The close-out points that trigger at master. [Actions run 37339984665](https://github.com/SCore-ai/supercorecommerceos/actions/runs/37339984665) succeeded for a0d709f.</w:t>
      </w:r>
    </w:p>
    <w:p/>
    <w:p>
      <w:r>
        <w:t xml:space="preserve">Phase 1 Platform Core is implemented on master at 7de6c75 (2026-10-05, full SHA 7de6c75c9bcd1dbe70b725d18b8088580c5497ea). That commit has first-party auth, session-derived tenant isolation, RBAC, customer and supplier master data, addresses, country and currency seed, and same-transaction audit. §17 blockers are closed (same day; ADR-006 amendment, ADR-009). §15 Definition of Done is aligned to that commit (recorded in a0d709f). Product close-out approved 2026-10-05.</w:t>
      </w:r>
    </w:p>
    <w:p/>
    <w:p>
      <w:r>
        <w:t xml:space="preserve">Phase 2 first-slice addendum is closed (2026-10-05). Catalog, cart, authenticated checkout, orders, sellable quantity, and stub capture are in this repository. Later Phase 2 slices (shipment/return/refund documents, discounts) still need their own addendum. Phase 3 first decisions are approved in Phase 3 Addendum First Decisions v1.0 (2026-10-05). Phase 3 code has not started. Phases 4–7 remain direction charters.</w:t>
      </w:r>
    </w:p>
    <w:p/>
    <w:p>
      <w:pPr>
        <w:pBdr>
          <w:bottom w:val="single" w:sz="6" w:space="1" w:color="CCCCCC"/>
        </w:pBdr>
      </w:pPr>
    </w:p>
    <w:p/>
    <w:p>
      <w:pPr>
        <w:pStyle w:val="Heading1"/>
      </w:pPr>
      <w:r>
        <w:t xml:space="preserve">6. What each phase produces</w:t>
      </w:r>
    </w:p>
    <w:p/>
    <w:p>
      <w:pPr>
        <w:pStyle w:val="Heading2"/>
      </w:pPr>
      <w:r>
        <w:t xml:space="preserve">Phase 0 — Foundation</w:t>
      </w:r>
    </w:p>
    <w:p/>
    <w:p>
      <w:r>
        <w:t xml:space="preserve">Platform bootstrap: monorepo, API, web, admin, Postgres, Redis, worker, tests, CI workflow, adapter interfaces.</w:t>
      </w:r>
    </w:p>
    <w:p/>
    <w:p>
      <w:r>
        <w:t xml:space="preserve">Local implementation is reported in the Completion Audit. Remote CI is bound to a0d709f (Actions run 37339984665).</w:t>
      </w:r>
    </w:p>
    <w:p/>
    <w:p>
      <w:pPr>
        <w:pStyle w:val="Heading2"/>
      </w:pPr>
      <w:r>
        <w:t xml:space="preserve">Phase 1 — Platform Core</w:t>
      </w:r>
    </w:p>
    <w:p/>
    <w:p>
      <w:r>
        <w:t xml:space="preserve">Tenant, Organization, User, Role, Permission, Customer, Supplier, Address, Country, Currency, Audit.</w:t>
      </w:r>
    </w:p>
    <w:p>
      <w:r>
        <w:t xml:space="preserve">First-party auth. No Vendure/ERPNext/Frappe install.</w:t>
      </w:r>
    </w:p>
    <w:p/>
    <w:p>
      <w:pPr>
        <w:pStyle w:val="Heading2"/>
      </w:pPr>
      <w:r>
        <w:t xml:space="preserve">Phase 2 — Supercore Commerce</w:t>
      </w:r>
    </w:p>
    <w:p/>
    <w:p>
      <w:r>
        <w:t xml:space="preserve">Canonical commerce engine:</w:t>
      </w:r>
    </w:p>
    <w:p/>
    <w:p>
      <w:pPr>
        <w:pStyle w:val="Code"/>
      </w:pPr>
      <w:r>
        <w:rPr>
          <w:rFonts w:ascii="Consolas" w:hAnsi="Consolas"/>
          <w:sz w:val="18"/>
        </w:rPr>
        <w:t xml:space="preserve">Supercore Commerce Engine</w:t>
      </w:r>
    </w:p>
    <w:p>
      <w:pPr>
        <w:pStyle w:val="Code"/>
      </w:pPr>
      <w:r>
        <w:rPr>
          <w:rFonts w:ascii="Consolas" w:hAnsi="Consolas"/>
          <w:sz w:val="18"/>
        </w:rPr>
        <w:t xml:space="preserve">        ├── Supercore DB</w:t>
      </w:r>
    </w:p>
    <w:p>
      <w:pPr>
        <w:pStyle w:val="Code"/>
      </w:pPr>
      <w:r>
        <w:rPr>
          <w:rFonts w:ascii="Consolas" w:hAnsi="Consolas"/>
          <w:sz w:val="18"/>
        </w:rPr>
        <w:t xml:space="preserve">        ├── Supercore API</w:t>
      </w:r>
    </w:p>
    <w:p>
      <w:pPr>
        <w:pStyle w:val="Code"/>
      </w:pPr>
      <w:r>
        <w:rPr>
          <w:rFonts w:ascii="Consolas" w:hAnsi="Consolas"/>
          <w:sz w:val="18"/>
        </w:rPr>
        <w:t xml:space="preserve">        ├── Supercore Pricing</w:t>
      </w:r>
    </w:p>
    <w:p>
      <w:pPr>
        <w:pStyle w:val="Code"/>
      </w:pPr>
      <w:r>
        <w:rPr>
          <w:rFonts w:ascii="Consolas" w:hAnsi="Consolas"/>
          <w:sz w:val="18"/>
        </w:rPr>
        <w:t xml:space="preserve">        ├── Supercore Catalog</w:t>
      </w:r>
    </w:p>
    <w:p>
      <w:pPr>
        <w:pStyle w:val="Code"/>
      </w:pPr>
      <w:r>
        <w:rPr>
          <w:rFonts w:ascii="Consolas" w:hAnsi="Consolas"/>
          <w:sz w:val="18"/>
        </w:rPr>
        <w:t xml:space="preserve">        ├── Supercore Order</w:t>
      </w:r>
    </w:p>
    <w:p>
      <w:pPr>
        <w:pStyle w:val="Code"/>
      </w:pPr>
      <w:r>
        <w:rPr>
          <w:rFonts w:ascii="Consolas" w:hAnsi="Consolas"/>
          <w:sz w:val="18"/>
        </w:rPr>
        <w:t xml:space="preserve">        └── Supercore Inventory (commerce-facing)</w:t>
      </w:r>
    </w:p>
    <w:p/>
    <w:p>
      <w:r>
        <w:t xml:space="preserve">Vendure is not required.</w:t>
      </w:r>
    </w:p>
    <w:p/>
    <w:p>
      <w:r>
        <w:t xml:space="preserve">Payment capture uses PaymentProvider (replaceable). Canonical order remains Supercore.</w:t>
      </w:r>
    </w:p>
    <w:p/>
    <w:p>
      <w:pPr>
        <w:pStyle w:val="Heading2"/>
      </w:pPr>
      <w:r>
        <w:t xml:space="preserve">Phase 3 — Supercore B2B + CRM</w:t>
      </w:r>
    </w:p>
    <w:p/>
    <w:p>
      <w:r>
        <w:t xml:space="preserve">Canonical CRM plus B2B account/buyer behaviour.</w:t>
      </w:r>
    </w:p>
    <w:p>
      <w:r>
        <w:t xml:space="preserve">Frappe CRM is not required.</w:t>
      </w:r>
    </w:p>
    <w:p/>
    <w:p>
      <w:pPr>
        <w:pStyle w:val="Heading2"/>
      </w:pPr>
      <w:r>
        <w:t xml:space="preserve">Phase 4 — ERP / Inventory / Procurement foundations</w:t>
      </w:r>
    </w:p>
    <w:p/>
    <w:p>
      <w:r>
        <w:t xml:space="preserve">Warehouse, stock movements, purchase orders, receipts.</w:t>
      </w:r>
    </w:p>
    <w:p>
      <w:r>
        <w:t xml:space="preserve">This is Supercore ERP foundation, not ERPNext.</w:t>
      </w:r>
    </w:p>
    <w:p/>
    <w:p>
      <w:pPr>
        <w:pStyle w:val="Heading2"/>
      </w:pPr>
      <w:r>
        <w:t xml:space="preserve">Phase 5 — Supercore Accounting</w:t>
      </w:r>
    </w:p>
    <w:p/>
    <w:p>
      <w:pPr>
        <w:pStyle w:val="Code"/>
      </w:pPr>
      <w:r>
        <w:rPr>
          <w:rFonts w:ascii="Consolas" w:hAnsi="Consolas"/>
          <w:sz w:val="18"/>
        </w:rPr>
        <w:t xml:space="preserve">Supercore Accounting Engine</w:t>
      </w:r>
    </w:p>
    <w:p>
      <w:pPr>
        <w:pStyle w:val="Code"/>
      </w:pPr>
      <w:r>
        <w:rPr>
          <w:rFonts w:ascii="Consolas" w:hAnsi="Consolas"/>
          <w:sz w:val="18"/>
        </w:rPr>
        <w:t xml:space="preserve">        ├── Chart of Accounts</w:t>
      </w:r>
    </w:p>
    <w:p>
      <w:pPr>
        <w:pStyle w:val="Code"/>
      </w:pPr>
      <w:r>
        <w:rPr>
          <w:rFonts w:ascii="Consolas" w:hAnsi="Consolas"/>
          <w:sz w:val="18"/>
        </w:rPr>
        <w:t xml:space="preserve">        ├── Journal</w:t>
      </w:r>
    </w:p>
    <w:p>
      <w:pPr>
        <w:pStyle w:val="Code"/>
      </w:pPr>
      <w:r>
        <w:rPr>
          <w:rFonts w:ascii="Consolas" w:hAnsi="Consolas"/>
          <w:sz w:val="18"/>
        </w:rPr>
        <w:t xml:space="preserve">        ├── GL</w:t>
      </w:r>
    </w:p>
    <w:p>
      <w:pPr>
        <w:pStyle w:val="Code"/>
      </w:pPr>
      <w:r>
        <w:rPr>
          <w:rFonts w:ascii="Consolas" w:hAnsi="Consolas"/>
          <w:sz w:val="18"/>
        </w:rPr>
        <w:t xml:space="preserve">        ├── AR</w:t>
      </w:r>
    </w:p>
    <w:p>
      <w:pPr>
        <w:pStyle w:val="Code"/>
      </w:pPr>
      <w:r>
        <w:rPr>
          <w:rFonts w:ascii="Consolas" w:hAnsi="Consolas"/>
          <w:sz w:val="18"/>
        </w:rPr>
        <w:t xml:space="preserve">        ├── AP</w:t>
      </w:r>
    </w:p>
    <w:p>
      <w:pPr>
        <w:pStyle w:val="Code"/>
      </w:pPr>
      <w:r>
        <w:rPr>
          <w:rFonts w:ascii="Consolas" w:hAnsi="Consolas"/>
          <w:sz w:val="18"/>
        </w:rPr>
        <w:t xml:space="preserve">        ├── Invoice</w:t>
      </w:r>
    </w:p>
    <w:p>
      <w:pPr>
        <w:pStyle w:val="Code"/>
      </w:pPr>
      <w:r>
        <w:rPr>
          <w:rFonts w:ascii="Consolas" w:hAnsi="Consolas"/>
          <w:sz w:val="18"/>
        </w:rPr>
        <w:t xml:space="preserve">        └── Payment</w:t>
      </w:r>
    </w:p>
    <w:p/>
    <w:p>
      <w:r>
        <w:t xml:space="preserve">ERPNext is not required.</w:t>
      </w:r>
    </w:p>
    <w:p/>
    <w:p>
      <w:pPr>
        <w:pStyle w:val="Heading2"/>
      </w:pPr>
      <w:r>
        <w:t xml:space="preserve">Phase 6 — Supercore Tax / VAT</w:t>
      </w:r>
    </w:p>
    <w:p/>
    <w:p>
      <w:r>
        <w:t xml:space="preserve">Supercore tax engine, VAT return document, HMRC only via adapter + approval gate.</w:t>
      </w:r>
    </w:p>
    <w:p/>
    <w:p>
      <w:pPr>
        <w:pStyle w:val="Heading2"/>
      </w:pPr>
      <w:r>
        <w:t xml:space="preserve">Phase 7 — Supercore AI</w:t>
      </w:r>
    </w:p>
    <w:p/>
    <w:p>
      <w:r>
        <w:t xml:space="preserve">Assistive agents over existing application services. Cannot bypass RBAC, ledger immutability, or HMRC approval.</w:t>
      </w:r>
    </w:p>
    <w:p/>
    <w:p>
      <w:pPr>
        <w:pBdr>
          <w:bottom w:val="single" w:sz="6" w:space="1" w:color="CCCCCC"/>
        </w:pBdr>
      </w:pPr>
    </w:p>
    <w:p/>
    <w:p>
      <w:pPr>
        <w:pStyle w:val="Heading1"/>
      </w:pPr>
      <w:r>
        <w:t xml:space="preserve">7. Cross-cutting (not a numbered phase)</w:t>
      </w:r>
    </w:p>
    <w:p/>
    <w:p>
      <w:r>
        <w:t xml:space="preserve">These are not extra numbered phases. They do not restore Vendure/ERPNext as engines.</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Capability</w:t>
            </w:r>
          </w:p>
        </w:tc>
        <w:tc>
          <w:tcPr>
            <w:tcW w:w="3000" w:type="dxa"/>
            <w:shd w:val="clear" w:fill="F2F2F2"/>
          </w:tcPr>
          <w:p>
            <w:r>
              <w:t xml:space="preserve">When</w:t>
            </w:r>
          </w:p>
        </w:tc>
        <w:tc>
          <w:tcPr>
            <w:tcW w:w="3000" w:type="dxa"/>
            <w:shd w:val="clear" w:fill="F2F2F2"/>
          </w:tcPr>
          <w:p>
            <w:r>
              <w:t xml:space="preserve">Owner</w:t>
            </w:r>
          </w:p>
        </w:tc>
      </w:tr>
      <w:tr>
        <w:tc>
          <w:tcPr>
            <w:tcW w:w="3000" w:type="dxa"/>
          </w:tcPr>
          <w:p>
            <w:r>
              <w:t xml:space="preserve">Payment **capture** (processor)</w:t>
            </w:r>
          </w:p>
        </w:tc>
        <w:tc>
          <w:tcPr>
            <w:tcW w:w="3000" w:type="dxa"/>
          </w:tcPr>
          <w:p>
            <w:r>
              <w:t xml:space="preserve">Phase 2 with orders</w:t>
            </w:r>
          </w:p>
        </w:tc>
        <w:tc>
          <w:tcPr>
            <w:tcW w:w="3000" w:type="dxa"/>
          </w:tcPr>
          <w:p>
            <w:r>
              <w:t xml:space="preserve">`PaymentProvider`; processor IDs are external</w:t>
            </w:r>
          </w:p>
        </w:tc>
      </w:tr>
      <w:tr>
        <w:tc>
          <w:tcPr>
            <w:tcW w:w="3000" w:type="dxa"/>
          </w:tcPr>
          <w:p>
            <w:r>
              <w:t xml:space="preserve">Payment **allocation** (AR/AP)</w:t>
            </w:r>
          </w:p>
        </w:tc>
        <w:tc>
          <w:tcPr>
            <w:tcW w:w="3000" w:type="dxa"/>
          </w:tcPr>
          <w:p>
            <w:r>
              <w:t xml:space="preserve">Phase 5</w:t>
            </w:r>
          </w:p>
        </w:tc>
        <w:tc>
          <w:tcPr>
            <w:tcW w:w="3000" w:type="dxa"/>
          </w:tcPr>
          <w:p>
            <w:r>
              <w:t xml:space="preserve">`@supercore/accounting`</w:t>
            </w:r>
          </w:p>
        </w:tc>
      </w:tr>
      <w:tr>
        <w:tc>
          <w:tcPr>
            <w:tcW w:w="3000" w:type="dxa"/>
          </w:tcPr>
          <w:p>
            <w:r>
              <w:t xml:space="preserve">Shipping rates/labels</w:t>
            </w:r>
          </w:p>
        </w:tc>
        <w:tc>
          <w:tcPr>
            <w:tcW w:w="3000" w:type="dxa"/>
          </w:tcPr>
          <w:p>
            <w:r>
              <w:t xml:space="preserve">When a carrier is chosen</w:t>
            </w:r>
          </w:p>
        </w:tc>
        <w:tc>
          <w:tcPr>
            <w:tcW w:w="3000" w:type="dxa"/>
          </w:tcPr>
          <w:p>
            <w:r>
              <w:t xml:space="preserve">`ShippingProvider`</w:t>
            </w:r>
          </w:p>
        </w:tc>
      </w:tr>
      <w:tr>
        <w:tc>
          <w:tcPr>
            <w:tcW w:w="3000" w:type="dxa"/>
          </w:tcPr>
          <w:p>
            <w:r>
              <w:t xml:space="preserve">Search</w:t>
            </w:r>
          </w:p>
        </w:tc>
        <w:tc>
          <w:tcPr>
            <w:tcW w:w="3000" w:type="dxa"/>
          </w:tcPr>
          <w:p>
            <w:r>
              <w:t xml:space="preserve">When a domain needs it</w:t>
            </w:r>
          </w:p>
        </w:tc>
        <w:tc>
          <w:tcPr>
            <w:tcW w:w="3000" w:type="dxa"/>
          </w:tcPr>
          <w:p>
            <w:r>
              <w:t xml:space="preserve">`SearchProvider` (`@supercore/search`)</w:t>
            </w:r>
          </w:p>
        </w:tc>
      </w:tr>
      <w:tr>
        <w:tc>
          <w:tcPr>
            <w:tcW w:w="3000" w:type="dxa"/>
          </w:tcPr>
          <w:p>
            <w:r>
              <w:t xml:space="preserve">Files</w:t>
            </w:r>
          </w:p>
        </w:tc>
        <w:tc>
          <w:tcPr>
            <w:tcW w:w="3000" w:type="dxa"/>
          </w:tcPr>
          <w:p>
            <w:r>
              <w:t xml:space="preserve">When a domain needs it</w:t>
            </w:r>
          </w:p>
        </w:tc>
        <w:tc>
          <w:tcPr>
            <w:tcW w:w="3000" w:type="dxa"/>
          </w:tcPr>
          <w:p>
            <w:r>
              <w:t xml:space="preserve">`FileStorageProvider` (`@supercore/files`)</w:t>
            </w:r>
          </w:p>
        </w:tc>
      </w:tr>
      <w:tr>
        <w:tc>
          <w:tcPr>
            <w:tcW w:w="3000" w:type="dxa"/>
          </w:tcPr>
          <w:p>
            <w:r>
              <w:t xml:space="preserve">Reporting / workflow / backups / NGINX TLS</w:t>
            </w:r>
          </w:p>
        </w:tc>
        <w:tc>
          <w:tcPr>
            <w:tcW w:w="3000" w:type="dxa"/>
          </w:tcPr>
          <w:p>
            <w:r>
              <w:t xml:space="preserve">When operations require them</w:t>
            </w:r>
          </w:p>
        </w:tc>
        <w:tc>
          <w:tcPr>
            <w:tcW w:w="3000" w:type="dxa"/>
          </w:tcPr>
          <w:p>
            <w:r>
              <w:t xml:space="preserve">Platform; see Cross-cutting spec</w:t>
            </w:r>
          </w:p>
        </w:tc>
      </w:tr>
    </w:tbl>
    <w:p/>
    <w:p>
      <w:r>
        <w:t xml:space="preserve">See specs/architecture/Supercore Commerce OS — Cross-cutting Platform Services Specification v1.0.md.</w:t>
      </w:r>
    </w:p>
    <w:p/>
    <w:p>
      <w:pPr>
        <w:pBdr>
          <w:bottom w:val="single" w:sz="6" w:space="1" w:color="CCCCCC"/>
        </w:pBdr>
      </w:pPr>
    </w:p>
    <w:p/>
    <w:p>
      <w:pPr>
        <w:pStyle w:val="Heading1"/>
      </w:pPr>
      <w:r>
        <w:t xml:space="preserve">8. Development agents (applies to every phase)</w:t>
      </w:r>
    </w:p>
    <w:p/>
    <w:p>
      <w:r>
        <w:t xml:space="preserve">Cursor, Lovable, and Aider are how we build Phases 1–7. They are not extra product engines and not Phase 8.</w:t>
      </w:r>
    </w:p>
    <w:p/>
    <w:p>
      <w:r>
        <w:t xml:space="preserve">Lovable: dashboard, CRM, customer, product, order, accounting, B2B portal, admin panel, tables, filters, forms, navigation, responsive layout, visual hierarchy, UX flows.</w:t>
      </w:r>
    </w:p>
    <w:p/>
    <w:p>
      <w:r>
        <w:t xml:space="preserve">Cursor: production architecture, APIs, tests, and porting that UI into apps/web / apps/admin.</w:t>
      </w:r>
    </w:p>
    <w:p/>
    <w:p>
      <w:r>
        <w:t xml:space="preserve">Details: specs/architecture/Supercore Commerce OS — Development Agent Architecture v1.0.md.</w:t>
      </w:r>
    </w:p>
    <w:p/>
    <w:p>
      <w:r>
        <w:t xml:space="preserve">During spec work, approvals, and implementation prompts, Cursor queries references/vendure, references/erpnext, references/frappe-crm, and references/frappe when the task needs comparison architecture or code. Cite paths. Take details that help. Do not treat those trees as engines, and do not replace this roadmap. See §2.1.</w:t>
      </w:r>
    </w:p>
    <w:p/>
    <w:p>
      <w:pPr>
        <w:pBdr>
          <w:bottom w:val="single" w:sz="6" w:space="1" w:color="CCCCCC"/>
        </w:pBdr>
      </w:pPr>
    </w:p>
    <w:p/>
    <w:p>
      <w:pPr>
        <w:pStyle w:val="Heading1"/>
      </w:pPr>
      <w:r>
        <w:t xml:space="preserve">9. Approval</w:t>
      </w:r>
    </w:p>
    <w:p/>
    <w:p>
      <w:r>
        <w:t xml:space="preserve">Phase 1 Platform Core was explicitly approved and is implemented on master at 7de6c75 (2026-10-05). §17 blockers are closed. §15 is aligned to that commit. Remote CI succeeded for a0d709f ([Actions run 37339984665](https://github.com/SCore-ai/supercorecommerceos/actions/runs/37339984665)). Phase 2 first-slice addendum is closed (2026-10-05); later Phase 2 slices still need their own addendum.</w:t>
      </w:r>
    </w:p>
    <w:p/>
    <w:p>
      <w:r>
        <w:t xml:space="preserve">Later phases start only after their specification (and any required addendum) is approved.</w:t>
      </w:r>
    </w:p>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pPr>
      <w:spacing w:before="240" w:after="120"/>
    </w:pPr>
    <w:rPr>
      <w:b/>
      <w:sz w:val="36"/>
    </w:rPr>
  </w:style>
  <w:style w:type="paragraph" w:styleId="Heading2">
    <w:name w:val="heading 2"/>
    <w:basedOn w:val="Normal"/>
    <w:pPr>
      <w:spacing w:before="200" w:after="80"/>
    </w:pPr>
    <w:rPr>
      <w:b/>
      <w:sz w:val="28"/>
    </w:rPr>
  </w:style>
  <w:style w:type="paragraph" w:styleId="Heading3">
    <w:name w:val="heading 3"/>
    <w:basedOn w:val="Normal"/>
    <w:pPr>
      <w:spacing w:before="160" w:after="80"/>
    </w:pPr>
    <w:rPr>
      <w:b/>
      <w:sz w:val="24"/>
    </w:rPr>
  </w:style>
  <w:style w:type="paragraph" w:styleId="Heading4">
    <w:name w:val="heading 4"/>
    <w:basedOn w:val="Normal"/>
    <w:rPr>
      <w:b/>
    </w:rPr>
  </w:style>
  <w:style w:type="paragraph" w:styleId="ListBullet">
    <w:name w:val="List Bullet"/>
    <w:basedOn w:val="Normal"/>
    <w:pPr>
      <w:ind w:left="420"/>
      <w:spacing w:after="40"/>
    </w:pPr>
  </w:style>
  <w:style w:type="paragraph" w:styleId="Code">
    <w:name w:val="Code"/>
    <w:basedOn w:val="Normal"/>
    <w:pPr>
      <w:spacing w:after="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