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SUPERCORE COMMERCE OS</w:t>
      </w:r>
    </w:p>
    <w:p/>
    <w:p>
      <w:pPr>
        <w:pStyle w:val="Heading2"/>
      </w:pPr>
      <w:r>
        <w:t xml:space="preserve">Cross-cutting Platform Services Specification v1.0</w:t>
      </w:r>
    </w:p>
    <w:p/>
    <w:p>
      <w:r>
        <w:t xml:space="preserve">Document type: Boundary specification (not a numbered phase)  </w:t>
      </w:r>
    </w:p>
    <w:p>
      <w:r>
        <w:t xml:space="preserve">Location: specs/architecture/ — do not treat this as Phase 8+  </w:t>
      </w:r>
    </w:p>
    <w:p>
      <w:r>
        <w:t xml:space="preserve">Status: Draft direction  </w:t>
      </w:r>
    </w:p>
    <w:p>
      <w:r>
        <w:t xml:space="preserve">Depends on: Phase 0 interfaces; domains as they exist  </w:t>
      </w:r>
    </w:p>
    <w:p>
      <w:r>
        <w:t xml:space="preserve">Date: 2026-09-17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1. Purpose</w:t>
      </w:r>
    </w:p>
    <w:p/>
    <w:p>
      <w:r>
        <w:t xml:space="preserve">Search, files, reporting, workflow, shipping, supplier APIs, backups, and production deploy are platform capabilities.</w:t>
      </w:r>
    </w:p>
    <w:p/>
    <w:p>
      <w:r>
        <w:t xml:space="preserve">They are not extra phases.</w:t>
      </w:r>
    </w:p>
    <w:p>
      <w:r>
        <w:t xml:space="preserve">They do not restore Vendure, ERPNext, or Frappe CRM as engines.</w:t>
      </w:r>
    </w:p>
    <w:p/>
    <w:p>
      <w:r>
        <w:t xml:space="preserve">Implement a capability when a domain needs it, behind the Phase 0 interface.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2. Reserved interfaces (already in the repo)</w:t>
      </w:r>
    </w:p>
    <w:p/>
    <w:tbl>
      <w:tblPr>
        <w:tblW w:w="90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2F2F2"/>
          </w:tcPr>
          <w:p>
            <w:r>
              <w:t xml:space="preserve">Interface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Package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Notes</w:t>
            </w:r>
          </w:p>
        </w:tc>
      </w:tr>
      <w:tr>
        <w:tc>
          <w:tcPr>
            <w:tcW w:w="3000" w:type="dxa"/>
          </w:tcPr>
          <w:p>
            <w:r>
              <w:t xml:space="preserve">`SearchProvider`</w:t>
            </w:r>
          </w:p>
        </w:tc>
        <w:tc>
          <w:tcPr>
            <w:tcW w:w="3000" w:type="dxa"/>
          </w:tcPr>
          <w:p>
            <w:r>
              <w:t xml:space="preserve">`@supercore/search`</w:t>
            </w:r>
          </w:p>
        </w:tc>
        <w:tc>
          <w:tcPr>
            <w:tcW w:w="3000" w:type="dxa"/>
          </w:tcPr>
          <w:p>
            <w:r>
              <w:t xml:space="preserve">Meilisearch/OpenSearch later; never domain-coupled</w:t>
            </w:r>
          </w:p>
        </w:tc>
      </w:tr>
      <w:tr>
        <w:tc>
          <w:tcPr>
            <w:tcW w:w="3000" w:type="dxa"/>
          </w:tcPr>
          <w:p>
            <w:r>
              <w:t xml:space="preserve">`FileStorageProvider`</w:t>
            </w:r>
          </w:p>
        </w:tc>
        <w:tc>
          <w:tcPr>
            <w:tcW w:w="3000" w:type="dxa"/>
          </w:tcPr>
          <w:p>
            <w:r>
              <w:t xml:space="preserve">`@supercore/files`</w:t>
            </w:r>
          </w:p>
        </w:tc>
        <w:tc>
          <w:tcPr>
            <w:tcW w:w="3000" w:type="dxa"/>
          </w:tcPr>
          <w:p>
            <w:r>
              <w:t xml:space="preserve">S3-compatible later; local disk is not canonical</w:t>
            </w:r>
          </w:p>
        </w:tc>
      </w:tr>
      <w:tr>
        <w:tc>
          <w:tcPr>
            <w:tcW w:w="3000" w:type="dxa"/>
          </w:tcPr>
          <w:p>
            <w:r>
              <w:t xml:space="preserve">`ShippingProvider`</w:t>
            </w:r>
          </w:p>
        </w:tc>
        <w:tc>
          <w:tcPr>
            <w:tcW w:w="3000" w:type="dxa"/>
          </w:tcPr>
          <w:p>
            <w:r>
              <w:t xml:space="preserve">`@supercore/integrations`</w:t>
            </w:r>
          </w:p>
        </w:tc>
        <w:tc>
          <w:tcPr>
            <w:tcW w:w="3000" w:type="dxa"/>
          </w:tcPr>
          <w:p>
            <w:r>
              <w:t xml:space="preserve">Carrier chosen later; rates/labels not invented here</w:t>
            </w:r>
          </w:p>
        </w:tc>
      </w:tr>
      <w:tr>
        <w:tc>
          <w:tcPr>
            <w:tcW w:w="3000" w:type="dxa"/>
          </w:tcPr>
          <w:p>
            <w:r>
              <w:t xml:space="preserve">`PaymentProvider`</w:t>
            </w:r>
          </w:p>
        </w:tc>
        <w:tc>
          <w:tcPr>
            <w:tcW w:w="3000" w:type="dxa"/>
          </w:tcPr>
          <w:p>
            <w:r>
              <w:t xml:space="preserve">`@supercore/integrations`</w:t>
            </w:r>
          </w:p>
        </w:tc>
        <w:tc>
          <w:tcPr>
            <w:tcW w:w="3000" w:type="dxa"/>
          </w:tcPr>
          <w:p>
            <w:r>
              <w:t xml:space="preserve">Capture in Phase 2; allocation in Phase 5</w:t>
            </w:r>
          </w:p>
        </w:tc>
      </w:tr>
      <w:tr>
        <w:tc>
          <w:tcPr>
            <w:tcW w:w="3000" w:type="dxa"/>
          </w:tcPr>
          <w:p>
            <w:r>
              <w:t xml:space="preserve">`HMRCProvider` / `VATReturnProvider`</w:t>
            </w:r>
          </w:p>
        </w:tc>
        <w:tc>
          <w:tcPr>
            <w:tcW w:w="3000" w:type="dxa"/>
          </w:tcPr>
          <w:p>
            <w:r>
              <w:t xml:space="preserve">`@supercore/integrations`</w:t>
            </w:r>
          </w:p>
        </w:tc>
        <w:tc>
          <w:tcPr>
            <w:tcW w:w="3000" w:type="dxa"/>
          </w:tcPr>
          <w:p>
            <w:r>
              <w:t xml:space="preserve">Phase 6; approval gate required</w:t>
            </w:r>
          </w:p>
        </w:tc>
      </w:tr>
      <w:tr>
        <w:tc>
          <w:tcPr>
            <w:tcW w:w="3000" w:type="dxa"/>
          </w:tcPr>
          <w:p>
            <w:r>
              <w:t xml:space="preserve">`CommerceProvider` / `CRMProvider` / `AccountingProvider` / `TaxProvider`</w:t>
            </w:r>
          </w:p>
        </w:tc>
        <w:tc>
          <w:tcPr>
            <w:tcW w:w="3000" w:type="dxa"/>
          </w:tcPr>
          <w:p>
            <w:r>
              <w:t xml:space="preserve">`@supercore/integrations`</w:t>
            </w:r>
          </w:p>
        </w:tc>
        <w:tc>
          <w:tcPr>
            <w:tcW w:w="3000" w:type="dxa"/>
          </w:tcPr>
          <w:p>
            <w:r>
              <w:t xml:space="preserve">Canonical implementations are Supercore engines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3. Operations (when needed)</w:t>
      </w:r>
    </w:p>
    <w:p/>
    <w:p>
      <w:pPr>
        <w:pStyle w:val="ListBullet"/>
      </w:pPr>
      <w:r>
        <w:t xml:space="preserve">Job / health / error dashboards</w:t>
      </w:r>
    </w:p>
    <w:p>
      <w:pPr>
        <w:pStyle w:val="ListBullet"/>
      </w:pPr>
      <w:r>
        <w:t xml:space="preserve">Documented PostgreSQL backup/restore</w:t>
      </w:r>
    </w:p>
    <w:p>
      <w:pPr>
        <w:pStyle w:val="ListBullet"/>
      </w:pPr>
      <w:r>
        <w:t xml:space="preserve">GitHub Actions expansion</w:t>
      </w:r>
    </w:p>
    <w:p>
      <w:pPr>
        <w:pStyle w:val="ListBullet"/>
      </w:pPr>
      <w:r>
        <w:t xml:space="preserve">NGINX / TLS topology only with a deployment ADR</w:t>
      </w:r>
    </w:p>
    <w:p>
      <w:pPr>
        <w:pStyle w:val="ListBullet"/>
      </w:pPr>
      <w:r>
        <w:t xml:space="preserve">SaaS provisioning and suspension after Phase 1 tenants exist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4. Out of scope</w:t>
      </w:r>
    </w:p>
    <w:p/>
    <w:p>
      <w:pPr>
        <w:pStyle w:val="ListBullet"/>
      </w:pPr>
      <w:r>
        <w:t xml:space="preserve">Kubernetes unless an ADR approves it</w:t>
      </w:r>
    </w:p>
    <w:p>
      <w:pPr>
        <w:pStyle w:val="ListBullet"/>
      </w:pPr>
      <w:r>
        <w:t xml:space="preserve">Kafka / RabbitMQ (Redis + BullMQ remain the job backbone)</w:t>
      </w:r>
    </w:p>
    <w:p>
      <w:pPr>
        <w:pStyle w:val="ListBullet"/>
      </w:pPr>
      <w:r>
        <w:t xml:space="preserve">Shopify apps</w:t>
      </w:r>
    </w:p>
    <w:p>
      <w:pPr>
        <w:pStyle w:val="ListBullet"/>
      </w:pPr>
      <w:r>
        <w:t xml:space="preserve">Making an external SaaS the canonical database</w:t>
      </w:r>
    </w:p>
    <w:p>
      <w:pPr>
        <w:pStyle w:val="ListBullet"/>
      </w:pPr>
      <w:r>
        <w:t xml:space="preserve">Unattended production deploys</w:t>
      </w:r>
    </w:p>
    <w:p>
      <w:pPr>
        <w:pStyle w:val="ListBullet"/>
      </w:pPr>
      <w:r>
        <w:t xml:space="preserve">Installing Vendure, ERPNext, or Frappe CRM because they exist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5. Reporting</w:t>
      </w:r>
    </w:p>
    <w:p/>
    <w:p>
      <w:r>
        <w:t xml:space="preserve">Reports read Supercore data.</w:t>
      </w:r>
    </w:p>
    <w:p>
      <w:r>
        <w:t xml:space="preserve">They are not a second system of record.</w:t>
      </w:r>
    </w:p>
    <w:p>
      <w:r>
        <w:t xml:space="preserve">Financial reports must not use JavaScript number aggregation.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6. Definition of done (per capability, after addendum)</w:t>
      </w:r>
    </w:p>
    <w:p/>
    <w:p>
      <w:pPr>
        <w:pStyle w:val="ListBullet"/>
      </w:pPr>
      <w:r>
        <w:t xml:space="preserve">The capability is behind a replaceable interface</w:t>
      </w:r>
    </w:p>
    <w:p>
      <w:pPr>
        <w:pStyle w:val="ListBullet"/>
      </w:pPr>
      <w:r>
        <w:t xml:space="preserve">Tenant isolation holds</w:t>
      </w:r>
    </w:p>
    <w:p>
      <w:pPr>
        <w:pStyle w:val="ListBullet"/>
      </w:pPr>
      <w:r>
        <w:t xml:space="preserve">Secrets are not logged</w:t>
      </w:r>
    </w:p>
    <w:p>
      <w:pPr>
        <w:pStyle w:val="ListBullet"/>
      </w:pPr>
      <w:r>
        <w:t xml:space="preserve">No external engine became source-of-truth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