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ADR-001 Modular monolith</w:t>
      </w:r>
    </w:p>
    <w:p/>
    <w:p>
      <w:pPr>
        <w:pStyle w:val="Heading2"/>
      </w:pPr>
      <w:r>
        <w:t xml:space="preserve">Context</w:t>
      </w:r>
    </w:p>
    <w:p/>
    <w:p>
      <w:r>
        <w:t xml:space="preserve">Supercore Commerce OS needs a long-lived foundation. Microservices would add operational cost before any domain exists.</w:t>
      </w:r>
    </w:p>
    <w:p/>
    <w:p>
      <w:pPr>
        <w:pStyle w:val="Heading2"/>
      </w:pPr>
      <w:r>
        <w:t xml:space="preserve">Decision</w:t>
      </w:r>
    </w:p>
    <w:p/>
    <w:p>
      <w:r>
        <w:t xml:space="preserve">Use a pnpm-workspace modular monolith.</w:t>
      </w:r>
    </w:p>
    <w:p/>
    <w:p>
      <w:pPr>
        <w:pStyle w:val="ListBullet"/>
      </w:pPr>
      <w:r>
        <w:t xml:space="preserve">`apps/*` for runnable UI/API</w:t>
      </w:r>
    </w:p>
    <w:p>
      <w:pPr>
        <w:pStyle w:val="ListBullet"/>
      </w:pPr>
      <w:r>
        <w:t xml:space="preserve">`packages/*` for domain and platform modules</w:t>
      </w:r>
    </w:p>
    <w:p>
      <w:pPr>
        <w:pStyle w:val="ListBullet"/>
      </w:pPr>
      <w:r>
        <w:t xml:space="preserve">`services/worker` for background jobs</w:t>
      </w:r>
    </w:p>
    <w:p>
      <w:pPr>
        <w:pStyle w:val="ListBullet"/>
      </w:pPr>
      <w:r>
        <w:t xml:space="preserve">No Turborepo</w:t>
      </w:r>
    </w:p>
    <w:p>
      <w:pPr>
        <w:pStyle w:val="ListBullet"/>
      </w:pPr>
      <w:r>
        <w:t xml:space="preserve">No microservices in Phase 0</w:t>
      </w:r>
    </w:p>
    <w:p/>
    <w:p>
      <w:pPr>
        <w:pStyle w:val="Heading2"/>
      </w:pPr>
      <w:r>
        <w:t xml:space="preserve">Alternatives</w:t>
      </w:r>
    </w:p>
    <w:p/>
    <w:p>
      <w:pPr>
        <w:pStyle w:val="ListBullet"/>
      </w:pPr>
      <w:r>
        <w:t xml:space="preserve">Microservices from day one: rejected as premature</w:t>
      </w:r>
    </w:p>
    <w:p>
      <w:pPr>
        <w:pStyle w:val="ListBullet"/>
      </w:pPr>
      <w:r>
        <w:t xml:space="preserve">Turborepo: rejected; pnpm scripts are enough</w:t>
      </w:r>
    </w:p>
    <w:p>
      <w:pPr>
        <w:pStyle w:val="ListBullet"/>
      </w:pPr>
      <w:r>
        <w:t xml:space="preserve">Single package: rejected; module boundaries would be weaker</w:t>
      </w:r>
    </w:p>
    <w:p/>
    <w:p>
      <w:pPr>
        <w:pStyle w:val="Heading2"/>
      </w:pPr>
      <w:r>
        <w:t xml:space="preserve">Consequences</w:t>
      </w:r>
    </w:p>
    <w:p/>
    <w:p>
      <w:r>
        <w:t xml:space="preserve">Modules can later become services only with an ADR. Cross-package imports must follow documented boundaries.</w:t>
      </w:r>
    </w:p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36"/>
    </w:rPr>
  </w:style>
  <w:style w:type="paragraph" w:styleId="Heading2">
    <w:name w:val="heading 2"/>
    <w:basedOn w:val="Normal"/>
    <w:pPr>
      <w:spacing w:before="200" w:after="80"/>
    </w:pPr>
    <w:rPr>
      <w:b/>
      <w:sz w:val="28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  <w:style w:type="paragraph" w:styleId="Heading4">
    <w:name w:val="heading 4"/>
    <w:basedOn w:val="Normal"/>
    <w:rPr>
      <w:b/>
    </w:rPr>
  </w:style>
  <w:style w:type="paragraph" w:styleId="ListBullet">
    <w:name w:val="List Bullet"/>
    <w:basedOn w:val="Normal"/>
    <w:pPr>
      <w:ind w:left="420"/>
      <w:spacing w:after="40"/>
    </w:pPr>
  </w:style>
  <w:style w:type="paragraph" w:styleId="Code">
    <w:name w:val="Code"/>
    <w:basedOn w:val="Normal"/>
    <w:pPr>
      <w:spacing w:after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