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ADR-002 Canonical data ownership</w:t>
      </w:r>
    </w:p>
    <w:p/>
    <w:p>
      <w:pPr>
        <w:pStyle w:val="Heading2"/>
      </w:pPr>
      <w:r>
        <w:t xml:space="preserve">Context</w:t>
      </w:r>
    </w:p>
    <w:p/>
    <w:p>
      <w:r>
        <w:t xml:space="preserve">The product must be owned by Supercore. External engines must remain replaceable.</w:t>
      </w:r>
    </w:p>
    <w:p/>
    <w:p>
      <w:r>
        <w:t xml:space="preserve">This repository is greenfield. There is no historical data migration.</w:t>
      </w:r>
    </w:p>
    <w:p/>
    <w:p>
      <w:r>
        <w:t xml:space="preserve">ChatGPT or other assistants must not reintroduce Vendure, ERPNext, or Frappe CRM as required platforms.</w:t>
      </w:r>
    </w:p>
    <w:p/>
    <w:p>
      <w:pPr>
        <w:pStyle w:val="Heading2"/>
      </w:pPr>
      <w:r>
        <w:t xml:space="preserve">Decision</w:t>
      </w:r>
    </w:p>
    <w:p/>
    <w:p>
      <w:r>
        <w:t xml:space="preserve">Supercore owns the canonical domain model, identifiers, and engines:</w:t>
      </w:r>
    </w:p>
    <w:p/>
    <w:p>
      <w:pPr>
        <w:pStyle w:val="ListBullet"/>
      </w:pPr>
      <w:r>
        <w:t xml:space="preserve">Supercore Commerce Engine (Phase 2)</w:t>
      </w:r>
    </w:p>
    <w:p>
      <w:pPr>
        <w:pStyle w:val="ListBullet"/>
      </w:pPr>
      <w:r>
        <w:t xml:space="preserve">Supercore CRM (Phase 3)</w:t>
      </w:r>
    </w:p>
    <w:p>
      <w:pPr>
        <w:pStyle w:val="ListBullet"/>
      </w:pPr>
      <w:r>
        <w:t xml:space="preserve">Supercore Accounting Engine (Phase 5)</w:t>
      </w:r>
    </w:p>
    <w:p>
      <w:pPr>
        <w:pStyle w:val="ListBullet"/>
      </w:pPr>
      <w:r>
        <w:t xml:space="preserve">Supercore Tax Engine (Phase 6)</w:t>
      </w:r>
    </w:p>
    <w:p/>
    <w:p>
      <w:r>
        <w:t xml:space="preserve">Shopify is not part of this architecture.</w:t>
      </w:r>
    </w:p>
    <w:p/>
    <w:p>
      <w:r>
        <w:t xml:space="preserve">Vendure, ERPNext, and Frappe CRM:</w:t>
      </w:r>
    </w:p>
    <w:p/>
    <w:p>
      <w:pPr>
        <w:pStyle w:val="ListBullet"/>
      </w:pPr>
      <w:r>
        <w:t xml:space="preserve">are not installed in Phase 0 or Phase 1</w:t>
      </w:r>
    </w:p>
    <w:p>
      <w:pPr>
        <w:pStyle w:val="ListBullet"/>
      </w:pPr>
      <w:r>
        <w:t xml:space="preserve">have no dedicated implementation phase</w:t>
      </w:r>
    </w:p>
    <w:p>
      <w:pPr>
        <w:pStyle w:val="ListBullet"/>
      </w:pPr>
      <w:r>
        <w:t xml:space="preserve">may later exist only as optional adapters if a later spec justifies them</w:t>
      </w:r>
    </w:p>
    <w:p/>
    <w:p>
      <w:r>
        <w:t xml:space="preserve">HMRC, payment providers, shipping providers, and supplier APIs are also replaceable integrations, never canonical owners.</w:t>
      </w:r>
    </w:p>
    <w:p/>
    <w:p>
      <w:r>
        <w:t xml:space="preserve">External IDs are never primary keys.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Make Vendure or ERPNext the system of record: rejected</w:t>
      </w:r>
    </w:p>
    <w:p>
      <w:pPr>
        <w:pStyle w:val="ListBullet"/>
      </w:pPr>
      <w:r>
        <w:t xml:space="preserve">Schedule Vendure/ERPNext phases because the tools exist: rejected</w:t>
      </w:r>
    </w:p>
    <w:p>
      <w:pPr>
        <w:pStyle w:val="ListBullet"/>
      </w:pPr>
      <w:r>
        <w:t xml:space="preserve">Build importers/migration tooling in Phase 0: rejected</w:t>
      </w:r>
    </w:p>
    <w:p/>
    <w:p>
      <w:pPr>
        <w:pStyle w:val="Heading2"/>
      </w:pPr>
      <w:r>
        <w:t xml:space="preserve">Consequences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CommerceProvider    → SupercoreCommerceProvider (canonical)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VendureCommerceProvider (optional, unscheduled)</w:t>
      </w:r>
    </w:p>
    <w:p>
      <w:pPr>
        <w:pStyle w:val="Code"/>
      </w:pPr>
      <w:r>
        <w:rPr>
          <w:rFonts w:ascii="Consolas" w:hAnsi="Consolas"/>
          <w:sz w:val="18"/>
        </w:rPr>
        <w:t xml:space="preserve">CRMProvider         → SupercoreCRMProvider (canonical)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FrappeCRMProvider (optional, unscheduled)</w:t>
      </w:r>
    </w:p>
    <w:p>
      <w:pPr>
        <w:pStyle w:val="Code"/>
      </w:pPr>
      <w:r>
        <w:rPr>
          <w:rFonts w:ascii="Consolas" w:hAnsi="Consolas"/>
          <w:sz w:val="18"/>
        </w:rPr>
        <w:t xml:space="preserve">AccountingProvider  → SupercoreAccountingProvider (canonical)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ERPNextAccountingProvider (optional, unscheduled)</w:t>
      </w:r>
    </w:p>
    <w:p/>
    <w:p>
      <w:r>
        <w:t xml:space="preserve">Domain code depends on Supercore services. Adapters are opt-in.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