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ADR-003 ID strategy</w:t>
      </w:r>
    </w:p>
    <w:p/>
    <w:p>
      <w:pPr>
        <w:pStyle w:val="Heading2"/>
      </w:pPr>
      <w:r>
        <w:t xml:space="preserve">Context</w:t>
      </w:r>
    </w:p>
    <w:p/>
    <w:p>
      <w:r>
        <w:t xml:space="preserve">The platform needs stable internal identifiers and, later, human-meaningful business IDs.</w:t>
      </w:r>
    </w:p>
    <w:p/>
    <w:p>
      <w:r>
        <w:t xml:space="preserve">Sequential business IDs should not be database primary keys because of contention and leaking.</w:t>
      </w:r>
    </w:p>
    <w:p/>
    <w:p>
      <w:pPr>
        <w:pStyle w:val="Heading2"/>
      </w:pPr>
      <w:r>
        <w:t xml:space="preserve">Decision</w:t>
      </w:r>
    </w:p>
    <w:p/>
    <w:p>
      <w:pPr>
        <w:pStyle w:val="ListBullet"/>
      </w:pPr>
      <w:r>
        <w:t xml:space="preserve">Internal PKs are UUIDv7 generated in application code.</w:t>
      </w:r>
    </w:p>
    <w:p>
      <w:pPr>
        <w:pStyle w:val="ListBullet"/>
      </w:pPr>
      <w:r>
        <w:t xml:space="preserve">Business IDs are a separate nullable abstraction.</w:t>
      </w:r>
    </w:p>
    <w:p>
      <w:pPr>
        <w:pStyle w:val="ListBullet"/>
      </w:pPr>
      <w:r>
        <w:t xml:space="preserve">Business numbering rules are not implemented in Phase 0.</w:t>
      </w:r>
    </w:p>
    <w:p>
      <w:pPr>
        <w:pStyle w:val="ListBullet"/>
      </w:pPr>
      <w:r>
        <w:t xml:space="preserve">External provider IDs are never canonical.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Database serial PKs: weaker for distribution and merging</w:t>
      </w:r>
    </w:p>
    <w:p>
      <w:pPr>
        <w:pStyle w:val="ListBullet"/>
      </w:pPr>
      <w:r>
        <w:t xml:space="preserve">UUIDv4 only: valid, but UUIDv7 sorts better in indexes</w:t>
      </w:r>
    </w:p>
    <w:p>
      <w:pPr>
        <w:pStyle w:val="ListBullet"/>
      </w:pPr>
      <w:r>
        <w:t xml:space="preserve">Encode `SC-CUS-000001` in the database PK: rejected</w:t>
      </w:r>
    </w:p>
    <w:p/>
    <w:p>
      <w:pPr>
        <w:pStyle w:val="Heading2"/>
      </w:pPr>
      <w:r>
        <w:t xml:space="preserve">Consequences</w:t>
      </w:r>
    </w:p>
    <w:p/>
    <w:p>
      <w:r>
        <w:t xml:space="preserve">Phase 1 entities should use id (UUIDv7) plus optional businessId. A numbering service can be added later.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