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ADR-004 Adapter architecture</w:t>
      </w:r>
    </w:p>
    <w:p/>
    <w:p>
      <w:pPr>
        <w:pStyle w:val="Heading2"/>
      </w:pPr>
      <w:r>
        <w:t xml:space="preserve">Context</w:t>
      </w:r>
    </w:p>
    <w:p/>
    <w:p>
      <w:r>
        <w:t xml:space="preserve">Integrations must not own Supercore business logic.</w:t>
      </w:r>
    </w:p>
    <w:p>
      <w:r>
        <w:t xml:space="preserve">Vendure and ERPNext must not be treated as required runtimes.</w:t>
      </w:r>
    </w:p>
    <w:p/>
    <w:p>
      <w:pPr>
        <w:pStyle w:val="Heading2"/>
      </w:pPr>
      <w:r>
        <w:t xml:space="preserve">Decision</w:t>
      </w:r>
    </w:p>
    <w:p/>
    <w:p>
      <w:r>
        <w:t xml:space="preserve">Define provider interfaces:</w:t>
      </w:r>
    </w:p>
    <w:p/>
    <w:p>
      <w:pPr>
        <w:pStyle w:val="ListBullet"/>
      </w:pPr>
      <w:r>
        <w:t xml:space="preserve">CommerceProvider</w:t>
      </w:r>
    </w:p>
    <w:p>
      <w:pPr>
        <w:pStyle w:val="ListBullet"/>
      </w:pPr>
      <w:r>
        <w:t xml:space="preserve">AccountingProvider</w:t>
      </w:r>
    </w:p>
    <w:p>
      <w:pPr>
        <w:pStyle w:val="ListBullet"/>
      </w:pPr>
      <w:r>
        <w:t xml:space="preserve">CRMProvider</w:t>
      </w:r>
    </w:p>
    <w:p>
      <w:pPr>
        <w:pStyle w:val="ListBullet"/>
      </w:pPr>
      <w:r>
        <w:t xml:space="preserve">PaymentProvider</w:t>
      </w:r>
    </w:p>
    <w:p>
      <w:pPr>
        <w:pStyle w:val="ListBullet"/>
      </w:pPr>
      <w:r>
        <w:t xml:space="preserve">ShippingProvider</w:t>
      </w:r>
    </w:p>
    <w:p>
      <w:pPr>
        <w:pStyle w:val="ListBullet"/>
      </w:pPr>
      <w:r>
        <w:t xml:space="preserve">AIProvider</w:t>
      </w:r>
    </w:p>
    <w:p>
      <w:pPr>
        <w:pStyle w:val="ListBullet"/>
      </w:pPr>
      <w:r>
        <w:t xml:space="preserve">TaxProvider</w:t>
      </w:r>
    </w:p>
    <w:p>
      <w:pPr>
        <w:pStyle w:val="ListBullet"/>
      </w:pPr>
      <w:r>
        <w:t xml:space="preserve">HMRCProvider</w:t>
      </w:r>
    </w:p>
    <w:p>
      <w:pPr>
        <w:pStyle w:val="ListBullet"/>
      </w:pPr>
      <w:r>
        <w:t xml:space="preserve">VATReturnProvider</w:t>
      </w:r>
    </w:p>
    <w:p>
      <w:pPr>
        <w:pStyle w:val="ListBullet"/>
      </w:pPr>
      <w:r>
        <w:t xml:space="preserve">SearchProvider</w:t>
      </w:r>
    </w:p>
    <w:p>
      <w:pPr>
        <w:pStyle w:val="ListBullet"/>
      </w:pPr>
      <w:r>
        <w:t xml:space="preserve">FileStorageProvider</w:t>
      </w:r>
    </w:p>
    <w:p/>
    <w:p>
      <w:r>
        <w:t xml:space="preserve">Canonical implementations (later phases, still Supercore-owned):</w:t>
      </w:r>
    </w:p>
    <w:p/>
    <w:p>
      <w:pPr>
        <w:pStyle w:val="ListBullet"/>
      </w:pPr>
      <w:r>
        <w:t xml:space="preserve">SupercoreCommerceProvider</w:t>
      </w:r>
    </w:p>
    <w:p>
      <w:pPr>
        <w:pStyle w:val="ListBullet"/>
      </w:pPr>
      <w:r>
        <w:t xml:space="preserve">SupercoreCRMProvider</w:t>
      </w:r>
    </w:p>
    <w:p>
      <w:pPr>
        <w:pStyle w:val="ListBullet"/>
      </w:pPr>
      <w:r>
        <w:t xml:space="preserve">SupercoreAccountingProvider</w:t>
      </w:r>
    </w:p>
    <w:p>
      <w:pPr>
        <w:pStyle w:val="ListBullet"/>
      </w:pPr>
      <w:r>
        <w:t xml:space="preserve">SupercoreTaxProvider</w:t>
      </w:r>
    </w:p>
    <w:p/>
    <w:p>
      <w:r>
        <w:t xml:space="preserve">Optional unscheduled adapters (not a delivery commitment):</w:t>
      </w:r>
    </w:p>
    <w:p/>
    <w:p>
      <w:pPr>
        <w:pStyle w:val="ListBullet"/>
      </w:pPr>
      <w:r>
        <w:t xml:space="preserve">VendureCommerceProvider</w:t>
      </w:r>
    </w:p>
    <w:p>
      <w:pPr>
        <w:pStyle w:val="ListBullet"/>
      </w:pPr>
      <w:r>
        <w:t xml:space="preserve">FrappeCRMProvider</w:t>
      </w:r>
    </w:p>
    <w:p>
      <w:pPr>
        <w:pStyle w:val="ListBullet"/>
      </w:pPr>
      <w:r>
        <w:t xml:space="preserve">ERPNextAccountingProvider</w:t>
      </w:r>
    </w:p>
    <w:p/>
    <w:p>
      <w:r>
        <w:t xml:space="preserve">No external provider implementations ship in Phase 0 or Phase 1.</w:t>
      </w:r>
    </w:p>
    <w:p/>
    <w:p>
      <w:pPr>
        <w:pStyle w:val="Heading2"/>
      </w:pPr>
      <w:r>
        <w:t xml:space="preserve">Alternatives</w:t>
      </w:r>
    </w:p>
    <w:p/>
    <w:p>
      <w:pPr>
        <w:pStyle w:val="ListBullet"/>
      </w:pPr>
      <w:r>
        <w:t xml:space="preserve">Embed Vendure/ERPNext/Frappe in the domain: rejected</w:t>
      </w:r>
    </w:p>
    <w:p>
      <w:pPr>
        <w:pStyle w:val="ListBullet"/>
      </w:pPr>
      <w:r>
        <w:t xml:space="preserve">Skip interfaces until an external vendor is chosen: rejected; boundaries stay</w:t>
      </w:r>
    </w:p>
    <w:p/>
    <w:p>
      <w:pPr>
        <w:pStyle w:val="Heading2"/>
      </w:pPr>
      <w:r>
        <w:t xml:space="preserve">Consequences</w:t>
      </w:r>
    </w:p>
    <w:p/>
    <w:p>
      <w:r>
        <w:t xml:space="preserve">A later phase may add an optional adapter without rewriting canonical engines.</w:t>
      </w:r>
    </w:p>
    <w:p>
      <w:r>
        <w:t xml:space="preserve">Absence of Vendure/ERPNext/Frappe is the default.</w:t>
      </w:r>
    </w:p>
    <w:p/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pPr>
      <w:spacing w:before="240" w:after="120"/>
    </w:pPr>
    <w:rPr>
      <w:b/>
      <w:sz w:val="36"/>
    </w:rPr>
  </w:style>
  <w:style w:type="paragraph" w:styleId="Heading2">
    <w:name w:val="heading 2"/>
    <w:basedOn w:val="Normal"/>
    <w:pPr>
      <w:spacing w:before="200" w:after="80"/>
    </w:pPr>
    <w:rPr>
      <w:b/>
      <w:sz w:val="28"/>
    </w:rPr>
  </w:style>
  <w:style w:type="paragraph" w:styleId="Heading3">
    <w:name w:val="heading 3"/>
    <w:basedOn w:val="Normal"/>
    <w:pPr>
      <w:spacing w:before="160" w:after="80"/>
    </w:pPr>
    <w:rPr>
      <w:b/>
      <w:sz w:val="24"/>
    </w:rPr>
  </w:style>
  <w:style w:type="paragraph" w:styleId="Heading4">
    <w:name w:val="heading 4"/>
    <w:basedOn w:val="Normal"/>
    <w:rPr>
      <w:b/>
    </w:rPr>
  </w:style>
  <w:style w:type="paragraph" w:styleId="ListBullet">
    <w:name w:val="List Bullet"/>
    <w:basedOn w:val="Normal"/>
    <w:pPr>
      <w:ind w:left="420"/>
      <w:spacing w:after="40"/>
    </w:pPr>
  </w:style>
  <w:style w:type="paragraph" w:styleId="Code">
    <w:name w:val="Code"/>
    <w:basedOn w:val="Normal"/>
    <w:pPr>
      <w:spacing w:after="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