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ADR-006 Multi-tenancy</w:t>
      </w:r>
    </w:p>
    <w:p/>
    <w:p>
      <w:pPr>
        <w:pStyle w:val="Heading2"/>
      </w:pPr>
      <w:r>
        <w:t xml:space="preserve">Context</w:t>
      </w:r>
    </w:p>
    <w:p/>
    <w:p>
      <w:r>
        <w:t xml:space="preserve">The product will be multi-tenant SaaS. Tenant isolation cannot be bolted on later as an afterthought.</w:t>
      </w:r>
    </w:p>
    <w:p/>
    <w:p>
      <w:pPr>
        <w:pStyle w:val="Heading2"/>
      </w:pPr>
      <w:r>
        <w:t xml:space="preserve">Decision</w:t>
      </w:r>
    </w:p>
    <w:p/>
    <w:p>
      <w:pPr>
        <w:pStyle w:val="ListBullet"/>
      </w:pPr>
      <w:r>
        <w:t xml:space="preserve">`TenantContext` is stored in `AsyncLocalStorage`.</w:t>
      </w:r>
    </w:p>
    <w:p>
      <w:pPr>
        <w:pStyle w:val="ListBullet"/>
      </w:pPr>
      <w:r>
        <w:t xml:space="preserve">`tenantId` must come from authenticated session context or an internal job.</w:t>
      </w:r>
    </w:p>
    <w:p>
      <w:pPr>
        <w:pStyle w:val="ListBullet"/>
      </w:pPr>
      <w:r>
        <w:t xml:space="preserve">Client-supplied `tenantId` query/header values are rejected.</w:t>
      </w:r>
    </w:p>
    <w:p>
      <w:pPr>
        <w:pStyle w:val="ListBullet"/>
      </w:pPr>
      <w:r>
        <w:t xml:space="preserve">Organization is a typed boundary, not a Phase 0 table.</w:t>
      </w:r>
    </w:p>
    <w:p>
      <w:pPr>
        <w:pStyle w:val="ListBullet"/>
      </w:pPr>
      <w:r>
        <w:t xml:space="preserve">Auth is an `AuthProvider` interface. The default is unauthenticated. A local bypass exists only when `AUTH_DEV_BYPASS=true` and `NODE_ENV` is not production.</w:t>
      </w:r>
    </w:p>
    <w:p/>
    <w:p>
      <w:pPr>
        <w:pStyle w:val="Heading2"/>
      </w:pPr>
      <w:r>
        <w:t xml:space="preserve">Alternatives</w:t>
      </w:r>
    </w:p>
    <w:p/>
    <w:p>
      <w:pPr>
        <w:pStyle w:val="ListBullet"/>
      </w:pPr>
      <w:r>
        <w:t xml:space="preserve">Trust tenant IDs from the client: rejected</w:t>
      </w:r>
    </w:p>
    <w:p>
      <w:pPr>
        <w:pStyle w:val="ListBullet"/>
      </w:pPr>
      <w:r>
        <w:t xml:space="preserve">Bind the domain to a specific IdP now: rejected</w:t>
      </w:r>
    </w:p>
    <w:p>
      <w:pPr>
        <w:pStyle w:val="ListBullet"/>
      </w:pPr>
      <w:r>
        <w:t xml:space="preserve">Skip tenant context until SaaS launch: rejected</w:t>
      </w:r>
    </w:p>
    <w:p/>
    <w:p>
      <w:pPr>
        <w:pStyle w:val="Heading2"/>
      </w:pPr>
      <w:r>
        <w:t xml:space="preserve">Consequences</w:t>
      </w:r>
    </w:p>
    <w:p/>
    <w:p>
      <w:r>
        <w:t xml:space="preserve">Phase 1 tables that represent tenant-owned entities should include tenantId and queries must run inside tenant context.</w:t>
      </w:r>
    </w:p>
    <w:p/>
    <w:p>
      <w:pPr>
        <w:pStyle w:val="Heading2"/>
      </w:pPr>
      <w:r>
        <w:t xml:space="preserve">Amendment (2026-10-05)</w:t>
      </w:r>
    </w:p>
    <w:p/>
    <w:p>
      <w:r>
        <w:t xml:space="preserve">Sign-in for tenant users may accept a public tenantSlug. That value is not tenantId, not a UUID, and not a client isolation header.</w:t>
      </w:r>
    </w:p>
    <w:p/>
    <w:p>
      <w:pPr>
        <w:pStyle w:val="ListBullet"/>
      </w:pPr>
      <w:r>
        <w:t xml:space="preserve">Tenant users: email + password + `tenantSlug` → look up tenant by slug, then that tenant’s user by email. One password check.</w:t>
      </w:r>
    </w:p>
    <w:p>
      <w:pPr>
        <w:pStyle w:val="ListBullet"/>
      </w:pPr>
      <w:r>
        <w:t xml:space="preserve">Platform Super Admin: email + password with no slug → Super Admin users only (`tenantId` null).</w:t>
      </w:r>
    </w:p>
    <w:p>
      <w:pPr>
        <w:pStyle w:val="ListBullet"/>
      </w:pPr>
      <w:r>
        <w:t xml:space="preserve">After success, `TenantContext.tenantId` still comes only from the server session (or `internal` jobs).</w:t>
      </w:r>
    </w:p>
    <w:p>
      <w:pPr>
        <w:pStyle w:val="ListBullet"/>
      </w:pPr>
      <w:r>
        <w:t xml:space="preserve">Super Admin platform routes may use a tenant resource id in the path when provisioning. That is not tenant-user isolation input.</w:t>
      </w:r>
    </w:p>
    <w:p/>
    <w:p>
      <w:r>
        <w:t xml:space="preserve">This does not reverse “a user belongs to one tenant”. It does not make email globally unique.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