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ADR-007 Financial data principles</w:t>
      </w:r>
    </w:p>
    <w:p/>
    <w:p>
      <w:pPr>
        <w:pStyle w:val="Heading2"/>
      </w:pPr>
      <w:r>
        <w:t xml:space="preserve">Context</w:t>
      </w:r>
    </w:p>
    <w:p/>
    <w:p>
      <w:r>
        <w:t xml:space="preserve">Accounting is not implemented in Phase 0, but JavaScript numbers are unsafe for money.</w:t>
      </w:r>
    </w:p>
    <w:p/>
    <w:p>
      <w:pPr>
        <w:pStyle w:val="Heading2"/>
      </w:pPr>
      <w:r>
        <w:t xml:space="preserve">Decision</w:t>
      </w:r>
    </w:p>
    <w:p/>
    <w:p>
      <w:pPr>
        <w:pStyle w:val="ListBullet"/>
      </w:pPr>
      <w:r>
        <w:t xml:space="preserve">PostgreSQL stores monetary amounts as `numeric(19, 4)` unless a later accounting spec changes scale per currency.</w:t>
      </w:r>
    </w:p>
    <w:p>
      <w:pPr>
        <w:pStyle w:val="ListBullet"/>
      </w:pPr>
      <w:r>
        <w:t xml:space="preserve">Currency is an explicit ISO-4217 string, never implied.</w:t>
      </w:r>
    </w:p>
    <w:p>
      <w:pPr>
        <w:pStyle w:val="ListBullet"/>
      </w:pPr>
      <w:r>
        <w:t xml:space="preserve">TypeScript uses `decimal.js` `Decimal`.</w:t>
      </w:r>
    </w:p>
    <w:p>
      <w:pPr>
        <w:pStyle w:val="ListBullet"/>
      </w:pPr>
      <w:r>
        <w:t xml:space="preserve">JSON/GraphQL serialization uses decimal strings.</w:t>
      </w:r>
    </w:p>
    <w:p>
      <w:pPr>
        <w:pStyle w:val="ListBullet"/>
      </w:pPr>
      <w:r>
        <w:t xml:space="preserve">JavaScript `number` is rejected for money.</w:t>
      </w:r>
    </w:p>
    <w:p>
      <w:pPr>
        <w:pStyle w:val="ListBullet"/>
      </w:pPr>
      <w:r>
        <w:t xml:space="preserve">Default rounding in the library is half-even. Actual accounting/tax rounding rules are not defined here.</w:t>
      </w:r>
    </w:p>
    <w:p>
      <w:pPr>
        <w:pStyle w:val="ListBullet"/>
      </w:pPr>
      <w:r>
        <w:t xml:space="preserve">Posted financial records will be immutable when that domain exists. Phase 0 does not create ledger tables.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`float`/`double`: rejected</w:t>
      </w:r>
    </w:p>
    <w:p>
      <w:pPr>
        <w:pStyle w:val="ListBullet"/>
      </w:pPr>
      <w:r>
        <w:t xml:space="preserve">integer minor units only: possible later, but `numeric` is clearer as the default column type</w:t>
      </w:r>
    </w:p>
    <w:p>
      <w:pPr>
        <w:pStyle w:val="ListBullet"/>
      </w:pPr>
      <w:r>
        <w:t xml:space="preserve">`bigint` cents globally: awkward for currencies with non-2 exponents</w:t>
      </w:r>
    </w:p>
    <w:p/>
    <w:p>
      <w:pPr>
        <w:pStyle w:val="Heading2"/>
      </w:pPr>
      <w:r>
        <w:t xml:space="preserve">Consequences</w:t>
      </w:r>
    </w:p>
    <w:p/>
    <w:p>
      <w:r>
        <w:t xml:space="preserve">Phase 5 (Supercore Accounting Engine) must follow this strategy or replace it with a new ADR before writing ledger code. Do not invent VAT or invoice rules in Phase 0. ERPNext is not required.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