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ADR-009 Phase 1 package ownership</w:t>
      </w:r>
    </w:p>
    <w:p/>
    <w:p>
      <w:pPr>
        <w:pStyle w:val="Heading2"/>
      </w:pPr>
      <w:r>
        <w:t xml:space="preserve">Context</w:t>
      </w:r>
    </w:p>
    <w:p/>
    <w:p>
      <w:r>
        <w:t xml:space="preserve">Phase 1 Platform Core Specification §17 required one documented home for tenant-owned master data versus identity. Splitting ownership differently per task would create duplicate tables and illegal cross-package imports.</w:t>
      </w:r>
    </w:p>
    <w:p/>
    <w:p>
      <w:r>
        <w:t xml:space="preserve">@supercore/identity may depend on @supercore/core. @supercore/core must not depend on identity. Domain packages must not own customer/supplier/address in Phase 1.</w:t>
      </w:r>
    </w:p>
    <w:p/>
    <w:p>
      <w:pPr>
        <w:pStyle w:val="Heading2"/>
      </w:pPr>
      <w:r>
        <w:t xml:space="preserve">Decision</w:t>
      </w:r>
    </w:p>
    <w:p/>
    <w:p>
      <w:r>
        <w:t xml:space="preserve">Phase 1 uses one Drizzle schema and migrator in @supercore/core.</w:t>
      </w:r>
    </w:p>
    <w:p/>
    <w:p>
      <w:r>
        <w:t xml:space="preserve">Logical ownership: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Package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Owns (behavior + types used by apps)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Physical tables (in core schema)</w:t>
            </w:r>
          </w:p>
        </w:tc>
      </w:tr>
      <w:tr>
        <w:tc>
          <w:tcPr>
            <w:tcW w:w="3000" w:type="dxa"/>
          </w:tcPr>
          <w:p>
            <w:r>
              <w:t xml:space="preserve">`@supercore/core`</w:t>
            </w:r>
          </w:p>
        </w:tc>
        <w:tc>
          <w:tcPr>
            <w:tcW w:w="3000" w:type="dxa"/>
          </w:tcPr>
          <w:p>
            <w:r>
              <w:t xml:space="preserve">Tenant, organization, customer, supplier, address, country, currency, audit persistence, tenant context, IDs, errors, db</w:t>
            </w:r>
          </w:p>
        </w:tc>
        <w:tc>
          <w:tcPr>
            <w:tcW w:w="3000" w:type="dxa"/>
          </w:tcPr>
          <w:p>
            <w:r>
              <w:t xml:space="preserve">`tenants`, `organizations`, `organization_memberships`, `customers`, `suppliers`, `addresses`, `countries`, `currencies`, `audit_records`, plus identity tables below so there is a single migration tree</w:t>
            </w:r>
          </w:p>
        </w:tc>
      </w:tr>
      <w:tr>
        <w:tc>
          <w:tcPr>
            <w:tcW w:w="3000" w:type="dxa"/>
          </w:tcPr>
          <w:p>
            <w:r>
              <w:t xml:space="preserve">`@supercore/identity`</w:t>
            </w:r>
          </w:p>
        </w:tc>
        <w:tc>
          <w:tcPr>
            <w:tcW w:w="3000" w:type="dxa"/>
          </w:tcPr>
          <w:p>
            <w:r>
              <w:t xml:space="preserve">Auth provider, password hashing, sessions, RBAC, invite/activate/disable user</w:t>
            </w:r>
          </w:p>
        </w:tc>
        <w:tc>
          <w:tcPr>
            <w:tcW w:w="3000" w:type="dxa"/>
          </w:tcPr>
          <w:p>
            <w:r>
              <w:t xml:space="preserve">`users`, `sessions`, `user_roles`, `user_invitations` (names may match the migration)</w:t>
            </w:r>
          </w:p>
        </w:tc>
      </w:tr>
    </w:tbl>
    <w:p/>
    <w:p>
      <w:r>
        <w:t xml:space="preserve">Rules:</w:t>
      </w:r>
    </w:p>
    <w:p/>
    <w:p>
      <w:pPr>
        <w:pStyle w:val="ListBullet"/>
      </w:pPr>
      <w:r>
        <w:t xml:space="preserve">Identity services import core. Core never imports identity.</w:t>
      </w:r>
    </w:p>
    <w:p>
      <w:pPr>
        <w:pStyle w:val="ListBullet"/>
      </w:pPr>
      <w:r>
        <w:t xml:space="preserve">Customer, supplier, and address must not live in `@supercore/commerce` or `@supercore/crm`.</w:t>
      </w:r>
    </w:p>
    <w:p>
      <w:pPr>
        <w:pStyle w:val="ListBullet"/>
      </w:pPr>
      <w:r>
        <w:t xml:space="preserve">`apps/api` application services compose core + identity. Resolvers do not own SQL.</w:t>
      </w:r>
    </w:p>
    <w:p>
      <w:pPr>
        <w:pStyle w:val="ListBullet"/>
      </w:pPr>
      <w:r>
        <w:t xml:space="preserve">`organization_memberships` is stored with core organisations. Phase 1 does not use membership as an extra ACL (see Phase 1 spec §17.2). Identity may write membership rows.</w:t>
      </w:r>
    </w:p>
    <w:p/>
    <w:p>
      <w:pPr>
        <w:pStyle w:val="Heading2"/>
      </w:pPr>
      <w:r>
        <w:t xml:space="preserve">Alternatives</w:t>
      </w:r>
    </w:p>
    <w:p/>
    <w:p>
      <w:pPr>
        <w:pStyle w:val="ListBullet"/>
      </w:pPr>
      <w:r>
        <w:t xml:space="preserve">Separate Drizzle migrator in identity: rejected; two migration runners in Phase 1 is unnecessary.</w:t>
      </w:r>
    </w:p>
    <w:p>
      <w:pPr>
        <w:pStyle w:val="ListBullet"/>
      </w:pPr>
      <w:r>
        <w:t xml:space="preserve">Put customers in identity because they have email: rejected; they are party master data, not login principals.</w:t>
      </w:r>
    </w:p>
    <w:p>
      <w:pPr>
        <w:pStyle w:val="ListBullet"/>
      </w:pPr>
      <w:r>
        <w:t xml:space="preserve">Shared Party table now: rejected; Phase 1 spec keeps separate customer and supplier tables until a later ADR.</w:t>
      </w:r>
    </w:p>
    <w:p/>
    <w:p>
      <w:pPr>
        <w:pStyle w:val="Heading2"/>
      </w:pPr>
      <w:r>
        <w:t xml:space="preserve">Consequences</w:t>
      </w:r>
    </w:p>
    <w:p/>
    <w:p>
      <w:r>
        <w:t xml:space="preserve">Phase 1 coding follows this split. Changing it requires a new ADR. Comparison clones under references/ do not dictate package layout.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