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SUPERCORE COMMERCE OS</w:t>
      </w:r>
    </w:p>
    <w:p/>
    <w:p>
      <w:pPr>
        <w:pStyle w:val="Heading2"/>
      </w:pPr>
      <w:r>
        <w:t xml:space="preserve">Phase 0 — Completion Audit v1.0</w:t>
      </w:r>
    </w:p>
    <w:p/>
    <w:p>
      <w:r>
        <w:t xml:space="preserve">Date: 2026-09-17  </w:t>
      </w:r>
    </w:p>
    <w:p>
      <w:r>
        <w:t xml:space="preserve">Source: Phase 0 Bootstrap Master Prompt v1.0  </w:t>
      </w:r>
    </w:p>
    <w:p>
      <w:r>
        <w:t xml:space="preserve">Result: Phase 0 foundation is locally reported complete. No Vendure, ERPNext, or Frappe CRM implementation was added.  </w:t>
      </w:r>
    </w:p>
    <w:p>
      <w:r>
        <w:t xml:space="preserve">Remote CI: not independently confirmed. .github/workflows/ci.yml exists; it triggers on main while this repository’s default branch is master.</w:t>
      </w:r>
    </w:p>
    <w:p/>
    <w:p>
      <w:r>
        <w:t xml:space="preserve">Next implementation phase is Phase 1 — Platform Core, only after that specification is approved. That condition is the approval gate, not a contradiction.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1. Canonical vs optional engines</w:t>
      </w:r>
    </w:p>
    <w:p/>
    <w:p>
      <w:r>
        <w:t xml:space="preserve">Master Prompt §1:</w:t>
      </w:r>
    </w:p>
    <w:p/>
    <w:p>
      <w:r>
        <w:t xml:space="preserve">&gt; External systems such as Vendure, ERPNext, Frappe CRM, HMRC, payment providers, shipping providers and supplier APIs must remain replaceable integrations.</w:t>
      </w:r>
    </w:p>
    <w:p/>
    <w:p>
      <w:r>
        <w:t xml:space="preserve">Current strategy (binding):</w:t>
      </w:r>
    </w:p>
    <w:p/>
    <w:p>
      <w:pPr>
        <w:pStyle w:val="ListBullet"/>
      </w:pPr>
      <w:r>
        <w:t xml:space="preserve">Supercore owns Commerce, CRM, Accounting, Tax engines.</w:t>
      </w:r>
    </w:p>
    <w:p>
      <w:pPr>
        <w:pStyle w:val="ListBullet"/>
      </w:pPr>
      <w:r>
        <w:t xml:space="preserve">Vendure / ERPNext / Frappe CRM are not installed in Phase 0 or Phase 1.</w:t>
      </w:r>
    </w:p>
    <w:p>
      <w:pPr>
        <w:pStyle w:val="ListBullet"/>
      </w:pPr>
      <w:r>
        <w:t xml:space="preserve">There is no Vendure phase and no ERPNext phase.</w:t>
      </w:r>
    </w:p>
    <w:p>
      <w:pPr>
        <w:pStyle w:val="ListBullet"/>
      </w:pPr>
      <w:r>
        <w:t xml:space="preserve">Optional adapters may be considered later only if there is a concrete reason.</w:t>
      </w:r>
    </w:p>
    <w:p/>
    <w:p>
      <w:r>
        <w:t xml:space="preserve">Code check: no Vendure, ERPNext, Frappe, or Shopify packages or implementations exist in the repository.</w:t>
      </w:r>
    </w:p>
    <w:p/>
    <w:p>
      <w:r>
        <w:t xml:space="preserve">Read-only comparison clones may exist under references/ (gitignored). They are not Phase 0 runtimes. See specs/architecture/Supercore Commerce OS — External Reference Clones v1.0.md.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2. Phase 0 objectives</w:t>
      </w:r>
    </w:p>
    <w:p/>
    <w:tbl>
      <w:tblPr>
        <w:tblW w:w="900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F2F2F2"/>
          </w:tcPr>
          <w:p>
            <w:r>
              <w:t xml:space="preserve">#</w:t>
            </w:r>
          </w:p>
        </w:tc>
        <w:tc>
          <w:tcPr>
            <w:tcW w:w="3000" w:type="dxa"/>
            <w:shd w:val="clear" w:fill="F2F2F2"/>
          </w:tcPr>
          <w:p>
            <w:r>
              <w:t xml:space="preserve">Objective</w:t>
            </w:r>
          </w:p>
        </w:tc>
        <w:tc>
          <w:tcPr>
            <w:tcW w:w="3000" w:type="dxa"/>
            <w:shd w:val="clear" w:fill="F2F2F2"/>
          </w:tcPr>
          <w:p>
            <w:r>
              <w:t xml:space="preserve">Status</w:t>
            </w:r>
          </w:p>
        </w:tc>
      </w:tr>
      <w:tr>
        <w:tc>
          <w:tcPr>
            <w:tcW w:w="3000" w:type="dxa"/>
          </w:tcPr>
          <w:p>
            <w:r>
              <w:t xml:space="preserve">1</w:t>
            </w:r>
          </w:p>
        </w:tc>
        <w:tc>
          <w:tcPr>
            <w:tcW w:w="3000" w:type="dxa"/>
          </w:tcPr>
          <w:p>
            <w:r>
              <w:t xml:space="preserve">Git repository</w:t>
            </w:r>
          </w:p>
        </w:tc>
        <w:tc>
          <w:tcPr>
            <w:tcW w:w="3000" w:type="dxa"/>
          </w:tcPr>
          <w:p>
            <w:r>
              <w:t xml:space="preserve">Done (`master`, remote `SCore-ai/supercorecommerceos`)</w:t>
            </w:r>
          </w:p>
        </w:tc>
      </w:tr>
      <w:tr>
        <w:tc>
          <w:tcPr>
            <w:tcW w:w="3000" w:type="dxa"/>
          </w:tcPr>
          <w:p>
            <w:r>
              <w:t xml:space="preserve">2</w:t>
            </w:r>
          </w:p>
        </w:tc>
        <w:tc>
          <w:tcPr>
            <w:tcW w:w="3000" w:type="dxa"/>
          </w:tcPr>
          <w:p>
            <w:r>
              <w:t xml:space="preserve">Monorepo (pnpm workspaces, no Turborepo)</w:t>
            </w:r>
          </w:p>
        </w:tc>
        <w:tc>
          <w:tcPr>
            <w:tcW w:w="3000" w:type="dxa"/>
          </w:tcPr>
          <w:p>
            <w:r>
              <w:t xml:space="preserve">Done</w:t>
            </w:r>
          </w:p>
        </w:tc>
      </w:tr>
      <w:tr>
        <w:tc>
          <w:tcPr>
            <w:tcW w:w="3000" w:type="dxa"/>
          </w:tcPr>
          <w:p>
            <w:r>
              <w:t xml:space="preserve">3</w:t>
            </w:r>
          </w:p>
        </w:tc>
        <w:tc>
          <w:tcPr>
            <w:tcW w:w="3000" w:type="dxa"/>
          </w:tcPr>
          <w:p>
            <w:r>
              <w:t xml:space="preserve">TypeScript strict</w:t>
            </w:r>
          </w:p>
        </w:tc>
        <w:tc>
          <w:tcPr>
            <w:tcW w:w="3000" w:type="dxa"/>
          </w:tcPr>
          <w:p>
            <w:r>
              <w:t xml:space="preserve">Done</w:t>
            </w:r>
          </w:p>
        </w:tc>
      </w:tr>
      <w:tr>
        <w:tc>
          <w:tcPr>
            <w:tcW w:w="3000" w:type="dxa"/>
          </w:tcPr>
          <w:p>
            <w:r>
              <w:t xml:space="preserve">4</w:t>
            </w:r>
          </w:p>
        </w:tc>
        <w:tc>
          <w:tcPr>
            <w:tcW w:w="3000" w:type="dxa"/>
          </w:tcPr>
          <w:p>
            <w:r>
              <w:t xml:space="preserve">Next.js web</w:t>
            </w:r>
          </w:p>
        </w:tc>
        <w:tc>
          <w:tcPr>
            <w:tcW w:w="3000" w:type="dxa"/>
          </w:tcPr>
          <w:p>
            <w:r>
              <w:t xml:space="preserve">Done (`apps/web`)</w:t>
            </w:r>
          </w:p>
        </w:tc>
      </w:tr>
      <w:tr>
        <w:tc>
          <w:tcPr>
            <w:tcW w:w="3000" w:type="dxa"/>
          </w:tcPr>
          <w:p>
            <w:r>
              <w:t xml:space="preserve">5</w:t>
            </w:r>
          </w:p>
        </w:tc>
        <w:tc>
          <w:tcPr>
            <w:tcW w:w="3000" w:type="dxa"/>
          </w:tcPr>
          <w:p>
            <w:r>
              <w:t xml:space="preserve">API application</w:t>
            </w:r>
          </w:p>
        </w:tc>
        <w:tc>
          <w:tcPr>
            <w:tcW w:w="3000" w:type="dxa"/>
          </w:tcPr>
          <w:p>
            <w:r>
              <w:t xml:space="preserve">Done (`apps/api`, Hono)</w:t>
            </w:r>
          </w:p>
        </w:tc>
      </w:tr>
      <w:tr>
        <w:tc>
          <w:tcPr>
            <w:tcW w:w="3000" w:type="dxa"/>
          </w:tcPr>
          <w:p>
            <w:r>
              <w:t xml:space="preserve">6</w:t>
            </w:r>
          </w:p>
        </w:tc>
        <w:tc>
          <w:tcPr>
            <w:tcW w:w="3000" w:type="dxa"/>
          </w:tcPr>
          <w:p>
            <w:r>
              <w:t xml:space="preserve">Admin scaffold</w:t>
            </w:r>
          </w:p>
        </w:tc>
        <w:tc>
          <w:tcPr>
            <w:tcW w:w="3000" w:type="dxa"/>
          </w:tcPr>
          <w:p>
            <w:r>
              <w:t xml:space="preserve">Done (`apps/admin`)</w:t>
            </w:r>
          </w:p>
        </w:tc>
      </w:tr>
      <w:tr>
        <w:tc>
          <w:tcPr>
            <w:tcW w:w="3000" w:type="dxa"/>
          </w:tcPr>
          <w:p>
            <w:r>
              <w:t xml:space="preserve">7</w:t>
            </w:r>
          </w:p>
        </w:tc>
        <w:tc>
          <w:tcPr>
            <w:tcW w:w="3000" w:type="dxa"/>
          </w:tcPr>
          <w:p>
            <w:r>
              <w:t xml:space="preserve">PostgreSQL via Docker</w:t>
            </w:r>
          </w:p>
        </w:tc>
        <w:tc>
          <w:tcPr>
            <w:tcW w:w="3000" w:type="dxa"/>
          </w:tcPr>
          <w:p>
            <w:r>
              <w:t xml:space="preserve">Done (local ports 5433)</w:t>
            </w:r>
          </w:p>
        </w:tc>
      </w:tr>
      <w:tr>
        <w:tc>
          <w:tcPr>
            <w:tcW w:w="3000" w:type="dxa"/>
          </w:tcPr>
          <w:p>
            <w:r>
              <w:t xml:space="preserve">8</w:t>
            </w:r>
          </w:p>
        </w:tc>
        <w:tc>
          <w:tcPr>
            <w:tcW w:w="3000" w:type="dxa"/>
          </w:tcPr>
          <w:p>
            <w:r>
              <w:t xml:space="preserve">Redis via Docker</w:t>
            </w:r>
          </w:p>
        </w:tc>
        <w:tc>
          <w:tcPr>
            <w:tcW w:w="3000" w:type="dxa"/>
          </w:tcPr>
          <w:p>
            <w:r>
              <w:t xml:space="preserve">Done (local ports 6380)</w:t>
            </w:r>
          </w:p>
        </w:tc>
      </w:tr>
      <w:tr>
        <w:tc>
          <w:tcPr>
            <w:tcW w:w="3000" w:type="dxa"/>
          </w:tcPr>
          <w:p>
            <w:r>
              <w:t xml:space="preserve">9</w:t>
            </w:r>
          </w:p>
        </w:tc>
        <w:tc>
          <w:tcPr>
            <w:tcW w:w="3000" w:type="dxa"/>
          </w:tcPr>
          <w:p>
            <w:r>
              <w:t xml:space="preserve">Drizzle</w:t>
            </w:r>
          </w:p>
        </w:tc>
        <w:tc>
          <w:tcPr>
            <w:tcW w:w="3000" w:type="dxa"/>
          </w:tcPr>
          <w:p>
            <w:r>
              <w:t xml:space="preserve">Done</w:t>
            </w:r>
          </w:p>
        </w:tc>
      </w:tr>
      <w:tr>
        <w:tc>
          <w:tcPr>
            <w:tcW w:w="3000" w:type="dxa"/>
          </w:tcPr>
          <w:p>
            <w:r>
              <w:t xml:space="preserve">10</w:t>
            </w:r>
          </w:p>
        </w:tc>
        <w:tc>
          <w:tcPr>
            <w:tcW w:w="3000" w:type="dxa"/>
          </w:tcPr>
          <w:p>
            <w:r>
              <w:t xml:space="preserve">Migrations</w:t>
            </w:r>
          </w:p>
        </w:tc>
        <w:tc>
          <w:tcPr>
            <w:tcW w:w="3000" w:type="dxa"/>
          </w:tcPr>
          <w:p>
            <w:r>
              <w:t xml:space="preserve">Done (`system_meta`)</w:t>
            </w:r>
          </w:p>
        </w:tc>
      </w:tr>
      <w:tr>
        <w:tc>
          <w:tcPr>
            <w:tcW w:w="3000" w:type="dxa"/>
          </w:tcPr>
          <w:p>
            <w:r>
              <w:t xml:space="preserve">11</w:t>
            </w:r>
          </w:p>
        </w:tc>
        <w:tc>
          <w:tcPr>
            <w:tcW w:w="3000" w:type="dxa"/>
          </w:tcPr>
          <w:p>
            <w:r>
              <w:t xml:space="preserve">GraphQL endpoint</w:t>
            </w:r>
          </w:p>
        </w:tc>
        <w:tc>
          <w:tcPr>
            <w:tcW w:w="3000" w:type="dxa"/>
          </w:tcPr>
          <w:p>
            <w:r>
              <w:t xml:space="preserve">Done (Yoga schema + health query)</w:t>
            </w:r>
          </w:p>
        </w:tc>
      </w:tr>
      <w:tr>
        <w:tc>
          <w:tcPr>
            <w:tcW w:w="3000" w:type="dxa"/>
          </w:tcPr>
          <w:p>
            <w:r>
              <w:t xml:space="preserve">12</w:t>
            </w:r>
          </w:p>
        </w:tc>
        <w:tc>
          <w:tcPr>
            <w:tcW w:w="3000" w:type="dxa"/>
          </w:tcPr>
          <w:p>
            <w:r>
              <w:t xml:space="preserve">REST health</w:t>
            </w:r>
          </w:p>
        </w:tc>
        <w:tc>
          <w:tcPr>
            <w:tcW w:w="3000" w:type="dxa"/>
          </w:tcPr>
          <w:p>
            <w:r>
              <w:t xml:space="preserve">Done `/health` `/ready` `/live`</w:t>
            </w:r>
          </w:p>
        </w:tc>
      </w:tr>
      <w:tr>
        <w:tc>
          <w:tcPr>
            <w:tcW w:w="3000" w:type="dxa"/>
          </w:tcPr>
          <w:p>
            <w:r>
              <w:t xml:space="preserve">13</w:t>
            </w:r>
          </w:p>
        </w:tc>
        <w:tc>
          <w:tcPr>
            <w:tcW w:w="3000" w:type="dxa"/>
          </w:tcPr>
          <w:p>
            <w:r>
              <w:t xml:space="preserve">Redis connectivity tested</w:t>
            </w:r>
          </w:p>
        </w:tc>
        <w:tc>
          <w:tcPr>
            <w:tcW w:w="3000" w:type="dxa"/>
          </w:tcPr>
          <w:p>
            <w:r>
              <w:t xml:space="preserve">Done (integration + ready)</w:t>
            </w:r>
          </w:p>
        </w:tc>
      </w:tr>
      <w:tr>
        <w:tc>
          <w:tcPr>
            <w:tcW w:w="3000" w:type="dxa"/>
          </w:tcPr>
          <w:p>
            <w:r>
              <w:t xml:space="preserve">14</w:t>
            </w:r>
          </w:p>
        </w:tc>
        <w:tc>
          <w:tcPr>
            <w:tcW w:w="3000" w:type="dxa"/>
          </w:tcPr>
          <w:p>
            <w:r>
              <w:t xml:space="preserve">Worker</w:t>
            </w:r>
          </w:p>
        </w:tc>
        <w:tc>
          <w:tcPr>
            <w:tcW w:w="3000" w:type="dxa"/>
          </w:tcPr>
          <w:p>
            <w:r>
              <w:t xml:space="preserve">Done (`system.health.check`)</w:t>
            </w:r>
          </w:p>
        </w:tc>
      </w:tr>
      <w:tr>
        <w:tc>
          <w:tcPr>
            <w:tcW w:w="3000" w:type="dxa"/>
          </w:tcPr>
          <w:p>
            <w:r>
              <w:t xml:space="preserve">15</w:t>
            </w:r>
          </w:p>
        </w:tc>
        <w:tc>
          <w:tcPr>
            <w:tcW w:w="3000" w:type="dxa"/>
          </w:tcPr>
          <w:p>
            <w:r>
              <w:t xml:space="preserve">Event foundation</w:t>
            </w:r>
          </w:p>
        </w:tc>
        <w:tc>
          <w:tcPr>
            <w:tcW w:w="3000" w:type="dxa"/>
          </w:tcPr>
          <w:p>
            <w:r>
              <w:t xml:space="preserve">Done</w:t>
            </w:r>
          </w:p>
        </w:tc>
      </w:tr>
      <w:tr>
        <w:tc>
          <w:tcPr>
            <w:tcW w:w="3000" w:type="dxa"/>
          </w:tcPr>
          <w:p>
            <w:r>
              <w:t xml:space="preserve">16</w:t>
            </w:r>
          </w:p>
        </w:tc>
        <w:tc>
          <w:tcPr>
            <w:tcW w:w="3000" w:type="dxa"/>
          </w:tcPr>
          <w:p>
            <w:r>
              <w:t xml:space="preserve">Environment validation</w:t>
            </w:r>
          </w:p>
        </w:tc>
        <w:tc>
          <w:tcPr>
            <w:tcW w:w="3000" w:type="dxa"/>
          </w:tcPr>
          <w:p>
            <w:r>
              <w:t xml:space="preserve">Done</w:t>
            </w:r>
          </w:p>
        </w:tc>
      </w:tr>
      <w:tr>
        <w:tc>
          <w:tcPr>
            <w:tcW w:w="3000" w:type="dxa"/>
          </w:tcPr>
          <w:p>
            <w:r>
              <w:t xml:space="preserve">17</w:t>
            </w:r>
          </w:p>
        </w:tc>
        <w:tc>
          <w:tcPr>
            <w:tcW w:w="3000" w:type="dxa"/>
          </w:tcPr>
          <w:p>
            <w:r>
              <w:t xml:space="preserve">Logging</w:t>
            </w:r>
          </w:p>
        </w:tc>
        <w:tc>
          <w:tcPr>
            <w:tcW w:w="3000" w:type="dxa"/>
          </w:tcPr>
          <w:p>
            <w:r>
              <w:t xml:space="preserve">Done (pino, redaction)</w:t>
            </w:r>
          </w:p>
        </w:tc>
      </w:tr>
      <w:tr>
        <w:tc>
          <w:tcPr>
            <w:tcW w:w="3000" w:type="dxa"/>
          </w:tcPr>
          <w:p>
            <w:r>
              <w:t xml:space="preserve">18</w:t>
            </w:r>
          </w:p>
        </w:tc>
        <w:tc>
          <w:tcPr>
            <w:tcW w:w="3000" w:type="dxa"/>
          </w:tcPr>
          <w:p>
            <w:r>
              <w:t xml:space="preserve">Error model</w:t>
            </w:r>
          </w:p>
        </w:tc>
        <w:tc>
          <w:tcPr>
            <w:tcW w:w="3000" w:type="dxa"/>
          </w:tcPr>
          <w:p>
            <w:r>
              <w:t xml:space="preserve">Done</w:t>
            </w:r>
          </w:p>
        </w:tc>
      </w:tr>
      <w:tr>
        <w:tc>
          <w:tcPr>
            <w:tcW w:w="3000" w:type="dxa"/>
          </w:tcPr>
          <w:p>
            <w:r>
              <w:t xml:space="preserve">19</w:t>
            </w:r>
          </w:p>
        </w:tc>
        <w:tc>
          <w:tcPr>
            <w:tcW w:w="3000" w:type="dxa"/>
          </w:tcPr>
          <w:p>
            <w:r>
              <w:t xml:space="preserve">Validation (Zod)</w:t>
            </w:r>
          </w:p>
        </w:tc>
        <w:tc>
          <w:tcPr>
            <w:tcW w:w="3000" w:type="dxa"/>
          </w:tcPr>
          <w:p>
            <w:r>
              <w:t xml:space="preserve">Done</w:t>
            </w:r>
          </w:p>
        </w:tc>
      </w:tr>
      <w:tr>
        <w:tc>
          <w:tcPr>
            <w:tcW w:w="3000" w:type="dxa"/>
          </w:tcPr>
          <w:p>
            <w:r>
              <w:t xml:space="preserve">20</w:t>
            </w:r>
          </w:p>
        </w:tc>
        <w:tc>
          <w:tcPr>
            <w:tcW w:w="3000" w:type="dxa"/>
          </w:tcPr>
          <w:p>
            <w:r>
              <w:t xml:space="preserve">Vitest</w:t>
            </w:r>
          </w:p>
        </w:tc>
        <w:tc>
          <w:tcPr>
            <w:tcW w:w="3000" w:type="dxa"/>
          </w:tcPr>
          <w:p>
            <w:r>
              <w:t xml:space="preserve">Done</w:t>
            </w:r>
          </w:p>
        </w:tc>
      </w:tr>
      <w:tr>
        <w:tc>
          <w:tcPr>
            <w:tcW w:w="3000" w:type="dxa"/>
          </w:tcPr>
          <w:p>
            <w:r>
              <w:t xml:space="preserve">21</w:t>
            </w:r>
          </w:p>
        </w:tc>
        <w:tc>
          <w:tcPr>
            <w:tcW w:w="3000" w:type="dxa"/>
          </w:tcPr>
          <w:p>
            <w:r>
              <w:t xml:space="preserve">Playwright</w:t>
            </w:r>
          </w:p>
        </w:tc>
        <w:tc>
          <w:tcPr>
            <w:tcW w:w="3000" w:type="dxa"/>
          </w:tcPr>
          <w:p>
            <w:r>
              <w:t xml:space="preserve">Done</w:t>
            </w:r>
          </w:p>
        </w:tc>
      </w:tr>
      <w:tr>
        <w:tc>
          <w:tcPr>
            <w:tcW w:w="3000" w:type="dxa"/>
          </w:tcPr>
          <w:p>
            <w:r>
              <w:t xml:space="preserve">22</w:t>
            </w:r>
          </w:p>
        </w:tc>
        <w:tc>
          <w:tcPr>
            <w:tcW w:w="3000" w:type="dxa"/>
          </w:tcPr>
          <w:p>
            <w:r>
              <w:t xml:space="preserve">GitHub Actions</w:t>
            </w:r>
          </w:p>
        </w:tc>
        <w:tc>
          <w:tcPr>
            <w:tcW w:w="3000" w:type="dxa"/>
          </w:tcPr>
          <w:p>
            <w:r>
              <w:t xml:space="preserve">Workflow file present (`.github/workflows/ci.yml`). Live run on `master` not confirmed.</w:t>
            </w:r>
          </w:p>
        </w:tc>
      </w:tr>
      <w:tr>
        <w:tc>
          <w:tcPr>
            <w:tcW w:w="3000" w:type="dxa"/>
          </w:tcPr>
          <w:p>
            <w:r>
              <w:t xml:space="preserve">23</w:t>
            </w:r>
          </w:p>
        </w:tc>
        <w:tc>
          <w:tcPr>
            <w:tcW w:w="3000" w:type="dxa"/>
          </w:tcPr>
          <w:p>
            <w:r>
              <w:t xml:space="preserve">Security baseline</w:t>
            </w:r>
          </w:p>
        </w:tc>
        <w:tc>
          <w:tcPr>
            <w:tcW w:w="3000" w:type="dxa"/>
          </w:tcPr>
          <w:p>
            <w:r>
              <w:t xml:space="preserve">Done (headers, CORS, rate-limit abstraction, secrets isolation)</w:t>
            </w:r>
          </w:p>
        </w:tc>
      </w:tr>
      <w:tr>
        <w:tc>
          <w:tcPr>
            <w:tcW w:w="3000" w:type="dxa"/>
          </w:tcPr>
          <w:p>
            <w:r>
              <w:t xml:space="preserve">24</w:t>
            </w:r>
          </w:p>
        </w:tc>
        <w:tc>
          <w:tcPr>
            <w:tcW w:w="3000" w:type="dxa"/>
          </w:tcPr>
          <w:p>
            <w:r>
              <w:t xml:space="preserve">AGENTS.md</w:t>
            </w:r>
          </w:p>
        </w:tc>
        <w:tc>
          <w:tcPr>
            <w:tcW w:w="3000" w:type="dxa"/>
          </w:tcPr>
          <w:p>
            <w:r>
              <w:t xml:space="preserve">Done</w:t>
            </w:r>
          </w:p>
        </w:tc>
      </w:tr>
      <w:tr>
        <w:tc>
          <w:tcPr>
            <w:tcW w:w="3000" w:type="dxa"/>
          </w:tcPr>
          <w:p>
            <w:r>
              <w:t xml:space="preserve">25</w:t>
            </w:r>
          </w:p>
        </w:tc>
        <w:tc>
          <w:tcPr>
            <w:tcW w:w="3000" w:type="dxa"/>
          </w:tcPr>
          <w:p>
            <w:r>
              <w:t xml:space="preserve">Architecture specs</w:t>
            </w:r>
          </w:p>
        </w:tc>
        <w:tc>
          <w:tcPr>
            <w:tcW w:w="3000" w:type="dxa"/>
          </w:tcPr>
          <w:p>
            <w:r>
              <w:t xml:space="preserve">Done</w:t>
            </w:r>
          </w:p>
        </w:tc>
      </w:tr>
      <w:tr>
        <w:tc>
          <w:tcPr>
            <w:tcW w:w="3000" w:type="dxa"/>
          </w:tcPr>
          <w:p>
            <w:r>
              <w:t xml:space="preserve">26</w:t>
            </w:r>
          </w:p>
        </w:tc>
        <w:tc>
          <w:tcPr>
            <w:tcW w:w="3000" w:type="dxa"/>
          </w:tcPr>
          <w:p>
            <w:r>
              <w:t xml:space="preserve">ADRs 001–008</w:t>
            </w:r>
          </w:p>
        </w:tc>
        <w:tc>
          <w:tcPr>
            <w:tcW w:w="3000" w:type="dxa"/>
          </w:tcPr>
          <w:p>
            <w:r>
              <w:t xml:space="preserve">Done</w:t>
            </w:r>
          </w:p>
        </w:tc>
      </w:tr>
      <w:tr>
        <w:tc>
          <w:tcPr>
            <w:tcW w:w="3000" w:type="dxa"/>
          </w:tcPr>
          <w:p>
            <w:r>
              <w:t xml:space="preserve">27</w:t>
            </w:r>
          </w:p>
        </w:tc>
        <w:tc>
          <w:tcPr>
            <w:tcW w:w="3000" w:type="dxa"/>
          </w:tcPr>
          <w:p>
            <w:r>
              <w:t xml:space="preserve">README</w:t>
            </w:r>
          </w:p>
        </w:tc>
        <w:tc>
          <w:tcPr>
            <w:tcW w:w="3000" w:type="dxa"/>
          </w:tcPr>
          <w:p>
            <w:r>
              <w:t xml:space="preserve">Done</w:t>
            </w:r>
          </w:p>
        </w:tc>
      </w:tr>
      <w:tr>
        <w:tc>
          <w:tcPr>
            <w:tcW w:w="3000" w:type="dxa"/>
          </w:tcPr>
          <w:p>
            <w:r>
              <w:t xml:space="preserve">28</w:t>
            </w:r>
          </w:p>
        </w:tc>
        <w:tc>
          <w:tcPr>
            <w:tcW w:w="3000" w:type="dxa"/>
          </w:tcPr>
          <w:p>
            <w:r>
              <w:t xml:space="preserve">Local development docs</w:t>
            </w:r>
          </w:p>
        </w:tc>
        <w:tc>
          <w:tcPr>
            <w:tcW w:w="3000" w:type="dxa"/>
          </w:tcPr>
          <w:p>
            <w:r>
              <w:t xml:space="preserve">Done</w:t>
            </w:r>
          </w:p>
        </w:tc>
      </w:tr>
    </w:tbl>
    <w:p/>
    <w:p>
      <w:r>
        <w:t xml:space="preserve">Domain packages exist as empty boundaries. No commerce/CRM/accounting business logic.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3. Definition of done (executed)</w:t>
      </w:r>
    </w:p>
    <w:p/>
    <w:p>
      <w:r>
        <w:t xml:space="preserve">Keep local and remote results separate.</w:t>
      </w:r>
    </w:p>
    <w:p/>
    <w:p>
      <w:r>
        <w:t xml:space="preserve">Local (reported during Phase 0 implementation; not re-executed in later documentation passes):</w:t>
      </w:r>
    </w:p>
    <w:p/>
    <w:p>
      <w:pPr>
        <w:pStyle w:val="ListBullet"/>
      </w:pPr>
      <w:r>
        <w:t xml:space="preserve">Lint pass</w:t>
      </w:r>
    </w:p>
    <w:p>
      <w:pPr>
        <w:pStyle w:val="ListBullet"/>
      </w:pPr>
      <w:r>
        <w:t xml:space="preserve">Typecheck pass</w:t>
      </w:r>
    </w:p>
    <w:p>
      <w:pPr>
        <w:pStyle w:val="ListBullet"/>
      </w:pPr>
      <w:r>
        <w:t xml:space="preserve">Unit tests pass</w:t>
      </w:r>
    </w:p>
    <w:p>
      <w:pPr>
        <w:pStyle w:val="ListBullet"/>
      </w:pPr>
      <w:r>
        <w:t xml:space="preserve">Integration tests pass (Postgres, Redis, worker job)</w:t>
      </w:r>
    </w:p>
    <w:p>
      <w:pPr>
        <w:pStyle w:val="ListBullet"/>
      </w:pPr>
      <w:r>
        <w:t xml:space="preserve">Playwright e2e pass</w:t>
      </w:r>
    </w:p>
    <w:p>
      <w:pPr>
        <w:pStyle w:val="ListBullet"/>
      </w:pPr>
      <w:r>
        <w:t xml:space="preserve">Build pass</w:t>
      </w:r>
    </w:p>
    <w:p>
      <w:pPr>
        <w:pStyle w:val="ListBullet"/>
      </w:pPr>
      <w:r>
        <w:t xml:space="preserve">No secrets committed</w:t>
      </w:r>
    </w:p>
    <w:p>
      <w:pPr>
        <w:pStyle w:val="ListBullet"/>
      </w:pPr>
      <w:r>
        <w:t xml:space="preserve">No external engine as canonical owner</w:t>
      </w:r>
    </w:p>
    <w:p/>
    <w:p>
      <w:r>
        <w:t xml:space="preserve">Remote / evidence still pending:</w:t>
      </w:r>
    </w:p>
    <w:p/>
    <w:p>
      <w:pPr>
        <w:pStyle w:val="ListBullet"/>
      </w:pPr>
      <w:r>
        <w:t xml:space="preserve">GitHub Actions run URL and SHA for this repository</w:t>
      </w:r>
    </w:p>
    <w:p>
      <w:pPr>
        <w:pStyle w:val="ListBullet"/>
      </w:pPr>
      <w:r>
        <w:t xml:space="preserve">Immutable command logs bound to a commit</w:t>
      </w:r>
    </w:p>
    <w:p/>
    <w:p>
      <w:r>
        <w:t xml:space="preserve">Known non-blockers (allowed by the Master Prompt):</w:t>
      </w:r>
    </w:p>
    <w:p/>
    <w:p>
      <w:pPr>
        <w:pStyle w:val="ListBullet"/>
      </w:pPr>
      <w:r>
        <w:t xml:space="preserve">NGINX is a placeholder, not a production topology</w:t>
      </w:r>
    </w:p>
    <w:p>
      <w:pPr>
        <w:pStyle w:val="ListBullet"/>
      </w:pPr>
      <w:r>
        <w:t xml:space="preserve">Apps run on the host; only Postgres/Redis are containerised</w:t>
      </w:r>
    </w:p>
    <w:p>
      <w:pPr>
        <w:pStyle w:val="ListBullet"/>
      </w:pPr>
      <w:r>
        <w:t xml:space="preserve">`services/ai` and `services/integration` are placeholders</w:t>
      </w:r>
    </w:p>
    <w:p>
      <w:pPr>
        <w:pStyle w:val="ListBullet"/>
      </w:pPr>
      <w:r>
        <w:t xml:space="preserve">Auth is an interface, not a complete identity product (Phase 1)</w:t>
      </w:r>
    </w:p>
    <w:p>
      <w:pPr>
        <w:pStyle w:val="ListBullet"/>
      </w:pPr>
      <w:r>
        <w:t xml:space="preserve">GraphQL uses Yoga schema/execute rather than Yoga’s HTTP fetch adapter (endpoint works)</w:t>
      </w:r>
    </w:p>
    <w:p>
      <w:pPr>
        <w:pStyle w:val="ListBullet"/>
      </w:pPr>
      <w:r>
        <w:t xml:space="preserve">Live GitHub Actions run should be confirmed on the remote after push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4. Intentionally not built</w:t>
      </w:r>
    </w:p>
    <w:p/>
    <w:p>
      <w:r>
        <w:t xml:space="preserve">Per Master Prompt §47 and the current engine strategy:</w:t>
      </w:r>
    </w:p>
    <w:p/>
    <w:p>
      <w:pPr>
        <w:pStyle w:val="ListBullet"/>
      </w:pPr>
      <w:r>
        <w:t xml:space="preserve">Full commerce / CRM / accounting / ERP / VAT</w:t>
      </w:r>
    </w:p>
    <w:p>
      <w:pPr>
        <w:pStyle w:val="ListBullet"/>
      </w:pPr>
      <w:r>
        <w:t xml:space="preserve">HMRC submission</w:t>
      </w:r>
    </w:p>
    <w:p>
      <w:pPr>
        <w:pStyle w:val="ListBullet"/>
      </w:pPr>
      <w:r>
        <w:t xml:space="preserve">AI agents as a product</w:t>
      </w:r>
    </w:p>
    <w:p>
      <w:pPr>
        <w:pStyle w:val="ListBullet"/>
      </w:pPr>
      <w:r>
        <w:t xml:space="preserve">Microservices / Kubernetes</w:t>
      </w:r>
    </w:p>
    <w:p>
      <w:pPr>
        <w:pStyle w:val="ListBullet"/>
      </w:pPr>
      <w:r>
        <w:t xml:space="preserve">Vendure, ERPNext, Frappe CRM, Shopify implementations</w:t>
      </w:r>
    </w:p>
    <w:p>
      <w:pPr>
        <w:pStyle w:val="ListBullet"/>
      </w:pPr>
      <w:r>
        <w:t xml:space="preserve">Migration tooling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5. Master Prompt wording vs current strategy</w:t>
      </w:r>
    </w:p>
    <w:p/>
    <w:p>
      <w:r>
        <w:t xml:space="preserve">Keep the original Master Prompt file unchanged as the Phase 0 historical source.</w:t>
      </w:r>
    </w:p>
    <w:p/>
    <w:p>
      <w:r>
        <w:t xml:space="preserve">Read §§37–39 in light of Product Vision v1.1:</w:t>
      </w:r>
    </w:p>
    <w:p/>
    <w:tbl>
      <w:tblPr>
        <w:tblW w:w="900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4500"/>
        <w:gridCol w:w="4500"/>
      </w:tblGrid>
      <w:tr>
        <w:tc>
          <w:tcPr>
            <w:tcW w:w="4500" w:type="dxa"/>
            <w:shd w:val="clear" w:fill="F2F2F2"/>
          </w:tcPr>
          <w:p>
            <w:r>
              <w:t xml:space="preserve">Master Prompt</w:t>
            </w:r>
          </w:p>
        </w:tc>
        <w:tc>
          <w:tcPr>
            <w:tcW w:w="4500" w:type="dxa"/>
            <w:shd w:val="clear" w:fill="F2F2F2"/>
          </w:tcPr>
          <w:p>
            <w:r>
              <w:t xml:space="preserve">Current binding reading</w:t>
            </w:r>
          </w:p>
        </w:tc>
      </w:tr>
      <w:tr>
        <w:tc>
          <w:tcPr>
            <w:tcW w:w="4500" w:type="dxa"/>
          </w:tcPr>
          <w:p>
            <w:r>
              <w:t xml:space="preserve">§13 “Do not implement complete Vendure or ERPNext integrations yet”</w:t>
            </w:r>
          </w:p>
        </w:tc>
        <w:tc>
          <w:tcPr>
            <w:tcW w:w="4500" w:type="dxa"/>
          </w:tcPr>
          <w:p>
            <w:r>
              <w:t xml:space="preserve">Do not implement them in Phase 0. Also: no dedicated later phase unless a later spec asks for an optional adapter.</w:t>
            </w:r>
          </w:p>
        </w:tc>
      </w:tr>
      <w:tr>
        <w:tc>
          <w:tcPr>
            <w:tcW w:w="4500" w:type="dxa"/>
          </w:tcPr>
          <w:p>
            <w:r>
              <w:t xml:space="preserve">§37 “Vendure will eventually be an adapter/reference engine”</w:t>
            </w:r>
          </w:p>
        </w:tc>
        <w:tc>
          <w:tcPr>
            <w:tcW w:w="4500" w:type="dxa"/>
          </w:tcPr>
          <w:p>
            <w:r>
              <w:t xml:space="preserve">Optional, unscheduled. Not a delivery commitment. Canonical commerce is Phase 2 Supercore Commerce Engine.</w:t>
            </w:r>
          </w:p>
        </w:tc>
      </w:tr>
      <w:tr>
        <w:tc>
          <w:tcPr>
            <w:tcW w:w="4500" w:type="dxa"/>
          </w:tcPr>
          <w:p>
            <w:r>
              <w:t xml:space="preserve">§38 Do not make Frappe CRM canonical</w:t>
            </w:r>
          </w:p>
        </w:tc>
        <w:tc>
          <w:tcPr>
            <w:tcW w:w="4500" w:type="dxa"/>
          </w:tcPr>
          <w:p>
            <w:r>
              <w:t xml:space="preserve">Canonical CRM is Phase 3. Frappe is optional/unscheduled.</w:t>
            </w:r>
          </w:p>
        </w:tc>
      </w:tr>
      <w:tr>
        <w:tc>
          <w:tcPr>
            <w:tcW w:w="4500" w:type="dxa"/>
          </w:tcPr>
          <w:p>
            <w:r>
              <w:t xml:space="preserve">§39 ERPNext may initially be a reference/temporary backend</w:t>
            </w:r>
          </w:p>
        </w:tc>
        <w:tc>
          <w:tcPr>
            <w:tcW w:w="4500" w:type="dxa"/>
          </w:tcPr>
          <w:p>
            <w:r>
              <w:t xml:space="preserve">Optional, unscheduled. Canonical accounting is Phase 5. Do not install ERPNext to fill a gap.</w:t>
            </w:r>
          </w:p>
        </w:tc>
      </w:tr>
    </w:tbl>
    <w:p/>
    <w:p>
      <w:r>
        <w:t xml:space="preserve">ChatGPT or other agents must not restore Vendure/ERPNext as required platforms or as numbered phases.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6. Conclusion</w:t>
      </w:r>
    </w:p>
    <w:p/>
    <w:p>
      <w:r>
        <w:t xml:space="preserve">Phase 0 coding matches the Bootstrap Master Prompt Definition of Done as a local report. Treat it as complete for foundation scope once a later evidence pass binds logs and remote CI to a commit. Do not treat “CI file present” as “CI passed”.</w:t>
      </w:r>
    </w:p>
    <w:p/>
    <w:p>
      <w:r>
        <w:t xml:space="preserve">Next implementation phase is Phase 1 — Platform Core, after that spec is approved.</w:t>
      </w:r>
    </w:p>
    <w:p/>
    <w:p>
      <w:r>
        <w:t xml:space="preserve">Vendure and ERPNext remain optional future adapters only. They are not on the delivery path.</w:t>
      </w:r>
    </w:p>
    <w:p/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pPr>
      <w:spacing w:before="240" w:after="120"/>
    </w:pPr>
    <w:rPr>
      <w:b/>
      <w:sz w:val="36"/>
    </w:rPr>
  </w:style>
  <w:style w:type="paragraph" w:styleId="Heading2">
    <w:name w:val="heading 2"/>
    <w:basedOn w:val="Normal"/>
    <w:pPr>
      <w:spacing w:before="200" w:after="80"/>
    </w:pPr>
    <w:rPr>
      <w:b/>
      <w:sz w:val="28"/>
    </w:rPr>
  </w:style>
  <w:style w:type="paragraph" w:styleId="Heading3">
    <w:name w:val="heading 3"/>
    <w:basedOn w:val="Normal"/>
    <w:pPr>
      <w:spacing w:before="160" w:after="80"/>
    </w:pPr>
    <w:rPr>
      <w:b/>
      <w:sz w:val="24"/>
    </w:rPr>
  </w:style>
  <w:style w:type="paragraph" w:styleId="Heading4">
    <w:name w:val="heading 4"/>
    <w:basedOn w:val="Normal"/>
    <w:rPr>
      <w:b/>
    </w:rPr>
  </w:style>
  <w:style w:type="paragraph" w:styleId="ListBullet">
    <w:name w:val="List Bullet"/>
    <w:basedOn w:val="Normal"/>
    <w:pPr>
      <w:ind w:left="420"/>
      <w:spacing w:after="40"/>
    </w:pPr>
  </w:style>
  <w:style w:type="paragraph" w:styleId="Code">
    <w:name w:val="Code"/>
    <w:basedOn w:val="Normal"/>
    <w:pPr>
      <w:spacing w:after="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