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5 — Supercore Accounting Engine Specification v1.0</w:t>
      </w:r>
    </w:p>
    <w:p/>
    <w:p>
      <w:r>
        <w:t xml:space="preserve">Document type: Phase charter  </w:t>
      </w:r>
    </w:p>
    <w:p>
      <w:r>
        <w:t xml:space="preserve">Status: Draft direction — chart of accounts and VAT codes not invented here  </w:t>
      </w:r>
    </w:p>
    <w:p>
      <w:r>
        <w:t xml:space="preserve">Depends on: Phase 1; typically Phase 2 orders and Phase 4 receipts as source documents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Phase 5 builds the canonical Supercore Accounting Engine.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Supercore Accounting Engine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Chart of Accounts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Journal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GL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AR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AP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Invoice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Payment</w:t>
      </w:r>
    </w:p>
    <w:p/>
    <w:p>
      <w:r>
        <w:t xml:space="preserve">ERPNext is not installed and not required.</w:t>
      </w:r>
    </w:p>
    <w:p>
      <w:r>
        <w:t xml:space="preserve">There is no ERPNext implementation phase.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Canonical owner</w:t>
      </w:r>
    </w:p>
    <w:p/>
    <w:p>
      <w:r>
        <w:t xml:space="preserve">@supercore/accounting owns the ledger.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AccountingProvider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SupercoreAccountingProvider   (canonical)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ERPNextAccountingProvider     (optional, unscheduled)</w:t>
      </w:r>
    </w:p>
    <w:p/>
    <w:p>
      <w:r>
        <w:t xml:space="preserve">Do not implement ERPNext in this phase.</w:t>
      </w:r>
    </w:p>
    <w:p/>
    <w:p>
      <w:r>
        <w:t xml:space="preserve">Canonical accounting still posts to Supercore GL. An optional adapter would only translate, never own.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Hard rules already decided</w:t>
      </w:r>
    </w:p>
    <w:p/>
    <w:p>
      <w:r>
        <w:t xml:space="preserve">From AGENTS.md and ADR-007:</w:t>
      </w:r>
    </w:p>
    <w:p/>
    <w:p>
      <w:pPr>
        <w:pStyle w:val="ListBullet"/>
      </w:pPr>
      <w:r>
        <w:t xml:space="preserve">No JavaScript `number` for amounts</w:t>
      </w:r>
    </w:p>
    <w:p>
      <w:pPr>
        <w:pStyle w:val="ListBullet"/>
      </w:pPr>
      <w:r>
        <w:t xml:space="preserve">`numeric` + `decimal.js` + explicit currency</w:t>
      </w:r>
    </w:p>
    <w:p>
      <w:pPr>
        <w:pStyle w:val="ListBullet"/>
      </w:pPr>
      <w:r>
        <w:t xml:space="preserve">Posted transactions are immutable</w:t>
      </w:r>
    </w:p>
    <w:p>
      <w:pPr>
        <w:pStyle w:val="ListBullet"/>
      </w:pPr>
      <w:r>
        <w:t xml:space="preserve">Entries must balance</w:t>
      </w:r>
    </w:p>
    <w:p>
      <w:pPr>
        <w:pStyle w:val="ListBullet"/>
      </w:pPr>
      <w:r>
        <w:t xml:space="preserve">Never delete financial records</w:t>
      </w:r>
    </w:p>
    <w:p>
      <w:pPr>
        <w:pStyle w:val="ListBullet"/>
      </w:pPr>
      <w:r>
        <w:t xml:space="preserve">Audit every financial change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Payments in this phase</w:t>
      </w:r>
    </w:p>
    <w:p/>
    <w:p>
      <w:r>
        <w:t xml:space="preserve">Customer/supplier payment allocation is an accounting document.</w:t>
      </w:r>
    </w:p>
    <w:p/>
    <w:p>
      <w:r>
        <w:t xml:space="preserve">Card/processor capture remains behind PaymentProvider (typically used from Phase 2).</w:t>
      </w:r>
    </w:p>
    <w:p>
      <w:r>
        <w:t xml:space="preserve">Processor IDs are external references, never primary keys.</w:t>
      </w:r>
    </w:p>
    <w:p/>
    <w:p>
      <w:r>
        <w:t xml:space="preserve">There is no dedicated Payments phase.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Out of scope until addendum</w:t>
      </w:r>
    </w:p>
    <w:p/>
    <w:p>
      <w:pPr>
        <w:pStyle w:val="ListBullet"/>
      </w:pPr>
      <w:r>
        <w:t xml:space="preserve">Concrete chart of accounts</w:t>
      </w:r>
    </w:p>
    <w:p>
      <w:pPr>
        <w:pStyle w:val="ListBullet"/>
      </w:pPr>
      <w:r>
        <w:t xml:space="preserve">VAT codes (Phase 6 owns tax determination; this phase stores money)</w:t>
      </w:r>
    </w:p>
    <w:p>
      <w:pPr>
        <w:pStyle w:val="ListBullet"/>
      </w:pPr>
      <w:r>
        <w:t xml:space="preserve">FX revaluation method</w:t>
      </w:r>
    </w:p>
    <w:p>
      <w:pPr>
        <w:pStyle w:val="ListBullet"/>
      </w:pPr>
      <w:r>
        <w:t xml:space="preserve">Period close procedure</w:t>
      </w:r>
    </w:p>
    <w:p>
      <w:pPr>
        <w:pStyle w:val="ListBullet"/>
      </w:pPr>
      <w:r>
        <w:t xml:space="preserve">Revenue recognition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Definition of done (after addendum)</w:t>
      </w:r>
    </w:p>
    <w:p/>
    <w:p>
      <w:pPr>
        <w:pStyle w:val="ListBullet"/>
      </w:pPr>
      <w:r>
        <w:t xml:space="preserve">Posted journals cannot be edited in place</w:t>
      </w:r>
    </w:p>
    <w:p>
      <w:pPr>
        <w:pStyle w:val="ListBullet"/>
      </w:pPr>
      <w:r>
        <w:t xml:space="preserve">Debits equal credits</w:t>
      </w:r>
    </w:p>
    <w:p>
      <w:pPr>
        <w:pStyle w:val="ListBullet"/>
      </w:pPr>
      <w:r>
        <w:t xml:space="preserve">No ERPNext runtime</w:t>
      </w:r>
    </w:p>
    <w:p>
      <w:pPr>
        <w:pStyle w:val="ListBullet"/>
      </w:pPr>
      <w:r>
        <w:t xml:space="preserve">Tenant isolation holds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Development agents and UI</w:t>
      </w:r>
    </w:p>
    <w:p/>
    <w:p>
      <w:r>
        <w:t xml:space="preserve">Canonical: specs/architecture/Supercore Commerce OS — Development Agent Architecture v1.0.md.</w:t>
      </w:r>
    </w:p>
    <w:p/>
    <w:p>
      <w:pPr>
        <w:pStyle w:val="Heading2"/>
      </w:pPr>
      <w:r>
        <w:t xml:space="preserve">7.1 Lovable (this phase)</w:t>
      </w:r>
    </w:p>
    <w:p/>
    <w:p>
      <w:r>
        <w:t xml:space="preserve">Accounting screens: chart of accounts, journal, GL, AR, AP, invoice, payment allocation.</w:t>
      </w:r>
    </w:p>
    <w:p/>
    <w:p>
      <w:r>
        <w:t xml:space="preserve">Shared: admin dashboard tiles (display only), tables, filters, forms, navigation, responsive layout.</w:t>
      </w:r>
    </w:p>
    <w:p/>
    <w:p>
      <w:r>
        <w:t xml:space="preserve">Amounts on screen are strings such as "12.50 GBP". The UI must not balance journals or compute tax.</w:t>
      </w:r>
    </w:p>
    <w:p/>
    <w:p>
      <w:pPr>
        <w:pStyle w:val="Heading2"/>
      </w:pPr>
      <w:r>
        <w:t xml:space="preserve">7.2 Cursor</w:t>
      </w:r>
    </w:p>
    <w:p/>
    <w:p>
      <w:r>
        <w:t xml:space="preserve">@supercore/accounting double-entry services, immutability, audit, APIs, port UI, tests. Posted documents cannot be edited in the client.</w:t>
      </w:r>
    </w:p>
    <w:p/>
    <w:p>
      <w:pPr>
        <w:pStyle w:val="Heading2"/>
      </w:pPr>
      <w:r>
        <w:t xml:space="preserve">7.3 Aider</w:t>
      </w:r>
    </w:p>
    <w:p/>
    <w:p>
      <w:r>
        <w:t xml:space="preserve">Optional small patch. No chart-of-accounts invention.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8. Reference lookup</w:t>
      </w:r>
    </w:p>
    <w:p/>
    <w:p>
      <w:r>
        <w:t xml:space="preserve">Primary comparison trees: references/erpnext/ (accounts) and references/frappe/.</w:t>
      </w:r>
    </w:p>
    <w:p/>
    <w:p>
      <w:r>
        <w:t xml:space="preserve">Their chart of accounts is not ours. Canonical: specs/architecture/Supercore Commerce OS — External Reference Clones v1.0.md.</w:t>
      </w:r>
    </w:p>
    <w:p/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