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Product Vision and Phase Roadmap v1.1</w:t>
      </w:r>
    </w:p>
    <w:p/>
    <w:p>
      <w:r>
        <w:t xml:space="preserve">Document type: Product and architecture roadmap  </w:t>
      </w:r>
    </w:p>
    <w:p>
      <w:r>
        <w:t xml:space="preserve">Status: Active — supersedes v1.0 phase numbering  </w:t>
      </w:r>
    </w:p>
    <w:p>
      <w:r>
        <w:t xml:space="preserve">Owner: Supercore  </w:t>
      </w:r>
    </w:p>
    <w:p>
      <w:r>
        <w:t xml:space="preserve">Primary implementation tool: Cursor  </w:t>
      </w:r>
    </w:p>
    <w:p>
      <w:r>
        <w:t xml:space="preserve">UI/UX prototyping: Lovable  </w:t>
      </w:r>
    </w:p>
    <w:p>
      <w:r>
        <w:t xml:space="preserve">Controlled patches: Aider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What we are building</w:t>
      </w:r>
    </w:p>
    <w:p/>
    <w:p>
      <w:r>
        <w:t xml:space="preserve">Supercore Commerce OS is Supercore’s own Commerce OS / Business OS.</w:t>
      </w:r>
    </w:p>
    <w:p/>
    <w:p>
      <w:r>
        <w:t xml:space="preserve">It is greenfield. There is no Shopify, Vendure, ERPNext, or Frappe migration.</w:t>
      </w:r>
    </w:p>
    <w:p/>
    <w:p>
      <w:r>
        <w:t xml:space="preserve">Supercore owns the canonical engines:</w:t>
      </w:r>
    </w:p>
    <w:p/>
    <w:p>
      <w:pPr>
        <w:pStyle w:val="ListBullet"/>
      </w:pPr>
      <w:r>
        <w:t xml:space="preserve">Supercore Commerce Engine</w:t>
      </w:r>
    </w:p>
    <w:p>
      <w:pPr>
        <w:pStyle w:val="ListBullet"/>
      </w:pPr>
      <w:r>
        <w:t xml:space="preserve">Supercore CRM</w:t>
      </w:r>
    </w:p>
    <w:p>
      <w:pPr>
        <w:pStyle w:val="ListBullet"/>
      </w:pPr>
      <w:r>
        <w:t xml:space="preserve">Supercore Accounting Engine</w:t>
      </w:r>
    </w:p>
    <w:p>
      <w:pPr>
        <w:pStyle w:val="ListBullet"/>
      </w:pPr>
      <w:r>
        <w:t xml:space="preserve">Supercore Tax Engine</w:t>
      </w:r>
    </w:p>
    <w:p/>
    <w:p>
      <w:r>
        <w:t xml:space="preserve">External systems such as Vendure, ERPNext, Frappe CRM, HMRC, payment providers, shipping providers and supplier APIs must remain replaceable integrations.</w:t>
      </w:r>
    </w:p>
    <w:p/>
    <w:p>
      <w:r>
        <w:t xml:space="preserve">They are not the system of record.</w:t>
      </w:r>
    </w:p>
    <w:p>
      <w:r>
        <w:t xml:space="preserve">They are not scheduled implementations.</w:t>
      </w:r>
    </w:p>
    <w:p>
      <w:r>
        <w:t xml:space="preserve">They are not separate phases.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Binding engine strategy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System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When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Role</w:t>
            </w:r>
          </w:p>
        </w:tc>
      </w:tr>
      <w:tr>
        <w:tc>
          <w:tcPr>
            <w:tcW w:w="3000" w:type="dxa"/>
          </w:tcPr>
          <w:p>
            <w:r>
              <w:t xml:space="preserve">Vendure</w:t>
            </w:r>
          </w:p>
        </w:tc>
        <w:tc>
          <w:tcPr>
            <w:tcW w:w="3000" w:type="dxa"/>
          </w:tcPr>
          <w:p>
            <w:r>
              <w:t xml:space="preserve">**Not installed in Phase 0–1.** No dedicated phase.</w:t>
            </w:r>
          </w:p>
        </w:tc>
        <w:tc>
          <w:tcPr>
            <w:tcW w:w="3000" w:type="dxa"/>
          </w:tcPr>
          <w:p>
            <w:r>
              <w:t xml:space="preserve">Optional future reference / comparison / temporary `CommerceProvider` if a later spec justifies it</w:t>
            </w:r>
          </w:p>
        </w:tc>
      </w:tr>
      <w:tr>
        <w:tc>
          <w:tcPr>
            <w:tcW w:w="3000" w:type="dxa"/>
          </w:tcPr>
          <w:p>
            <w:r>
              <w:t xml:space="preserve">ERPNext</w:t>
            </w:r>
          </w:p>
        </w:tc>
        <w:tc>
          <w:tcPr>
            <w:tcW w:w="3000" w:type="dxa"/>
          </w:tcPr>
          <w:p>
            <w:r>
              <w:t xml:space="preserve">**Not installed in Phase 0–1.** No dedicated phase.</w:t>
            </w:r>
          </w:p>
        </w:tc>
        <w:tc>
          <w:tcPr>
            <w:tcW w:w="3000" w:type="dxa"/>
          </w:tcPr>
          <w:p>
            <w:r>
              <w:t xml:space="preserve">Optional future reference / temporary `AccountingProvider` if a later spec justifies it</w:t>
            </w:r>
          </w:p>
        </w:tc>
      </w:tr>
      <w:tr>
        <w:tc>
          <w:tcPr>
            <w:tcW w:w="3000" w:type="dxa"/>
          </w:tcPr>
          <w:p>
            <w:r>
              <w:t xml:space="preserve">Frappe CRM</w:t>
            </w:r>
          </w:p>
        </w:tc>
        <w:tc>
          <w:tcPr>
            <w:tcW w:w="3000" w:type="dxa"/>
          </w:tcPr>
          <w:p>
            <w:r>
              <w:t xml:space="preserve">**Not installed in Phase 0–1.** No dedicated phase.</w:t>
            </w:r>
          </w:p>
        </w:tc>
        <w:tc>
          <w:tcPr>
            <w:tcW w:w="3000" w:type="dxa"/>
          </w:tcPr>
          <w:p>
            <w:r>
              <w:t xml:space="preserve">Optional future `CRMProvider` if a later spec justifies it</w:t>
            </w:r>
          </w:p>
        </w:tc>
      </w:tr>
      <w:tr>
        <w:tc>
          <w:tcPr>
            <w:tcW w:w="3000" w:type="dxa"/>
          </w:tcPr>
          <w:p>
            <w:r>
              <w:t xml:space="preserve">Supercore Commerce Engine</w:t>
            </w:r>
          </w:p>
        </w:tc>
        <w:tc>
          <w:tcPr>
            <w:tcW w:w="3000" w:type="dxa"/>
          </w:tcPr>
          <w:p>
            <w:r>
              <w:t xml:space="preserve">Phase 2</w:t>
            </w:r>
          </w:p>
        </w:tc>
        <w:tc>
          <w:tcPr>
            <w:tcW w:w="3000" w:type="dxa"/>
          </w:tcPr>
          <w:p>
            <w:r>
              <w:t xml:space="preserve">Canonical commerce</w:t>
            </w:r>
          </w:p>
        </w:tc>
      </w:tr>
      <w:tr>
        <w:tc>
          <w:tcPr>
            <w:tcW w:w="3000" w:type="dxa"/>
          </w:tcPr>
          <w:p>
            <w:r>
              <w:t xml:space="preserve">Supercore CRM (with B2B)</w:t>
            </w:r>
          </w:p>
        </w:tc>
        <w:tc>
          <w:tcPr>
            <w:tcW w:w="3000" w:type="dxa"/>
          </w:tcPr>
          <w:p>
            <w:r>
              <w:t xml:space="preserve">Phase 3</w:t>
            </w:r>
          </w:p>
        </w:tc>
        <w:tc>
          <w:tcPr>
            <w:tcW w:w="3000" w:type="dxa"/>
          </w:tcPr>
          <w:p>
            <w:r>
              <w:t xml:space="preserve">Canonical CRM + B2B</w:t>
            </w:r>
          </w:p>
        </w:tc>
      </w:tr>
      <w:tr>
        <w:tc>
          <w:tcPr>
            <w:tcW w:w="3000" w:type="dxa"/>
          </w:tcPr>
          <w:p>
            <w:r>
              <w:t xml:space="preserve">Supercore ERP foundations</w:t>
            </w:r>
          </w:p>
        </w:tc>
        <w:tc>
          <w:tcPr>
            <w:tcW w:w="3000" w:type="dxa"/>
          </w:tcPr>
          <w:p>
            <w:r>
              <w:t xml:space="preserve">Phase 4</w:t>
            </w:r>
          </w:p>
        </w:tc>
        <w:tc>
          <w:tcPr>
            <w:tcW w:w="3000" w:type="dxa"/>
          </w:tcPr>
          <w:p>
            <w:r>
              <w:t xml:space="preserve">Inventory + procurement foundations</w:t>
            </w:r>
          </w:p>
        </w:tc>
      </w:tr>
      <w:tr>
        <w:tc>
          <w:tcPr>
            <w:tcW w:w="3000" w:type="dxa"/>
          </w:tcPr>
          <w:p>
            <w:r>
              <w:t xml:space="preserve">Supercore Accounting Engine</w:t>
            </w:r>
          </w:p>
        </w:tc>
        <w:tc>
          <w:tcPr>
            <w:tcW w:w="3000" w:type="dxa"/>
          </w:tcPr>
          <w:p>
            <w:r>
              <w:t xml:space="preserve">Phase 5</w:t>
            </w:r>
          </w:p>
        </w:tc>
        <w:tc>
          <w:tcPr>
            <w:tcW w:w="3000" w:type="dxa"/>
          </w:tcPr>
          <w:p>
            <w:r>
              <w:t xml:space="preserve">Canonical accounting</w:t>
            </w:r>
          </w:p>
        </w:tc>
      </w:tr>
      <w:tr>
        <w:tc>
          <w:tcPr>
            <w:tcW w:w="3000" w:type="dxa"/>
          </w:tcPr>
          <w:p>
            <w:r>
              <w:t xml:space="preserve">Supercore Tax Engine</w:t>
            </w:r>
          </w:p>
        </w:tc>
        <w:tc>
          <w:tcPr>
            <w:tcW w:w="3000" w:type="dxa"/>
          </w:tcPr>
          <w:p>
            <w:r>
              <w:t xml:space="preserve">Phase 6</w:t>
            </w:r>
          </w:p>
        </w:tc>
        <w:tc>
          <w:tcPr>
            <w:tcW w:w="3000" w:type="dxa"/>
          </w:tcPr>
          <w:p>
            <w:r>
              <w:t xml:space="preserve">Canonical tax / VAT</w:t>
            </w:r>
          </w:p>
        </w:tc>
      </w:tr>
      <w:tr>
        <w:tc>
          <w:tcPr>
            <w:tcW w:w="3000" w:type="dxa"/>
          </w:tcPr>
          <w:p>
            <w:r>
              <w:t xml:space="preserve">Supercore AI</w:t>
            </w:r>
          </w:p>
        </w:tc>
        <w:tc>
          <w:tcPr>
            <w:tcW w:w="3000" w:type="dxa"/>
          </w:tcPr>
          <w:p>
            <w:r>
              <w:t xml:space="preserve">Phase 7</w:t>
            </w:r>
          </w:p>
        </w:tc>
        <w:tc>
          <w:tcPr>
            <w:tcW w:w="3000" w:type="dxa"/>
          </w:tcPr>
          <w:p>
            <w:r>
              <w:t xml:space="preserve">Assistive AI; cannot bypass domain rules</w:t>
            </w:r>
          </w:p>
        </w:tc>
      </w:tr>
    </w:tbl>
    <w:p/>
    <w:p>
      <w:r>
        <w:t xml:space="preserve">We will not add Vendure or ERPNext merely because they exist.</w:t>
      </w:r>
    </w:p>
    <w:p/>
    <w:p>
      <w:r>
        <w:t xml:space="preserve">Local comparison trees (gitignored clones, not runtimes):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500"/>
        <w:gridCol w:w="4500"/>
      </w:tblGrid>
      <w:tr>
        <w:tc>
          <w:tcPr>
            <w:tcW w:w="4500" w:type="dxa"/>
            <w:shd w:val="clear" w:fill="F2F2F2"/>
          </w:tcPr>
          <w:p>
            <w:r>
              <w:t xml:space="preserve">Lookup</w:t>
            </w:r>
          </w:p>
        </w:tc>
        <w:tc>
          <w:tcPr>
            <w:tcW w:w="4500" w:type="dxa"/>
            <w:shd w:val="clear" w:fill="F2F2F2"/>
          </w:tcPr>
          <w:p>
            <w:r>
              <w:t xml:space="preserve">Path</w:t>
            </w:r>
          </w:p>
        </w:tc>
      </w:tr>
      <w:tr>
        <w:tc>
          <w:tcPr>
            <w:tcW w:w="4500" w:type="dxa"/>
          </w:tcPr>
          <w:p>
            <w:r>
              <w:t xml:space="preserve">Commerce patterns</w:t>
            </w:r>
          </w:p>
        </w:tc>
        <w:tc>
          <w:tcPr>
            <w:tcW w:w="4500" w:type="dxa"/>
          </w:tcPr>
          <w:p>
            <w:r>
              <w:t xml:space="preserve">`references/vendure/`</w:t>
            </w:r>
          </w:p>
        </w:tc>
      </w:tr>
      <w:tr>
        <w:tc>
          <w:tcPr>
            <w:tcW w:w="4500" w:type="dxa"/>
          </w:tcPr>
          <w:p>
            <w:r>
              <w:t xml:space="preserve">CRM patterns</w:t>
            </w:r>
          </w:p>
        </w:tc>
        <w:tc>
          <w:tcPr>
            <w:tcW w:w="4500" w:type="dxa"/>
          </w:tcPr>
          <w:p>
            <w:r>
              <w:t xml:space="preserve">`references/frappe-crm/`</w:t>
            </w:r>
          </w:p>
        </w:tc>
      </w:tr>
      <w:tr>
        <w:tc>
          <w:tcPr>
            <w:tcW w:w="4500" w:type="dxa"/>
          </w:tcPr>
          <w:p>
            <w:r>
              <w:t xml:space="preserve">Accounting / stock / buying</w:t>
            </w:r>
          </w:p>
        </w:tc>
        <w:tc>
          <w:tcPr>
            <w:tcW w:w="4500" w:type="dxa"/>
          </w:tcPr>
          <w:p>
            <w:r>
              <w:t xml:space="preserve">`references/erpnext/`</w:t>
            </w:r>
          </w:p>
        </w:tc>
      </w:tr>
      <w:tr>
        <w:tc>
          <w:tcPr>
            <w:tcW w:w="4500" w:type="dxa"/>
          </w:tcPr>
          <w:p>
            <w:r>
              <w:t xml:space="preserve">Frappe framework</w:t>
            </w:r>
          </w:p>
        </w:tc>
        <w:tc>
          <w:tcPr>
            <w:tcW w:w="4500" w:type="dxa"/>
          </w:tcPr>
          <w:p>
            <w:r>
              <w:t xml:space="preserve">`references/frappe/`</w:t>
            </w:r>
          </w:p>
        </w:tc>
      </w:tr>
    </w:tbl>
    <w:p/>
    <w:p>
      <w:r>
        <w:t xml:space="preserve">Binding usage: specs/architecture/Supercore Commerce OS — External Reference Clones v1.0.md.  </w:t>
      </w:r>
    </w:p>
    <w:p>
      <w:r>
        <w:t xml:space="preserve">Spec and ADR always beat a pattern found in those trees.</w:t>
      </w:r>
    </w:p>
    <w:p/>
    <w:p>
      <w:r>
        <w:t xml:space="preserve">If a later phase needs a temporary or comparative external engine, it is evaluated as an adapter only: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CommerceProvider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SupercoreCommerceProvider     (canonical)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VendureCommerceProvider       (optional, unscheduled)</w:t>
      </w:r>
    </w:p>
    <w:p>
      <w:pPr>
        <w:pStyle w:val="Code"/>
      </w:pPr>
      <w:r>
        <w:rPr>
          <w:rFonts w:ascii="Consolas" w:hAnsi="Consolas"/>
          <w:sz w:val="18"/>
        </w:rPr>
        <w:t/>
      </w:r>
    </w:p>
    <w:p>
      <w:pPr>
        <w:pStyle w:val="Code"/>
      </w:pPr>
      <w:r>
        <w:rPr>
          <w:rFonts w:ascii="Consolas" w:hAnsi="Consolas"/>
          <w:sz w:val="18"/>
        </w:rPr>
        <w:t xml:space="preserve">CRMProvider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SupercoreCRMProvider          (canonical)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FrappeCRMProvider             (optional, unscheduled)</w:t>
      </w:r>
    </w:p>
    <w:p>
      <w:pPr>
        <w:pStyle w:val="Code"/>
      </w:pPr>
      <w:r>
        <w:rPr>
          <w:rFonts w:ascii="Consolas" w:hAnsi="Consolas"/>
          <w:sz w:val="18"/>
        </w:rPr>
        <w:t/>
      </w:r>
    </w:p>
    <w:p>
      <w:pPr>
        <w:pStyle w:val="Code"/>
      </w:pPr>
      <w:r>
        <w:rPr>
          <w:rFonts w:ascii="Consolas" w:hAnsi="Consolas"/>
          <w:sz w:val="18"/>
        </w:rPr>
        <w:t xml:space="preserve">AccountingProvider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SupercoreAccountingProvider   (canonical)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ERPNextAccountingProvider     (optional, unscheduled)</w:t>
      </w:r>
    </w:p>
    <w:p/>
    <w:p>
      <w:r>
        <w:t xml:space="preserve">This guarantees Supercore remains the owner. It does not create a dependency.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Phase sequence (authoritative)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Phase 0  Foundation                 COMPLETE</w:t>
      </w:r>
    </w:p>
    <w:p>
      <w:pPr>
        <w:pStyle w:val="Code"/>
      </w:pPr>
      <w:r>
        <w:rPr>
          <w:rFonts w:ascii="Consolas" w:hAnsi="Consolas"/>
          <w:sz w:val="18"/>
        </w:rPr>
        <w:t xml:space="preserve">Phase 1  Platform Core</w:t>
      </w:r>
    </w:p>
    <w:p>
      <w:pPr>
        <w:pStyle w:val="Code"/>
      </w:pPr>
      <w:r>
        <w:rPr>
          <w:rFonts w:ascii="Consolas" w:hAnsi="Consolas"/>
          <w:sz w:val="18"/>
        </w:rPr>
        <w:t xml:space="preserve">Phase 2  Supercore Commerce</w:t>
      </w:r>
    </w:p>
    <w:p>
      <w:pPr>
        <w:pStyle w:val="Code"/>
      </w:pPr>
      <w:r>
        <w:rPr>
          <w:rFonts w:ascii="Consolas" w:hAnsi="Consolas"/>
          <w:sz w:val="18"/>
        </w:rPr>
        <w:t xml:space="preserve">Phase 3  Supercore B2B + CRM</w:t>
      </w:r>
    </w:p>
    <w:p>
      <w:pPr>
        <w:pStyle w:val="Code"/>
      </w:pPr>
      <w:r>
        <w:rPr>
          <w:rFonts w:ascii="Consolas" w:hAnsi="Consolas"/>
          <w:sz w:val="18"/>
        </w:rPr>
        <w:t xml:space="preserve">Phase 4  ERP / Inventory / Procurement foundations</w:t>
      </w:r>
    </w:p>
    <w:p>
      <w:pPr>
        <w:pStyle w:val="Code"/>
      </w:pPr>
      <w:r>
        <w:rPr>
          <w:rFonts w:ascii="Consolas" w:hAnsi="Consolas"/>
          <w:sz w:val="18"/>
        </w:rPr>
        <w:t xml:space="preserve">Phase 5  Supercore Accounting</w:t>
      </w:r>
    </w:p>
    <w:p>
      <w:pPr>
        <w:pStyle w:val="Code"/>
      </w:pPr>
      <w:r>
        <w:rPr>
          <w:rFonts w:ascii="Consolas" w:hAnsi="Consolas"/>
          <w:sz w:val="18"/>
        </w:rPr>
        <w:t xml:space="preserve">Phase 6  Supercore Tax / VAT</w:t>
      </w:r>
    </w:p>
    <w:p>
      <w:pPr>
        <w:pStyle w:val="Code"/>
      </w:pPr>
      <w:r>
        <w:rPr>
          <w:rFonts w:ascii="Consolas" w:hAnsi="Consolas"/>
          <w:sz w:val="18"/>
        </w:rPr>
        <w:t xml:space="preserve">Phase 7  Supercore AI</w:t>
      </w:r>
    </w:p>
    <w:p/>
    <w:p>
      <w:r>
        <w:t xml:space="preserve">There is no Phase “Vendure”.</w:t>
      </w:r>
    </w:p>
    <w:p>
      <w:r>
        <w:t xml:space="preserve">There is no Phase “ERPNext”.</w:t>
      </w:r>
    </w:p>
    <w:p>
      <w:r>
        <w:t xml:space="preserve">The previous 11-phase numbering is retired.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Architecture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Requirement → Spec → Domain → Application → API → Infrastructure → Database</w:t>
      </w:r>
    </w:p>
    <w:p>
      <w:pPr>
        <w:pStyle w:val="Code"/>
      </w:pPr>
      <w:r>
        <w:rPr>
          <w:rFonts w:ascii="Consolas" w:hAnsi="Consolas"/>
          <w:sz w:val="18"/>
        </w:rPr>
        <w:t/>
      </w:r>
    </w:p>
    <w:p>
      <w:pPr>
        <w:pStyle w:val="Code"/>
      </w:pPr>
      <w:r>
        <w:rPr>
          <w:rFonts w:ascii="Consolas" w:hAnsi="Consolas"/>
          <w:sz w:val="18"/>
        </w:rPr>
        <w:t xml:space="preserve">Supercore Domain → Adapter Interface → External Provider (optional)</w:t>
      </w:r>
    </w:p>
    <w:p/>
    <w:p>
      <w:r>
        <w:t xml:space="preserve">Modular monolith.</w:t>
      </w:r>
    </w:p>
    <w:p/>
    <w:p>
      <w:r>
        <w:t xml:space="preserve">Development agents (not a phase):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                    SUPERCORE DEVELOPMENT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┌────────────────┼────────────────┐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│                │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CURSOR           LOVABLE           AIDER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MAIN DEV         UI/UX DEV      CONTROLLED PATCH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│                │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└────────────────┼────────────────┘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│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Git / CI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Requirement → Spec → Lovable → UI/UX prototype → Next.js / Tailwind / shadcn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→ Cursor → production code</w:t>
      </w:r>
    </w:p>
    <w:p/>
    <w:p>
      <w:r>
        <w:t xml:space="preserve">Cursor is the primary engineer. Lovable is UI/UX prototyping only (no business logic). Aider is controlled refactors. Codex is not used.</w:t>
      </w:r>
    </w:p>
    <w:p/>
    <w:p>
      <w:r>
        <w:t xml:space="preserve">Canonical: specs/architecture/Supercore Commerce OS — Development Agent Architecture v1.0.md.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Current position</w:t>
      </w:r>
    </w:p>
    <w:p/>
    <w:p>
      <w:r>
        <w:t xml:space="preserve">Phase 0 foundation is in the repository (see Phase 0 Completion Audit). Local checks were reported during implementation. Remote CI evidence is still pending.</w:t>
      </w:r>
    </w:p>
    <w:p/>
    <w:p>
      <w:r>
        <w:t xml:space="preserve">Phase 1 is specified. §17 blockers are closed (2026-10-05; ADR-006 amendment, ADR-009). Coding still waits for explicit approval of this spec.</w:t>
      </w:r>
    </w:p>
    <w:p/>
    <w:p>
      <w:r>
        <w:t xml:space="preserve">Phases 2–7 are direction charters. Detailed pricing, VAT rates, ledger charts, and checkout rules are not invented here. Each phase needs an approved addendum before those rules are coded.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What each phase produces</w:t>
      </w:r>
    </w:p>
    <w:p/>
    <w:p>
      <w:pPr>
        <w:pStyle w:val="Heading2"/>
      </w:pPr>
      <w:r>
        <w:t xml:space="preserve">Phase 0 — Foundation</w:t>
      </w:r>
    </w:p>
    <w:p/>
    <w:p>
      <w:r>
        <w:t xml:space="preserve">Platform bootstrap: monorepo, API, web, admin, Postgres, Redis, worker, tests, CI workflow, adapter interfaces.</w:t>
      </w:r>
    </w:p>
    <w:p/>
    <w:p>
      <w:r>
        <w:t xml:space="preserve">Local implementation is reported in the Completion Audit. Bind logs and a remote CI run to a commit before calling the phase independently verified.</w:t>
      </w:r>
    </w:p>
    <w:p/>
    <w:p>
      <w:pPr>
        <w:pStyle w:val="Heading2"/>
      </w:pPr>
      <w:r>
        <w:t xml:space="preserve">Phase 1 — Platform Core</w:t>
      </w:r>
    </w:p>
    <w:p/>
    <w:p>
      <w:r>
        <w:t xml:space="preserve">Tenant, Organization, User, Role, Permission, Customer, Supplier, Address, Country, Currency, Audit.</w:t>
      </w:r>
    </w:p>
    <w:p>
      <w:r>
        <w:t xml:space="preserve">First-party auth. No Vendure/ERPNext/Frappe install.</w:t>
      </w:r>
    </w:p>
    <w:p/>
    <w:p>
      <w:pPr>
        <w:pStyle w:val="Heading2"/>
      </w:pPr>
      <w:r>
        <w:t xml:space="preserve">Phase 2 — Supercore Commerce</w:t>
      </w:r>
    </w:p>
    <w:p/>
    <w:p>
      <w:r>
        <w:t xml:space="preserve">Canonical commerce engine: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Commerce Engine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DB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API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Pricing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Catalog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Supercore Order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Supercore Inventory (commerce-facing)</w:t>
      </w:r>
    </w:p>
    <w:p/>
    <w:p>
      <w:r>
        <w:t xml:space="preserve">Vendure is not required.</w:t>
      </w:r>
    </w:p>
    <w:p/>
    <w:p>
      <w:r>
        <w:t xml:space="preserve">Payment capture uses PaymentProvider (replaceable). Canonical order remains Supercore.</w:t>
      </w:r>
    </w:p>
    <w:p/>
    <w:p>
      <w:pPr>
        <w:pStyle w:val="Heading2"/>
      </w:pPr>
      <w:r>
        <w:t xml:space="preserve">Phase 3 — Supercore B2B + CRM</w:t>
      </w:r>
    </w:p>
    <w:p/>
    <w:p>
      <w:r>
        <w:t xml:space="preserve">Canonical CRM plus B2B account/buyer behaviour.</w:t>
      </w:r>
    </w:p>
    <w:p>
      <w:r>
        <w:t xml:space="preserve">Frappe CRM is not required.</w:t>
      </w:r>
    </w:p>
    <w:p/>
    <w:p>
      <w:pPr>
        <w:pStyle w:val="Heading2"/>
      </w:pPr>
      <w:r>
        <w:t xml:space="preserve">Phase 4 — ERP / Inventory / Procurement foundations</w:t>
      </w:r>
    </w:p>
    <w:p/>
    <w:p>
      <w:r>
        <w:t xml:space="preserve">Warehouse, stock movements, purchase orders, receipts.</w:t>
      </w:r>
    </w:p>
    <w:p>
      <w:r>
        <w:t xml:space="preserve">This is Supercore ERP foundation, not ERPNext.</w:t>
      </w:r>
    </w:p>
    <w:p/>
    <w:p>
      <w:pPr>
        <w:pStyle w:val="Heading2"/>
      </w:pPr>
      <w:r>
        <w:t xml:space="preserve">Phase 5 — Supercore Accounting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Accounting Engine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Chart of Accounts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Journal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GL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AR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AP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├── Invoice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└── Payment</w:t>
      </w:r>
    </w:p>
    <w:p/>
    <w:p>
      <w:r>
        <w:t xml:space="preserve">ERPNext is not required.</w:t>
      </w:r>
    </w:p>
    <w:p/>
    <w:p>
      <w:pPr>
        <w:pStyle w:val="Heading2"/>
      </w:pPr>
      <w:r>
        <w:t xml:space="preserve">Phase 6 — Supercore Tax / VAT</w:t>
      </w:r>
    </w:p>
    <w:p/>
    <w:p>
      <w:r>
        <w:t xml:space="preserve">Supercore tax engine, VAT return document, HMRC only via adapter + approval gate.</w:t>
      </w:r>
    </w:p>
    <w:p/>
    <w:p>
      <w:pPr>
        <w:pStyle w:val="Heading2"/>
      </w:pPr>
      <w:r>
        <w:t xml:space="preserve">Phase 7 — Supercore AI</w:t>
      </w:r>
    </w:p>
    <w:p/>
    <w:p>
      <w:r>
        <w:t xml:space="preserve">Assistive agents over existing application services. Cannot bypass RBAC, ledger immutability, or HMRC approval.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7. Cross-cutting (not a numbered phase)</w:t>
      </w:r>
    </w:p>
    <w:p/>
    <w:p>
      <w:r>
        <w:t xml:space="preserve">These are not extra numbered phases. They do not restore Vendure/ERPNext as engines.</w:t>
      </w:r>
    </w:p>
    <w:p/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fill="F2F2F2"/>
          </w:tcPr>
          <w:p>
            <w:r>
              <w:t xml:space="preserve">Capability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When</w:t>
            </w:r>
          </w:p>
        </w:tc>
        <w:tc>
          <w:tcPr>
            <w:tcW w:w="3000" w:type="dxa"/>
            <w:shd w:val="clear" w:fill="F2F2F2"/>
          </w:tcPr>
          <w:p>
            <w:r>
              <w:t xml:space="preserve">Owner</w:t>
            </w:r>
          </w:p>
        </w:tc>
      </w:tr>
      <w:tr>
        <w:tc>
          <w:tcPr>
            <w:tcW w:w="3000" w:type="dxa"/>
          </w:tcPr>
          <w:p>
            <w:r>
              <w:t xml:space="preserve">Payment **capture** (processor)</w:t>
            </w:r>
          </w:p>
        </w:tc>
        <w:tc>
          <w:tcPr>
            <w:tcW w:w="3000" w:type="dxa"/>
          </w:tcPr>
          <w:p>
            <w:r>
              <w:t xml:space="preserve">Phase 2 with orders</w:t>
            </w:r>
          </w:p>
        </w:tc>
        <w:tc>
          <w:tcPr>
            <w:tcW w:w="3000" w:type="dxa"/>
          </w:tcPr>
          <w:p>
            <w:r>
              <w:t xml:space="preserve">`PaymentProvider`; processor IDs are external</w:t>
            </w:r>
          </w:p>
        </w:tc>
      </w:tr>
      <w:tr>
        <w:tc>
          <w:tcPr>
            <w:tcW w:w="3000" w:type="dxa"/>
          </w:tcPr>
          <w:p>
            <w:r>
              <w:t xml:space="preserve">Payment **allocation** (AR/AP)</w:t>
            </w:r>
          </w:p>
        </w:tc>
        <w:tc>
          <w:tcPr>
            <w:tcW w:w="3000" w:type="dxa"/>
          </w:tcPr>
          <w:p>
            <w:r>
              <w:t xml:space="preserve">Phase 5</w:t>
            </w:r>
          </w:p>
        </w:tc>
        <w:tc>
          <w:tcPr>
            <w:tcW w:w="3000" w:type="dxa"/>
          </w:tcPr>
          <w:p>
            <w:r>
              <w:t xml:space="preserve">`@supercore/accounting`</w:t>
            </w:r>
          </w:p>
        </w:tc>
      </w:tr>
      <w:tr>
        <w:tc>
          <w:tcPr>
            <w:tcW w:w="3000" w:type="dxa"/>
          </w:tcPr>
          <w:p>
            <w:r>
              <w:t xml:space="preserve">Shipping rates/labels</w:t>
            </w:r>
          </w:p>
        </w:tc>
        <w:tc>
          <w:tcPr>
            <w:tcW w:w="3000" w:type="dxa"/>
          </w:tcPr>
          <w:p>
            <w:r>
              <w:t xml:space="preserve">When a carrier is chosen</w:t>
            </w:r>
          </w:p>
        </w:tc>
        <w:tc>
          <w:tcPr>
            <w:tcW w:w="3000" w:type="dxa"/>
          </w:tcPr>
          <w:p>
            <w:r>
              <w:t xml:space="preserve">`ShippingProvider`</w:t>
            </w:r>
          </w:p>
        </w:tc>
      </w:tr>
      <w:tr>
        <w:tc>
          <w:tcPr>
            <w:tcW w:w="3000" w:type="dxa"/>
          </w:tcPr>
          <w:p>
            <w:r>
              <w:t xml:space="preserve">Search</w:t>
            </w:r>
          </w:p>
        </w:tc>
        <w:tc>
          <w:tcPr>
            <w:tcW w:w="3000" w:type="dxa"/>
          </w:tcPr>
          <w:p>
            <w:r>
              <w:t xml:space="preserve">When a domain needs it</w:t>
            </w:r>
          </w:p>
        </w:tc>
        <w:tc>
          <w:tcPr>
            <w:tcW w:w="3000" w:type="dxa"/>
          </w:tcPr>
          <w:p>
            <w:r>
              <w:t xml:space="preserve">`SearchProvider` (`@supercore/search`)</w:t>
            </w:r>
          </w:p>
        </w:tc>
      </w:tr>
      <w:tr>
        <w:tc>
          <w:tcPr>
            <w:tcW w:w="3000" w:type="dxa"/>
          </w:tcPr>
          <w:p>
            <w:r>
              <w:t xml:space="preserve">Files</w:t>
            </w:r>
          </w:p>
        </w:tc>
        <w:tc>
          <w:tcPr>
            <w:tcW w:w="3000" w:type="dxa"/>
          </w:tcPr>
          <w:p>
            <w:r>
              <w:t xml:space="preserve">When a domain needs it</w:t>
            </w:r>
          </w:p>
        </w:tc>
        <w:tc>
          <w:tcPr>
            <w:tcW w:w="3000" w:type="dxa"/>
          </w:tcPr>
          <w:p>
            <w:r>
              <w:t xml:space="preserve">`FileStorageProvider` (`@supercore/files`)</w:t>
            </w:r>
          </w:p>
        </w:tc>
      </w:tr>
      <w:tr>
        <w:tc>
          <w:tcPr>
            <w:tcW w:w="3000" w:type="dxa"/>
          </w:tcPr>
          <w:p>
            <w:r>
              <w:t xml:space="preserve">Reporting / workflow / backups / NGINX TLS</w:t>
            </w:r>
          </w:p>
        </w:tc>
        <w:tc>
          <w:tcPr>
            <w:tcW w:w="3000" w:type="dxa"/>
          </w:tcPr>
          <w:p>
            <w:r>
              <w:t xml:space="preserve">When operations require them</w:t>
            </w:r>
          </w:p>
        </w:tc>
        <w:tc>
          <w:tcPr>
            <w:tcW w:w="3000" w:type="dxa"/>
          </w:tcPr>
          <w:p>
            <w:r>
              <w:t xml:space="preserve">Platform; see Cross-cutting spec</w:t>
            </w:r>
          </w:p>
        </w:tc>
      </w:tr>
    </w:tbl>
    <w:p/>
    <w:p>
      <w:r>
        <w:t xml:space="preserve">See specs/architecture/Supercore Commerce OS — Cross-cutting Platform Services Specification v1.0.md.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8. Development agents (applies to every phase)</w:t>
      </w:r>
    </w:p>
    <w:p/>
    <w:p>
      <w:r>
        <w:t xml:space="preserve">Cursor, Lovable, and Aider are how we build Phases 1–7. They are not extra product engines and not Phase 8.</w:t>
      </w:r>
    </w:p>
    <w:p/>
    <w:p>
      <w:r>
        <w:t xml:space="preserve">Lovable: dashboard, CRM, customer, product, order, accounting, B2B portal, admin panel, tables, filters, forms, navigation, responsive layout, visual hierarchy, UX flows.</w:t>
      </w:r>
    </w:p>
    <w:p/>
    <w:p>
      <w:r>
        <w:t xml:space="preserve">Cursor: production architecture, APIs, tests, and porting that UI into apps/web / apps/admin.</w:t>
      </w:r>
    </w:p>
    <w:p/>
    <w:p>
      <w:r>
        <w:t xml:space="preserve">Details: specs/architecture/Supercore Commerce OS — Development Agent Architecture v1.0.md.</w:t>
      </w:r>
    </w:p>
    <w:p/>
    <w:p>
      <w:r>
        <w:t xml:space="preserve">During implementation, Cursor may look up references/ as in External Reference Clones v1.0. That lookup does not install those products and does not replace this roadmap.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9. Approval</w:t>
      </w:r>
    </w:p>
    <w:p/>
    <w:p>
      <w:r>
        <w:t xml:space="preserve">Phase 1 coding starts only after the Phase 1 Platform Core Specification is explicitly approved. §17 blockers in that spec are closed (2026-10-05).</w:t>
      </w:r>
    </w:p>
    <w:p/>
    <w:p>
      <w:r>
        <w:t xml:space="preserve">Later phases start only after their specification (and any required addendum) is approved.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