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1525F" w:val="clear"/>
        <w:spacing w:after="0"/>
      </w:pPr>
      <w:r>
        <w:rPr>
          <w:rFonts w:ascii="Arial" w:cs="Arial" w:eastAsia="Microsoft YaHei" w:hAnsi="Arial"/>
          <w:sz w:val="16"/>
          <w:szCs w:val="16"/>
        </w:rPr>
        <w:t xml:space="preserve"> </w:t>
      </w:r>
    </w:p>
    <w:p>
      <w:pPr>
        <w:shd w:fill="B08A2E" w:val="clear"/>
        <w:spacing w:after="2600"/>
      </w:pPr>
      <w:r>
        <w:rPr>
          <w:rFonts w:ascii="Arial" w:cs="Arial" w:eastAsia="Microsoft YaHei" w:hAnsi="Arial"/>
          <w:sz w:val="6"/>
          <w:szCs w:val="6"/>
        </w:rPr>
        <w:t xml:space="preserve"> </w:t>
      </w:r>
    </w:p>
    <w:p>
      <w:pPr>
        <w:pStyle w:val="Title"/>
        <w:spacing w:after="160"/>
        <w:jc w:val="center"/>
      </w:pPr>
      <w:r>
        <w:rPr>
          <w:rFonts w:ascii="Arial" w:cs="Arial" w:eastAsia="Microsoft YaHei" w:hAnsi="Arial"/>
          <w:b/>
          <w:bCs/>
          <w:color w:val="1F2A33"/>
          <w:sz w:val="44"/>
          <w:szCs w:val="44"/>
        </w:rPr>
        <w:t xml:space="preserve">AI + 中小微企业智能财务系统 项目企划书</w:t>
      </w:r>
    </w:p>
    <w:p>
      <w:pPr>
        <w:spacing w:after="480"/>
        <w:jc w:val="center"/>
      </w:pPr>
      <w:r>
        <w:rPr>
          <w:rFonts w:ascii="Arial" w:cs="Arial" w:eastAsia="Microsoft YaHei" w:hAnsi="Arial"/>
          <w:color w:val="31525F"/>
          <w:sz w:val="26"/>
          <w:szCs w:val="26"/>
        </w:rPr>
        <w:t xml:space="preserve">—— 修订版 v2.1 · 聚焦 Phase 0–2 ——</w:t>
      </w:r>
    </w:p>
    <w:tbl>
      <w:tblPr>
        <w:tblW w:type="dxa" w:w="260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0"/>
      </w:tblGrid>
      <w:tr>
        <w:trPr>
          <w:trHeight w:val="70" w:hRule="atLeast"/>
        </w:trPr>
        <w:tc>
          <w:tcPr>
            <w:shd w:fill="B08A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"/>
            </w:pPr>
            <w:r>
              <w:rPr>
                <w:rFonts w:ascii="Arial" w:cs="Arial" w:eastAsia="Microsoft YaHei" w:hAnsi="Arial"/>
                <w:sz w:val="4"/>
                <w:szCs w:val="4"/>
              </w:rPr>
              <w:t xml:space="preserve"> </w:t>
            </w:r>
          </w:p>
        </w:tc>
      </w:tr>
    </w:tbl>
    <w:p>
      <w:pPr>
        <w:spacing w:after="1400"/>
      </w:pPr>
      <w:r>
        <w:rPr>
          <w:rFonts w:ascii="Arial" w:cs="Arial" w:eastAsia="Microsoft YaHei" w:hAnsi="Arial"/>
          <w:sz w:val="8"/>
          <w:szCs w:val="8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Microsoft YaHei" w:hAnsi="Arial"/>
          <w:color w:val="78909C"/>
          <w:sz w:val="22"/>
          <w:szCs w:val="22"/>
        </w:rPr>
        <w:t xml:space="preserve">版本　</w:t>
      </w:r>
      <w:r>
        <w:rPr>
          <w:rFonts w:ascii="Arial" w:cs="Arial" w:eastAsia="Microsoft YaHei" w:hAnsi="Arial"/>
          <w:color w:val="1F2A33"/>
          <w:sz w:val="22"/>
          <w:szCs w:val="22"/>
        </w:rPr>
        <w:t xml:space="preserve">v2.1（聚焦 Phase 0–2 细化落地，Phase 3 / 4 收缩为远期展望）</w:t>
      </w:r>
    </w:p>
    <w:p>
      <w:pPr>
        <w:spacing w:after="100"/>
        <w:jc w:val="center"/>
      </w:pPr>
      <w:r>
        <w:rPr>
          <w:rFonts w:ascii="Arial" w:cs="Arial" w:eastAsia="Microsoft YaHei" w:hAnsi="Arial"/>
          <w:color w:val="78909C"/>
          <w:sz w:val="22"/>
          <w:szCs w:val="22"/>
        </w:rPr>
        <w:t xml:space="preserve">日期　</w:t>
      </w:r>
      <w:r>
        <w:rPr>
          <w:rFonts w:ascii="Arial" w:cs="Arial" w:eastAsia="Microsoft YaHei" w:hAnsi="Arial"/>
          <w:color w:val="1F2A33"/>
          <w:sz w:val="22"/>
          <w:szCs w:val="22"/>
        </w:rPr>
        <w:t xml:space="preserve">2026 年 8 月 28 日</w:t>
      </w:r>
    </w:p>
    <w:p>
      <w:pPr>
        <w:spacing w:after="1800"/>
        <w:jc w:val="center"/>
      </w:pPr>
      <w:r>
        <w:rPr>
          <w:rFonts w:ascii="Arial" w:cs="Arial" w:eastAsia="Microsoft YaHei" w:hAnsi="Arial"/>
          <w:color w:val="78909C"/>
          <w:sz w:val="22"/>
          <w:szCs w:val="22"/>
        </w:rPr>
        <w:t xml:space="preserve">文档性质　</w:t>
      </w:r>
      <w:r>
        <w:rPr>
          <w:rFonts w:ascii="Arial" w:cs="Arial" w:eastAsia="Microsoft YaHei" w:hAnsi="Arial"/>
          <w:color w:val="1F2A33"/>
          <w:sz w:val="22"/>
          <w:szCs w:val="22"/>
        </w:rPr>
        <w:t xml:space="preserve">内部立项企划</w:t>
      </w:r>
    </w:p>
    <w:p>
      <w:pPr>
        <w:spacing w:after="120" w:before="20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修订说明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本版完整保留原企划书的核心思路与阶段设想（AI 视觉采集 → Agent 数据整理 → 财务总览 → 决策辅助 → 系统扩展），并在以下方面做了细化与补充：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结构重组：将原文按"项目概述 / 背景痛点 / 竞品与差异化 / 总体架构 / 分阶段计划 / 保障机制 / 里程碑"重排，便于评审与执行对照；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阶段细化：Phase 0–2 统一拆分为「阶段目标 / 关键任务 / 交付物 / 验收标准 / 风险与对策 / 预估周期」六个要素，作为近期落地计划；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范围聚焦（v2.1）：Phase 3（决策辅助）与 Phase 4（系统扩展）不再展开，仅作远期方向性展望，待前三阶段稳定运行后另行立项详化；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新增 Phase 0：在正式开发前增加"调研与立项验证"阶段，承接原文中的待定项（分类标准模拟实验、主流软件功能解析、Dashboard 参数调研）；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新增保障机制：补充数据安全与合规、质量保障体系、项目风险总表与里程碑总表；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视觉升级：新增系统四层架构图与项目里程碑时间轴，统一全书视觉规范。</w:t>
      </w:r>
    </w:p>
    <w:p>
      <w:r>
        <w:br w:type="page"/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目录</w:t>
      </w:r>
    </w:p>
    <w:p>
      <w:pPr>
        <w:spacing w:after="140" w:line="320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（在 Word/WPS 中右键目录选择"更新域"可刷新页码）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一、项目概述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1.1 项目定位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1.2 四大核心模块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1.3 价值主张与差异化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二、背景与痛点分析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2.1 中小微企业的财务现实痛点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2.2 政策与技术机遇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2.3 目标用户画像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三、竞品分析与差异化策略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 竞品解析计划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3.2 差异化定位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四、系统总体架构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四层架构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核心设计原则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五、分阶段实施计划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5.1 Phase 0：调研与立项验证（第 4–6 周）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5.2 Phase 1：AI 视觉采集与 Agent 数据整理（约 3–4 个月）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5.3 Phase 2：财务总览 Dashboard（约 2 个月）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5.4 远期展望：Phase 3 决策辅助与 Phase 4 系统扩展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六、横向保障机制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6.1 数据安全与合规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6.2 质量保障体系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6.3 项目风险总表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七、里程碑总表</w:t>
          </w:r>
          <w:r>
            <w:tab/>
          </w:r>
          <w:r>
            <w:t>15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八、附录：待办调研清单</w:t>
          </w:r>
          <w:r>
            <w:tab/>
          </w:r>
          <w:r>
            <w:t>16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一、项目概述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1.1 项目定位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本项目是一套面向中小微企业的 AI 驱动财务系统，以「AI 视觉 + Agent 数据整理 + 形成总览 + 生成决策参考」四个部分构成核心链路：用户随手一拍，系统即完成票据电子化、自动归档、账表编制，并进一步提供经营总览与决策参考。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系统的设计目标是最大限度降低财务数字化的使用门槛——让没有专职会计的小微企业主也能实时、规范地掌握自己的财务状况，让会计从重复录入中解放出来，专注审核与筹划。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1.2 四大核心模块</w:t>
      </w:r>
    </w:p>
    <w:tbl>
      <w:tblPr>
        <w:tblW w:type="pct" w:w="100%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00"/>
        <w:gridCol w:w="1600"/>
        <w:gridCol w:w="4200"/>
        <w:gridCol w:w="1600"/>
      </w:tblGrid>
      <w:tr>
        <w:trPr>
          <w:tblHeader/>
        </w:trPr>
        <w:tc>
          <w:tcPr>
            <w:tcW w:type="dxa" w:w="19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1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所属阶段</w:t>
            </w:r>
          </w:p>
        </w:tc>
        <w:tc>
          <w:tcPr>
            <w:tcW w:type="dxa" w:w="42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1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AI 视觉采集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1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拍照电子化、自动归档、全程留痕（含微信机器人无感采集入口）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核心差异化</w:t>
            </w:r>
          </w:p>
        </w:tc>
      </w:tr>
      <w:tr>
        <w:tc>
          <w:tcPr>
            <w:tcW w:type="dxa" w:w="19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Agent 数据整理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1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数据清洗查重、分类存储、自动编制报表、二次审计与人工介入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核心差异化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财务总览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2 / 2.5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可定制 Dashboard、直观图表、经营画像、磁贴交互打磨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基础功能之上</w:t>
            </w:r>
          </w:p>
        </w:tc>
      </w:tr>
      <w:tr>
        <w:tc>
          <w:tcPr>
            <w:tcW w:type="dxa" w:w="19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决策辅助 + 系统扩展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3 / 4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决策 Agent、行业信息检索与预测、底层自定义升级（详见 5.4 远期展望）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远期展望</w:t>
            </w:r>
          </w:p>
        </w:tc>
      </w:tr>
    </w:tbl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1.3 价值主张与差异化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对小微企业主：极低使用门槛（随手拍、无感采集），实时掌握现金流与经营概况，降低对专职会计的依赖；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对会计 / 代账人员：从重复录入与归档中解放，专注审核、报税与税务筹划等更高价值工作；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差异化壁垒：第一部分（AI 视觉无感采集）是整个系统区别于友商的关键，做好即可极大降低使用门槛，形成先发优势。</w:t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二、背景与痛点分析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2.1 中小微企业的财务现实痛点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现代中小微型企业在经营过程中持续产生以电子发票、实体发票为主的"实体"财务数据，这些数据的保存与流转存在一系列长期未被很好解决的问题：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票据保存易损：实体发票在保存过程中经常出现缺失、破损；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电子化不彻底：电子发票仍涉及打印环节，打印后原件容易丢失，形成"电子—纸质—丢失"的恶性循环；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档案管理混乱：实体数据在档案柜中大量堆积，不同日期的源文件相互混淆，事后查找成本极高；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会计响应受限：会计岗位必不可少，但面对公司实时产生的现金流，会计无法随时录入系统，更无法 24 小时随时响应；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结果性后果：记账滞后、票账不符、税务风险累积，企业主对自己的真实经营状况"看不全、看不及时"。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2.2 政策与技术机遇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政策端：国家大力推广电子发票（全面数字化的电子发票持续铺开），票据全面电子化是大势所趋，为"拍照/上传即入账"提供了制度土壤；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技术端（视觉）：现阶段 AI 视觉的泛用性极广，可满足绝大多数不同类型实体数据的识别，包括传统手写发票与纸质发票，通过随手拍照即可完成数据电子化，是电子发票时代的最佳搭档；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技术端（Agent）：大模型 Agent 已具备数据整理、分类、核对与推理能力，使"无人值守的财务数据整理"成为可能。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在上述背景下，依托 AI Agent 的财务系统应运而生。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2.3 目标用户画像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核心客群：员工规模较小的中小微企业、个体工商户、工作室，无专职会计或仅有兼职会计；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次级客群：代账公司与兼职会计——可作为 B 端渠道批量服务其名下小微企业客户；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共同特征：票据量不算大但杂、财务人员缺编、对使用门槛极度敏感、对数据安全与合规有基本要求。</w:t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三、竞品分析与差异化策略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3.1 竞品解析计划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 Phase 0 阶段，将对市场上主流的会计财务软件进行系统性解析，必须吃透这些软件的核心功能与操作流程。候选解析对象包括（可根据调研进展调整）：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传统大厂系：用友（畅捷通好会计）、金蝶（精斗云 / 云星辰）、浪潮云会计等；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中小微与代账系：柠檬云财税、账无忧、慧算账等。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解析维度：核心功能清单、报表体系、完整操作流程、快捷打印与导出能力、定价策略、目标客群、用户评价中的高频痛点。最终输出《竞品功能矩阵表》，作为 Phase 1 报表体系集成与差异化设计的直接输入。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3.2 差异化定位</w:t>
      </w:r>
    </w:p>
    <w:tbl>
      <w:tblPr>
        <w:tblW w:type="pct" w:w="100%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00"/>
        <w:gridCol w:w="3600"/>
        <w:gridCol w:w="4200"/>
      </w:tblGrid>
      <w:tr>
        <w:trPr>
          <w:tblHeader/>
        </w:trPr>
        <w:tc>
          <w:tcPr>
            <w:tcW w:type="dxa" w:w="15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传统财务软件</w:t>
            </w:r>
          </w:p>
        </w:tc>
        <w:tc>
          <w:tcPr>
            <w:tcW w:type="dxa" w:w="42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本系统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数据采集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手工录入或扫描仪，流程繁琐、门槛高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AI 视觉随手拍；最终形态接入微信机器人，随手拍给机器人即完成采集，全程基本无感</w:t>
            </w:r>
          </w:p>
        </w:tc>
      </w:tr>
      <w:tr>
        <w:tc>
          <w:tcPr>
            <w:tcW w:type="dxa" w:w="15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归档留痕</w:t>
            </w:r>
          </w:p>
        </w:tc>
        <w:tc>
          <w:tcPr>
            <w:tcW w:type="dxa" w:w="3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依赖人工整理归档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拍照—上传过程中同步完成归档、整理与留痕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数据整理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人工分类、人工核对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Agent 自动清洗、查重、分类存储，不重复、不遗漏</w:t>
            </w:r>
          </w:p>
        </w:tc>
      </w:tr>
      <w:tr>
        <w:tc>
          <w:tcPr>
            <w:tcW w:type="dxa" w:w="15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报表编制</w:t>
            </w:r>
          </w:p>
        </w:tc>
        <w:tc>
          <w:tcPr>
            <w:tcW w:type="dxa" w:w="3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需具备会计知识操作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自动编制三表及主流软件常见报表，审计 Agent 二次核验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数据呈现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固定格式报表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可定制财务 Dashboard + 直观图表 + 经营画像</w:t>
            </w:r>
          </w:p>
        </w:tc>
      </w:tr>
      <w:tr>
        <w:tc>
          <w:tcPr>
            <w:tcW w:type="dxa" w:w="15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智能辅助</w:t>
            </w:r>
          </w:p>
        </w:tc>
        <w:tc>
          <w:tcPr>
            <w:tcW w:type="dxa" w:w="3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基本没有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决策辅助 Agent + 行业信息检索扩展（远期）</w:t>
            </w:r>
          </w:p>
        </w:tc>
      </w:tr>
    </w:tbl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四、系统总体架构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4.1 四层架构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采集层（Phase 1）：AI 视觉识别引擎 + 多端采集入口（Web/App 上传 → 微信机器人），负责把现实世界的票据转化为结构化电子数据；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数据层（Phase 1）：Agent 数据整理流水线——清洗查重、真伪查验、分类存储、统一命名、报表编制、二次审计、人工介入窗口；数据本地优先存储；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展示层（Phase 2 / 2.5）：可定制财务 Dashboard，数字 + 图表 + 经营画像，磁贴式交互；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智能层（Phase 3 / 4）：决策辅助 Agent 与信息搜索/行业预测扩展，综合调用前序各阶段产生的全部数据。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78909C"/>
          <w:sz w:val="18"/>
          <w:szCs w:val="18"/>
        </w:rPr>
        <w:t xml:space="preserve">图 1　系统四层架构与数据流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4.2 核心设计原则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本地优先：财务数据存储在本地，敏感数据不出本地，满足小微企业主对数据安全的基本诉求；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人机协同：凡不确定处必留人工介入的简易窗口，人工修正持续反哺模型，形成"越用越准"的学习回环；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全程留痕：原始图像、识别结果、整理记录、操作日志全链路可追溯，满足会计档案与审计要求；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机器与人双友好：分类与命名规则同时方便机器解析与人工查询；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模块化可扩展：四个阶段松耦合，后续可按雇主需求做底层级自定义升级。</w:t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五、分阶段实施计划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5.1 Phase 0：调研与立项验证（第 4–6 周）</w:t>
      </w:r>
    </w:p>
    <w:tbl>
      <w:tblPr>
        <w:tblW w:type="pct" w:w="100%"/>
        <w:tblBorders>
          <w:top w:val="nil"/>
          <w:left w:val="single" w:color="00796B" w:sz="24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shd w:fill="F5F8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31525F"/>
                <w:sz w:val="24"/>
                <w:szCs w:val="24"/>
              </w:rPr>
              <w:t xml:space="preserve">阶段目标：</w:t>
            </w: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在正式投入开发前，把企划中的所有"待定项"变成有结论、可执行的工程输入，并锁定 MVP 范围。</w:t>
            </w:r>
          </w:p>
        </w:tc>
      </w:tr>
    </w:tbl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关键任务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竞品功能解析：按 3.1 节计划完成主流财务软件拆解，输出《竞品功能矩阵表》；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票据分类标准模拟实验：设计 2–3 种候选分类方案（按票种 / 按业务场景 / 按会计科目），用 200 张以上真实样本做整理效率对比实验，选出最高效的分类方法；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AI 视觉技术验证：建立覆盖数电票、增值税专票/普票、手写收据、银行回单、行程单、出租车票等的测试样本集（每类不少于 30 张），对候选 OCR / 多模态大模型方案做识别精度实测；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合规调研：电子会计凭证报销入账归档相关规定、发票真伪查验的合规获取途径、财务数据与个人信息保护要求，输出合规备忘；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MVP 范围定义：明确 Phase 1 的功能边界、里程碑与排期，形成 MVP 需求文档。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交付物</w:t>
      </w:r>
    </w:p>
    <w:p>
      <w:pPr>
        <w:spacing w:after="140" w:line="320"/>
      </w:pPr>
      <w:r>
        <w:rPr>
          <w:rFonts w:ascii="Times New Roman" w:cs="Times New Roman" w:eastAsia="SimSun" w:hAnsi="Times New Roman"/>
          <w:sz w:val="24"/>
          <w:szCs w:val="24"/>
        </w:rPr>
        <w:t xml:space="preserve">《竞品功能矩阵表》《分类标准实验报告》《AI 视觉识别精度验证报告》《合规备忘录》《MVP 需求文档（PRD）》。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验收标准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原文遗留的待定项（分类标准、报表集成范围、Dashboard 默认参数方向）全部有书面结论；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识别精度验证达到进入开发的标准（关键字段准确率有明确基线数据）；MVP 范围经评审确认。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样本获取不足 → 通过代账公司渠道、公开样本与自采多渠道补齐；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合规结论不明确 → 咨询税务/会计专业人士，把不确定项列入风险清单持续跟踪。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5.2 Phase 1：AI 视觉采集与 Agent 数据整理（约 3–4 个月）</w:t>
      </w:r>
    </w:p>
    <w:tbl>
      <w:tblPr>
        <w:tblW w:type="pct" w:w="100%"/>
        <w:tblBorders>
          <w:top w:val="nil"/>
          <w:left w:val="single" w:color="00796B" w:sz="24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shd w:fill="F5F8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31525F"/>
                <w:sz w:val="24"/>
                <w:szCs w:val="24"/>
              </w:rPr>
              <w:t xml:space="preserve">阶段目标：</w:t>
            </w: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实现"随手拍 → 自动归档留痕 → 自动清洗整理 → 自动编制三表 → 自动二次审计"的完整闭环。本阶段是系统区别于友商的核心，优先级最高。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5.2.1 AI 视觉采集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票据覆盖按优先级推进：P0 为数电票与增值税发票；P1 为手写收据、银行回单；P2 为行程单、出租车票等长尾票据；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精度目标：关键字段（发票代码、发票号码、开票日期、金额、税率、购销方名称与税号）识别准确率 ≥ 98%，整票可用率 ≥ 95%；低置信度字段自动高亮并转人工确认；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采集入口分两期落地：第一期提供 Web/App 拍照上传；第二期接入微信机器人作为信息收集终端——使用者随手拍给机器人即完成数据采集，让整个过程基本无感；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拍照即归档：在拍照—上传系统的过程中同步完成各类材料的归档、整理与留痕，原始图像、识别结果与操作日志三者绑定保存。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5.2.2 数据清洗与整理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查重：以"发票代码 + 发票号码"（数电票以发票号码）做唯一性校验，结合内容层面比对，做到不重复、不遗漏；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查验：通过 Phase 0 确定的合规途径进行发票真伪查验；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分类存储：数据存储在本地，以文件夹形式按 Phase 0 实验确定的分类标准进行粗分类；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统一命名：建立统一文件命名规则（建议格式：日期_票种_对方单位_金额_发票号码），同时方便机器解析与人工查询。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5.2.3 报表编制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核心三表优先：资产负债表、利润表、现金流量表；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主流报表集成：依据《竞品功能矩阵表》，将主流软件所能编制的报表逐项集成进系统；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打印与导出：主流软件中的快捷打印与导出功能作为后续细化项，在本阶段后期适当实现（PDF/Excel）。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5.2.4 二次审计与人工介入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专职审计 Agent：报表编制成功后，由专门 Agent 进行二次审计与核验（科目勾稽、借贷平衡、异常值检测），严格杜绝低级错误；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人工介入窗口：对不确定的科目，保留人工介入的简易窗口，由人工确认或修正；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持续学习回环：人工修正记录回流至样本库，驱动机器学习迭代，使错误率随使用持续下降。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里程碑与验收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M1.1 采集闭环 Demo：拍照/上传 → 识别 → 归档留痕全链路可演示；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M1.2 自动整理与报表上线：三表自动生成，审计 Agent 核验通过，低级错误率为 0（抽检口径）；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验收指标：识别精度达成 5.2.1 目标；重复票、遗漏票在抽检中为零；人工介入窗口可用且修正可回流。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识别精度不达预期 → 多模型融合兜底、扩大样本集、低置信度转人工；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微信机器人入口受限 → 预留小程序 / 企业微信 / App 备用入口，采集协议与入口解耦；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报表口径差异 → 以主流软件口径为基准做对照测试，差异点逐项记录与确认。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5.3 Phase 2：财务总览 Dashboard（约 2 个月）</w:t>
      </w:r>
    </w:p>
    <w:tbl>
      <w:tblPr>
        <w:tblW w:type="pct" w:w="100%"/>
        <w:tblBorders>
          <w:top w:val="nil"/>
          <w:left w:val="single" w:color="00796B" w:sz="24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shd w:fill="F5F8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31525F"/>
                <w:sz w:val="24"/>
                <w:szCs w:val="24"/>
              </w:rPr>
              <w:t xml:space="preserve">阶段目标：</w:t>
            </w: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在报表自动编制的基础上，把财务数据转化为一眼可懂的经营总览——财务系统的基础功能至此完整，开启第二阶段工程。</w:t>
            </w:r>
          </w:p>
        </w:tc>
      </w:tr>
    </w:tbl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关键任务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可定制面板：根据实时报表创建财务 Dashboard，面板上的数据支持用户定制；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默认参数调研：默认展示参数参考市面上目前相对小众但极有参考价值的参数（需进行大量调研），尽可能多地挖掘现有的相关函数与指标；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指标体系建议（供调研参考）：偿债能力（流动比率、速动比率）、营运能力（应收/存货周转）、盈利能力（毛利率、净利率）、现金流健康度（经营性现金流净额、现金转换周期）、费用结构占比等；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直观可视化：数字之外必须有十分直观的图表展示相关情况（趋势图、结构图、对比图、预警色阶）；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经营画像：掌握财务数据即可通过财务数据简易分析出公司的一些基本情况，形成初步经营画像。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5.3.1 Phase 2.5：交互打磨（后置）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磁贴个性化：排列面板磁贴时利用禀赋效应做默认排序——让用户对"自己的面板"产生拥有感，提升留存；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拖动手感：赋予磁贴极佳的拖动手感以及极其简单的更换体验（属于体验层后话，在功能稳定后专项打磨）。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里程碑与验收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M2.1 Dashboard 内测版上线：默认指标集 + 可定制能力可用；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M2.2 交互打磨完成：磁贴拖拽与个性化排列通过可用性测试。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默认指标不符合用户习惯 → 内测收集反馈，预设多套模板（商贸/服务/生产等）；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图表误读 → 每个指标配口径说明，异常值给出解释入口。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5.4 远期展望：Phase 3 决策辅助与 Phase 4 系统扩展</w:t>
      </w:r>
    </w:p>
    <w:tbl>
      <w:tblPr>
        <w:tblW w:type="pct" w:w="100%"/>
        <w:tblBorders>
          <w:top w:val="nil"/>
          <w:left w:val="single" w:color="00796B" w:sz="24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shd w:fill="F5F8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31525F"/>
                <w:sz w:val="24"/>
                <w:szCs w:val="24"/>
              </w:rPr>
              <w:t xml:space="preserve">定位：</w:t>
            </w: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3 与 Phase 4 属远期项目范畴，本企划不作展开，仅明确方向与启动条件；待 Phase 0–2 功能稳定运行、验收通过后，再另行立项详化。</w:t>
            </w:r>
          </w:p>
        </w:tc>
      </w:tr>
    </w:tbl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Phase 3 决策辅助 Agent：在完成 Dashboard 之后自然延伸出决策辅助能力。负责决策辅助的 Agent 需具备过硬的工商管理与财务专业知识、极强的拓展适应能力，能够综合调用前两个阶段所产生的所有数据；现阶段可预见的实现路径是自行进行相关 Agent 训练（后续若有更高效方法再作评审）。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Phase 4 系统扩展：在前三个阶段功能完美实现后，接入强大的信息搜索功能，通过自行查找相关行业信息不断完善决策辅助系统，并可能新增行业预测系统；此外还可根据雇主需求对系统进行底层级别的自定义升级，以保持系统的持续发展性与竞争力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启动条件：Phase 1、Phase 2 全部验收通过并稳定运行后，针对 Phase 3 / 4 单独编制专项企划与排期。</w:t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六、横向保障机制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6.1 数据安全与合规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本地优先存储：财务数据保存在本地，如需云端同步则全程加密传输、加密存储；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备份策略：每日增量备份 + 每周全量备份，备份介质与主机分离；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会计档案合规：电子凭证的采集、归档、留痕遵循电子会计凭证报销入账归档的相关规定；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隐私保护：涉及员工与客户个人信息的字段做最小化收集与访问权限分级；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权限与留痕：分级权限 + 全操作日志，任何数据的查看与修改均可追溯。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6.2 质量保障体系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识别精度监控：常态化抽检（比例不低于 5%），精度指标纳入看板；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审计规则库：审计 Agent 的规则库版本化管理，规则变更需评审；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人机回环：人工修正数据定期回流训练，形成质量持续上升机制；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对照测试：每个阶段以主流软件输出为基准做口径对照，差异项逐项确认。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6.3 项目风险总表</w:t>
      </w:r>
    </w:p>
    <w:tbl>
      <w:tblPr>
        <w:tblW w:type="pct" w:w="100%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00"/>
        <w:gridCol w:w="1100"/>
        <w:gridCol w:w="5600"/>
      </w:tblGrid>
      <w:tr>
        <w:trPr>
          <w:tblHeader/>
        </w:trPr>
        <w:tc>
          <w:tcPr>
            <w:tcW w:type="dxa" w:w="2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11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5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对策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票据识别精度不达标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多模型融合兜底；低置信度转人工；持续扩充样本库</w:t>
            </w:r>
          </w:p>
        </w:tc>
      </w:tr>
      <w:tr>
        <w:tc>
          <w:tcPr>
            <w:tcW w:type="dxa" w:w="2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发票查验与数据合规风险</w:t>
            </w:r>
          </w:p>
        </w:tc>
        <w:tc>
          <w:tcPr>
            <w:tcW w:type="dxa" w:w="11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0 合规调研先行；仅使用合规查验途径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财务数据泄露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本地优先存储、加密、权限分级、全程留痕</w:t>
            </w:r>
          </w:p>
        </w:tc>
      </w:tr>
      <w:tr>
        <w:tc>
          <w:tcPr>
            <w:tcW w:type="dxa" w:w="2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微信采集入口受限</w:t>
            </w:r>
          </w:p>
        </w:tc>
        <w:tc>
          <w:tcPr>
            <w:tcW w:type="dxa" w:w="11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预留小程序/企业微信/App 备用入口，入口与协议解耦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阶段间依赖延迟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关键路径管理，每阶段预留缓冲期</w:t>
            </w:r>
          </w:p>
        </w:tc>
      </w:tr>
      <w:tr>
        <w:tc>
          <w:tcPr>
            <w:tcW w:type="dxa" w:w="2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友商快速跟进</w:t>
            </w:r>
          </w:p>
        </w:tc>
        <w:tc>
          <w:tcPr>
            <w:tcW w:type="dxa" w:w="11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加速 Phase 1 差异化闭环，积累样本与数据壁垒</w:t>
            </w:r>
          </w:p>
        </w:tc>
      </w:tr>
    </w:tbl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七、里程碑总表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项目近期聚焦"调研验证 → 采集与整理闭环 → 总览呈现"的推进主线，Phase 3 / 4 仅作远期展望，关键节点如下图所示：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78909C"/>
          <w:sz w:val="18"/>
          <w:szCs w:val="18"/>
        </w:rPr>
        <w:t xml:space="preserve">图 2　项目里程碑时间轴（虚线段为远期展望）</w:t>
      </w:r>
    </w:p>
    <w:tbl>
      <w:tblPr>
        <w:tblW w:type="pct" w:w="100%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300"/>
        <w:gridCol w:w="5600"/>
        <w:gridCol w:w="2400"/>
      </w:tblGrid>
      <w:tr>
        <w:trPr>
          <w:tblHeader/>
        </w:trPr>
        <w:tc>
          <w:tcPr>
            <w:tcW w:type="dxa" w:w="13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  <w:tc>
          <w:tcPr>
            <w:tcW w:type="dxa" w:w="5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交付内容</w:t>
            </w:r>
          </w:p>
        </w:tc>
        <w:tc>
          <w:tcPr>
            <w:tcW w:type="dxa" w:w="24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预估时间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M0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0 完成：竞品矩阵、分类实验结论、识别精度验证、合规备忘、MVP PRD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4–6 周</w:t>
            </w:r>
          </w:p>
        </w:tc>
      </w:tr>
      <w:tr>
        <w:tc>
          <w:tcPr>
            <w:tcW w:type="dxa" w:w="13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M1.1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采集闭环 Demo：拍照/上传 → 识别 → 归档留痕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约第 10 周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M1.2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自动整理 + 三表生成 + 二次审计通过（含人工介入窗口与学习回环）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16–20 周</w:t>
            </w:r>
          </w:p>
        </w:tc>
      </w:tr>
      <w:tr>
        <w:tc>
          <w:tcPr>
            <w:tcW w:type="dxa" w:w="13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M2.1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Dashboard 内测版：默认指标集 + 可定制面板 + 图表可视化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1 完成后约 2 个月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M2.2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2.5 交互打磨：磁贴拖拽手感、禀赋效应个性化排列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内测反馈后</w:t>
            </w:r>
          </w:p>
        </w:tc>
      </w:tr>
      <w:tr>
        <w:tc>
          <w:tcPr>
            <w:tcW w:type="dxa" w:w="13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M3+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远期展望（Phase 3 决策辅助 / Phase 4 系统扩展）：方向见 5.4 节，届时另行立项详化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远期</w:t>
            </w:r>
          </w:p>
        </w:tc>
      </w:tr>
    </w:tbl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注：以上时间为相对排期；M3+ 为远期展望节点，不设排期，待 Phase 1 / Phase 2 验收通过后重新评估。</w:t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八、附录：待办调研清单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票据分类标准模拟实验：实验方案设计、样本集来源与规模、评估指标；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主流会计财务软件解析：核心功能、操作流程、报表体系、打印导出能力的逐项拆解；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Dashboard 默认参数调研：小众但有高参考价值的指标清单、相关函数挖掘、目标用户访谈；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合规事项：电子会计凭证归档要求、发票查验途径、数据安全与隐私保护要求的持续跟踪。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注：决策辅助 Agent 的实现路径（自训练或其他更高效方法）属 Phase 3 远期事项，不列入近期调研清单，待启动 Phase 3 专项企划时再行评估。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32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6" w:space="4"/>
      </w:pBdr>
      <w:spacing w:after="60"/>
      <w:jc w:val="center"/>
    </w:pPr>
    <w:r>
      <w:rPr>
        <w:rFonts w:ascii="Arial" w:cs="Arial" w:eastAsia="Microsoft YaHei" w:hAnsi="Arial"/>
        <w:b/>
        <w:bCs/>
        <w:color w:val="31525F"/>
        <w:sz w:val="20"/>
        <w:szCs w:val="20"/>
      </w:rPr>
      <w:t xml:space="preserve">AI + 中小微企业智能财务系统 项目企划书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8ea5132bf590e5850102043e6df01978b98b8e0.png"/><Relationship Id="rId10" Type="http://schemas.openxmlformats.org/officeDocument/2006/relationships/image" Target="media/f55aa41ae9e353e315247f7ffe7e7ca82627026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2026-08-28T02:48:11.950Z</dcterms:created>
  <dcterms:modified xsi:type="dcterms:W3CDTF">2026-08-28T02:48:11.951Z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