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color w:val="0F766E"/>
          <w:sz w:val="36"/>
          <w:rtl/>
          <w:rFonts w:ascii="Arial" w:hAnsi="Arial" w:cs="Arial"/>
          <w:szCs w:val="36"/>
          <w:bCs/>
        </w:rPr>
        <w:t>International Digital Services Review 2026 — Chapter 3 (excerpt): Shared services that people actually feel</w:t>
      </w:r>
    </w:p>
    <w:p>
      <w:pPr>
        <w:bidi/>
        <w:jc w:val="right"/>
      </w:pPr>
      <w:r>
        <w:rPr>
          <w:b w:val="0"/>
          <w:sz w:val="24"/>
          <w:rtl/>
          <w:rFonts w:ascii="Arial" w:hAnsi="Arial" w:cs="Arial"/>
          <w:szCs w:val="24"/>
        </w:rPr>
        <w:t>Across the 31 administrations reviewed, shared-service centres that adopted user-centred design reported higher satisfaction than those that digitised existing forms unchanged. In the pilot analysis, centres applying the once-only principle — asking citizens and employees for the same information only once — were associated with a 22% shorter average processing time. The analysis did not establish that the principle caused the improvement: these centres also invested more in staff training.</w:t>
      </w:r>
    </w:p>
    <w:p>
      <w:pPr>
        <w:bidi/>
        <w:jc w:val="right"/>
      </w:pPr>
      <w:r>
        <w:rPr>
          <w:b w:val="0"/>
          <w:sz w:val="24"/>
          <w:rtl/>
          <w:rFonts w:ascii="Arial" w:hAnsi="Arial" w:cs="Arial"/>
          <w:szCs w:val="24"/>
        </w:rPr>
        <w:t>First-contact resolution remains the strongest single predictor of satisfaction. Where more than 70% of requests were resolved at the first contact, satisfaction exceeded 85% in every administration studied. However, centres that pushed first-contact resolution through scripted answers alone saw complaints about "unhelpful staff" rise.</w:t>
      </w:r>
    </w:p>
    <w:p>
      <w:pPr>
        <w:bidi/>
        <w:jc w:val="right"/>
      </w:pPr>
      <w:r>
        <w:rPr>
          <w:b w:val="0"/>
          <w:sz w:val="24"/>
          <w:rtl/>
          <w:rFonts w:ascii="Arial" w:hAnsi="Arial" w:cs="Arial"/>
          <w:szCs w:val="24"/>
        </w:rPr>
        <w:t>Digital inclusion deserves explicit attention. Accessibility audits conducted after launch cost on average three times more to address than those conducted during design. Service level agreements should therefore include accessibility criteria, not only availability targets.</w:t>
      </w:r>
    </w:p>
    <w:p>
      <w:pPr>
        <w:bidi/>
        <w:jc w:val="right"/>
      </w:pPr>
      <w:r>
        <w:rPr>
          <w:b w:val="0"/>
          <w:sz w:val="24"/>
          <w:rtl/>
          <w:rFonts w:ascii="Arial" w:hAnsi="Arial" w:cs="Arial"/>
          <w:szCs w:val="24"/>
        </w:rPr>
        <w:t>Finally, generative AI assistants are now common in contact centres. Early evidence suggests they may reduce handling time for routine questions, but their answers must be grounded in approved policy documents and reviewed regularly; several administrations withdrew assistants that gave confident but outdated answers.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
      <w:rPr>
        <w:b w:val="0"/>
        <w:color w:val="6B7280"/>
        <w:sz w:val="18"/>
        <w:rtl/>
        <w:rFonts w:ascii="Arial" w:hAnsi="Arial" w:cs="Arial"/>
        <w:szCs w:val="18"/>
      </w:rPr>
      <w:t>International Digital Services Review 2026 · نسخة تدريبية افتراضية · التصنيف المفترض للأصل: مقيّد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مركز الواحة للخدمات المشتركة</dc:creator>
  <cp:keywords/>
  <dc:description>generated by python-docx</dc:description>
  <cp:lastModifiedBy>مركز الواحة للخدمات المشتركة</cp:lastModifiedBy>
  <cp:revision>1</cp:revision>
  <dcterms:created xsi:type="dcterms:W3CDTF">2026-10-01T08:00:00Z</dcterms:created>
  <dcterms:modified xsi:type="dcterms:W3CDTF">2026-10-01T08:00:00Z</dcterms:modified>
  <cp:category/>
</cp:coreProperties>
</file>