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40"/>
          <w:szCs w:val="40"/>
        </w:rPr>
        <w:t xml:space="preserve">Frame Averaging to Reduce Random Depth Error</w:t>
      </w:r>
    </w:p>
    <w:p>
      <w:pPr>
        <w:spacing w:before="0" w:after="480"/>
        <w:jc w:val="center"/>
      </w:pPr>
      <w:r>
        <w:rPr>
          <w:rFonts w:ascii="Arial" w:cs="Arial" w:eastAsia="Arial" w:hAnsi="Arial"/>
          <w:i/>
          <w:iCs/>
          <w:color w:val="666666"/>
          <w:sz w:val="22"/>
          <w:szCs w:val="22"/>
        </w:rPr>
        <w:t xml:space="preserve">Insight for improving depth camera systems (Azure Kinect / ToF sensors)</w:t>
      </w:r>
    </w:p>
    <w:p>
      <w:pPr>
        <w:pStyle w:val="Heading1"/>
      </w:pPr>
      <w:r>
        <w:rPr>
          <w:rFonts w:ascii="Arial" w:cs="Arial" w:eastAsia="Arial" w:hAnsi="Arial"/>
          <w:b/>
          <w:bCs/>
          <w:sz w:val="32"/>
          <w:szCs w:val="32"/>
        </w:rPr>
        <w:t xml:space="preserve">Core Principle</w:t>
      </w:r>
    </w:p>
    <w:p>
      <w:pPr>
        <w:spacing w:before="120" w:after="120"/>
      </w:pPr>
      <w:r>
        <w:rPr>
          <w:rFonts w:ascii="Arial" w:cs="Arial" w:eastAsia="Arial" w:hAnsi="Arial"/>
          <w:sz w:val="24"/>
          <w:szCs w:val="24"/>
        </w:rPr>
        <w:t xml:space="preserve">The random error in a Time-of-Flight (ToF) sensor such as the Azure Kinect is Gaussian and independent per pixel per frame. This has a critical implication: averaging N frames reduces the standard deviation of the noise by √N. This is the standard error of the mean, and it applies directly to depth measurements.</w:t>
      </w:r>
    </w:p>
    <w:p>
      <w:pPr>
        <w:spacing w:before="120" w:after="120"/>
      </w:pPr>
      <w:r>
        <w:rPr>
          <w:rFonts w:ascii="Arial" w:cs="Arial" w:eastAsia="Arial" w:hAnsi="Arial"/>
          <w:sz w:val="24"/>
          <w:szCs w:val="24"/>
        </w:rPr>
        <w:t xml:space="preserve">In practical terms, this means that even modest frame averaging yields substantial precision improvements — with no changes to hardware, calibration, or geometry.</w:t>
      </w:r>
    </w:p>
    <w:p>
      <w:pPr>
        <w:pStyle w:val="Heading1"/>
        <w:spacing w:before="320" w:after="160"/>
      </w:pPr>
      <w:r>
        <w:rPr>
          <w:rFonts w:ascii="Arial" w:cs="Arial" w:eastAsia="Arial" w:hAnsi="Arial"/>
          <w:b/>
          <w:bCs/>
          <w:sz w:val="32"/>
          <w:szCs w:val="32"/>
        </w:rPr>
        <w:t xml:space="preserve">Quantified Improvement</w:t>
      </w:r>
    </w:p>
    <w:p>
      <w:pPr>
        <w:spacing w:before="120" w:after="120"/>
      </w:pPr>
      <w:r>
        <w:rPr>
          <w:rFonts w:ascii="Arial" w:cs="Arial" w:eastAsia="Arial" w:hAnsi="Arial"/>
          <w:sz w:val="24"/>
          <w:szCs w:val="24"/>
        </w:rPr>
        <w:t xml:space="preserve">Starting from approximately 5–6 mm std dev under favorable conditions (normal incidence, matte surface, warmed-up sensor), the effect of frame averaging is as follows: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Frames Averaged</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Std Dev (approx.)</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4"/>
                <w:szCs w:val="24"/>
              </w:rPr>
              <w:t xml:space="preserve">1 (current — single frame)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4"/>
                <w:szCs w:val="24"/>
              </w:rPr>
              <w:t xml:space="preserve">~5–6 mm</w:t>
            </w:r>
          </w:p>
        </w:tc>
      </w:tr>
      <w:tr>
        <w:tc>
          <w:tcPr>
            <w:tcW w:type="dxa" w:w="468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pPr>
              <w:jc w:val="left"/>
            </w:pPr>
            <w:r>
              <w:rPr>
                <w:rFonts w:ascii="Arial" w:cs="Arial" w:eastAsia="Arial" w:hAnsi="Arial"/>
                <w:b w:val="false"/>
                <w:bCs w:val="false"/>
                <w:color w:val="000000"/>
                <w:sz w:val="24"/>
                <w:szCs w:val="24"/>
              </w:rPr>
              <w:t xml:space="preserve">4</w:t>
            </w:r>
          </w:p>
        </w:tc>
        <w:tc>
          <w:tcPr>
            <w:tcW w:type="dxa" w:w="468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pPr>
              <w:jc w:val="left"/>
            </w:pPr>
            <w:r>
              <w:rPr>
                <w:rFonts w:ascii="Arial" w:cs="Arial" w:eastAsia="Arial" w:hAnsi="Arial"/>
                <w:b w:val="false"/>
                <w:bCs w:val="false"/>
                <w:color w:val="000000"/>
                <w:sz w:val="24"/>
                <w:szCs w:val="24"/>
              </w:rPr>
              <w:t xml:space="preserve">~2.5–3 mm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4"/>
                <w:szCs w:val="24"/>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4"/>
                <w:szCs w:val="24"/>
              </w:rPr>
              <w:t xml:space="preserve">~1.7–2 mm</w:t>
            </w:r>
          </w:p>
        </w:tc>
      </w:tr>
      <w:tr>
        <w:tc>
          <w:tcPr>
            <w:tcW w:type="dxa" w:w="468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pPr>
              <w:jc w:val="left"/>
            </w:pPr>
            <w:r>
              <w:rPr>
                <w:rFonts w:ascii="Arial" w:cs="Arial" w:eastAsia="Arial" w:hAnsi="Arial"/>
                <w:b w:val="false"/>
                <w:bCs w:val="false"/>
                <w:color w:val="000000"/>
                <w:sz w:val="24"/>
                <w:szCs w:val="24"/>
              </w:rPr>
              <w:t xml:space="preserve">25</w:t>
            </w:r>
          </w:p>
        </w:tc>
        <w:tc>
          <w:tcPr>
            <w:tcW w:type="dxa" w:w="468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tcPr>
          <w:p>
            <w:pPr>
              <w:jc w:val="left"/>
            </w:pPr>
            <w:r>
              <w:rPr>
                <w:rFonts w:ascii="Arial" w:cs="Arial" w:eastAsia="Arial" w:hAnsi="Arial"/>
                <w:b w:val="false"/>
                <w:bCs w:val="false"/>
                <w:color w:val="000000"/>
                <w:sz w:val="24"/>
                <w:szCs w:val="24"/>
              </w:rPr>
              <w:t xml:space="preserve">~1–1.2 mm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4"/>
                <w:szCs w:val="24"/>
              </w:rPr>
              <w:t xml:space="preserve">100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4"/>
                <w:szCs w:val="24"/>
              </w:rPr>
              <w:t xml:space="preserve">~0.5–0.6 mm</w:t>
            </w:r>
          </w:p>
        </w:tc>
      </w:tr>
    </w:tbl>
    <w:p>
      <w:pPr>
        <w:spacing w:before="200" w:after="0"/>
      </w:pPr>
    </w:p>
    <w:p>
      <w:pPr>
        <w:spacing w:before="120" w:after="120"/>
      </w:pPr>
      <w:r>
        <w:rPr>
          <w:rFonts w:ascii="Arial" w:cs="Arial" w:eastAsia="Arial" w:hAnsi="Arial"/>
          <w:sz w:val="24"/>
          <w:szCs w:val="24"/>
        </w:rPr>
        <w:t xml:space="preserve">The diminishing returns are real. Going from 1 to 9 frames delivers a large gain; going from 9 to 100 only halves the error again. In practice, 4–9 frames is the recommended sweet spot for most applications.</w:t>
      </w:r>
    </w:p>
    <w:p>
      <w:pPr>
        <w:pStyle w:val="Heading1"/>
        <w:spacing w:before="320" w:after="160"/>
      </w:pPr>
      <w:r>
        <w:rPr>
          <w:rFonts w:ascii="Arial" w:cs="Arial" w:eastAsia="Arial" w:hAnsi="Arial"/>
          <w:b/>
          <w:bCs/>
          <w:sz w:val="32"/>
          <w:szCs w:val="32"/>
        </w:rPr>
        <w:t xml:space="preserve">Implementation Guidance</w:t>
      </w:r>
    </w:p>
    <w:p>
      <w:pPr>
        <w:spacing w:before="120" w:after="120"/>
      </w:pPr>
      <w:r>
        <w:rPr>
          <w:rFonts w:ascii="Arial" w:cs="Arial" w:eastAsia="Arial" w:hAnsi="Arial"/>
          <w:sz w:val="24"/>
          <w:szCs w:val="24"/>
        </w:rPr>
        <w:t xml:space="preserve">For a system currently relying on a single depth frame, the change is straightforward:</w:t>
      </w:r>
    </w:p>
    <w:p>
      <w:pPr>
        <w:pStyle w:val="ListParagraph"/>
        <w:numPr>
          <w:ilvl w:val="0"/>
          <w:numId w:val="2"/>
        </w:numPr>
        <w:spacing w:before="60" w:after="60"/>
      </w:pPr>
      <w:r>
        <w:rPr>
          <w:rFonts w:ascii="Arial" w:cs="Arial" w:eastAsia="Arial" w:hAnsi="Arial"/>
          <w:sz w:val="24"/>
          <w:szCs w:val="24"/>
        </w:rPr>
        <w:t xml:space="preserve">Accumulate a small rolling buffer of N depth frames.</w:t>
      </w:r>
    </w:p>
    <w:p>
      <w:pPr>
        <w:pStyle w:val="ListParagraph"/>
        <w:numPr>
          <w:ilvl w:val="0"/>
          <w:numId w:val="2"/>
        </w:numPr>
        <w:spacing w:before="60" w:after="60"/>
      </w:pPr>
      <w:r>
        <w:rPr>
          <w:rFonts w:ascii="Arial" w:cs="Arial" w:eastAsia="Arial" w:hAnsi="Arial"/>
          <w:sz w:val="24"/>
          <w:szCs w:val="24"/>
        </w:rPr>
        <w:t xml:space="preserve">Average the depth values per pixel across the buffer before passing the result to downstream processing.</w:t>
      </w:r>
    </w:p>
    <w:p>
      <w:pPr>
        <w:pStyle w:val="ListParagraph"/>
        <w:numPr>
          <w:ilvl w:val="0"/>
          <w:numId w:val="2"/>
        </w:numPr>
        <w:spacing w:before="60" w:after="60"/>
      </w:pPr>
      <w:r>
        <w:rPr>
          <w:rFonts w:ascii="Arial" w:cs="Arial" w:eastAsia="Arial" w:hAnsi="Arial"/>
          <w:sz w:val="24"/>
          <w:szCs w:val="24"/>
        </w:rPr>
        <w:t xml:space="preserve">The computational cost is low — a per-pixel mean over a small buffer is trivial.</w:t>
      </w:r>
    </w:p>
    <w:p>
      <w:pPr>
        <w:pStyle w:val="ListParagraph"/>
        <w:numPr>
          <w:ilvl w:val="0"/>
          <w:numId w:val="2"/>
        </w:numPr>
        <w:spacing w:before="60" w:after="60"/>
      </w:pPr>
      <w:r>
        <w:rPr>
          <w:rFonts w:ascii="Arial" w:cs="Arial" w:eastAsia="Arial" w:hAnsi="Arial"/>
          <w:sz w:val="24"/>
          <w:szCs w:val="24"/>
        </w:rPr>
        <w:t xml:space="preserve">Even replacing a single frame with an average of 4 frames will roughly halve the random error.</w:t>
      </w:r>
    </w:p>
    <w:p>
      <w:pPr>
        <w:pStyle w:val="Heading1"/>
        <w:spacing w:before="320" w:after="160"/>
      </w:pPr>
      <w:r>
        <w:rPr>
          <w:rFonts w:ascii="Arial" w:cs="Arial" w:eastAsia="Arial" w:hAnsi="Arial"/>
          <w:b/>
          <w:bCs/>
          <w:sz w:val="32"/>
          <w:szCs w:val="32"/>
        </w:rPr>
        <w:t xml:space="preserve">Critical Caveat: Scene Motion</w:t>
      </w:r>
    </w:p>
    <w:p>
      <w:pPr>
        <w:spacing w:before="120" w:after="120"/>
      </w:pPr>
      <w:r>
        <w:rPr>
          <w:rFonts w:ascii="Arial" w:cs="Arial" w:eastAsia="Arial" w:hAnsi="Arial"/>
          <w:sz w:val="24"/>
          <w:szCs w:val="24"/>
        </w:rPr>
        <w:t xml:space="preserve">Frame averaging is only valid while the scene is static. Any motion during the accumulation window will blur depth edges and introduce ghosting artifacts at boundaries between moving and static objects. The buffer size (N) should therefore be tuned to the expected motion characteristics of the scene:</w:t>
      </w:r>
    </w:p>
    <w:p>
      <w:pPr>
        <w:pStyle w:val="ListParagraph"/>
        <w:numPr>
          <w:ilvl w:val="0"/>
          <w:numId w:val="2"/>
        </w:numPr>
        <w:spacing w:before="60" w:after="60"/>
      </w:pPr>
      <w:r>
        <w:rPr>
          <w:rFonts w:ascii="Arial" w:cs="Arial" w:eastAsia="Arial" w:hAnsi="Arial"/>
          <w:sz w:val="24"/>
          <w:szCs w:val="24"/>
        </w:rPr>
        <w:t xml:space="preserve">For completely static scenes: larger N (25–100) is safe and beneficial.</w:t>
      </w:r>
    </w:p>
    <w:p>
      <w:pPr>
        <w:pStyle w:val="ListParagraph"/>
        <w:numPr>
          <w:ilvl w:val="0"/>
          <w:numId w:val="2"/>
        </w:numPr>
        <w:spacing w:before="60" w:after="60"/>
      </w:pPr>
      <w:r>
        <w:rPr>
          <w:rFonts w:ascii="Arial" w:cs="Arial" w:eastAsia="Arial" w:hAnsi="Arial"/>
          <w:sz w:val="24"/>
          <w:szCs w:val="24"/>
        </w:rPr>
        <w:t xml:space="preserve">For slow-moving scenes: small N (4–9) balances precision with responsiveness.</w:t>
      </w:r>
    </w:p>
    <w:p>
      <w:pPr>
        <w:pStyle w:val="ListParagraph"/>
        <w:numPr>
          <w:ilvl w:val="0"/>
          <w:numId w:val="2"/>
        </w:numPr>
        <w:spacing w:before="60" w:after="60"/>
      </w:pPr>
      <w:r>
        <w:rPr>
          <w:rFonts w:ascii="Arial" w:cs="Arial" w:eastAsia="Arial" w:hAnsi="Arial"/>
          <w:sz w:val="24"/>
          <w:szCs w:val="24"/>
        </w:rPr>
        <w:t xml:space="preserve">For fast-moving scenes: averaging may not be applicable without motion masking.</w:t>
      </w:r>
    </w:p>
    <w:p>
      <w:pPr>
        <w:pStyle w:val="Heading1"/>
        <w:spacing w:before="320" w:after="160"/>
      </w:pPr>
      <w:r>
        <w:rPr>
          <w:rFonts w:ascii="Arial" w:cs="Arial" w:eastAsia="Arial" w:hAnsi="Arial"/>
          <w:b/>
          <w:bCs/>
          <w:sz w:val="32"/>
          <w:szCs w:val="32"/>
        </w:rPr>
        <w:t xml:space="preserve">Context: Why the Single-Frame Error Is High</w:t>
      </w:r>
    </w:p>
    <w:p>
      <w:pPr>
        <w:spacing w:before="120" w:after="120"/>
      </w:pPr>
      <w:r>
        <w:rPr>
          <w:rFonts w:ascii="Arial" w:cs="Arial" w:eastAsia="Arial" w:hAnsi="Arial"/>
          <w:sz w:val="24"/>
          <w:szCs w:val="24"/>
        </w:rPr>
        <w:t xml:space="preserve">The Azure Kinect specification quotes a random depth error of ≤17 mm std dev. This is a worst-case envelope across all conditions. Under favorable geometry (flat surface, normal incidence, matte finish, warmed-up sensor), the per-pixel per-frame noise is realistically closer to 5–6 mm. A residual noise floor remains regardless of geometry, caused by:</w:t>
      </w:r>
    </w:p>
    <w:p>
      <w:pPr>
        <w:pStyle w:val="ListParagraph"/>
        <w:numPr>
          <w:ilvl w:val="0"/>
          <w:numId w:val="2"/>
        </w:numPr>
        <w:spacing w:before="60" w:after="60"/>
      </w:pPr>
      <w:r>
        <w:rPr>
          <w:rFonts w:ascii="Arial" w:cs="Arial" w:eastAsia="Arial" w:hAnsi="Arial"/>
          <w:sz w:val="24"/>
          <w:szCs w:val="24"/>
        </w:rPr>
        <w:t xml:space="preserve">Quantization in the analog-to-digital conversion of the timing signal.</w:t>
      </w:r>
    </w:p>
    <w:p>
      <w:pPr>
        <w:pStyle w:val="ListParagraph"/>
        <w:numPr>
          <w:ilvl w:val="0"/>
          <w:numId w:val="2"/>
        </w:numPr>
        <w:spacing w:before="60" w:after="60"/>
      </w:pPr>
      <w:r>
        <w:rPr>
          <w:rFonts w:ascii="Arial" w:cs="Arial" w:eastAsia="Arial" w:hAnsi="Arial"/>
          <w:sz w:val="24"/>
          <w:szCs w:val="24"/>
        </w:rPr>
        <w:t xml:space="preserve">Shot noise — a fundamental quantum limit on photon counting.</w:t>
      </w:r>
    </w:p>
    <w:p>
      <w:pPr>
        <w:pStyle w:val="ListParagraph"/>
        <w:numPr>
          <w:ilvl w:val="0"/>
          <w:numId w:val="2"/>
        </w:numPr>
        <w:spacing w:before="60" w:after="60"/>
      </w:pPr>
      <w:r>
        <w:rPr>
          <w:rFonts w:ascii="Arial" w:cs="Arial" w:eastAsia="Arial" w:hAnsi="Arial"/>
          <w:sz w:val="24"/>
          <w:szCs w:val="24"/>
        </w:rPr>
        <w:t xml:space="preserve">Electronic noise in the readout circuitry.</w:t>
      </w:r>
    </w:p>
    <w:p>
      <w:pPr>
        <w:pStyle w:val="ListParagraph"/>
        <w:numPr>
          <w:ilvl w:val="0"/>
          <w:numId w:val="2"/>
        </w:numPr>
        <w:spacing w:before="60" w:after="60"/>
      </w:pPr>
      <w:r>
        <w:rPr>
          <w:rFonts w:ascii="Arial" w:cs="Arial" w:eastAsia="Arial" w:hAnsi="Arial"/>
          <w:sz w:val="24"/>
          <w:szCs w:val="24"/>
        </w:rPr>
        <w:t xml:space="preserve">Minor thermal fluctuations even after sensor warm-up (~50–60 minutes required).</w:t>
      </w:r>
    </w:p>
    <w:p>
      <w:pPr>
        <w:spacing w:before="120" w:after="120"/>
      </w:pPr>
      <w:r>
        <w:rPr>
          <w:rFonts w:ascii="Arial" w:cs="Arial" w:eastAsia="Arial" w:hAnsi="Arial"/>
          <w:sz w:val="24"/>
          <w:szCs w:val="24"/>
        </w:rPr>
        <w:t xml:space="preserve">These set a hard lower bound that no amount of frame averaging or favorable geometry can overcome at the single-pixel level. Spatial aggregation (e.g. plane fitting) would be needed to go further — but that is outside the scope of this document.</w:t>
      </w:r>
    </w:p>
    <w:p>
      <w:pPr>
        <w:pBdr>
          <w:top w:val="single" w:color="CCCCCC" w:sz="4" w:space="1"/>
        </w:pBdr>
        <w:spacing w:before="480" w:after="80"/>
      </w:pPr>
    </w:p>
    <w:p>
      <w:pPr>
        <w:jc w:val="center"/>
      </w:pPr>
      <w:r>
        <w:rPr>
          <w:rFonts w:ascii="Arial" w:cs="Arial" w:eastAsia="Arial" w:hAnsi="Arial"/>
          <w:i/>
          <w:iCs/>
          <w:color w:val="888888"/>
          <w:sz w:val="18"/>
          <w:szCs w:val="18"/>
        </w:rPr>
        <w:t xml:space="preserve">Based on analysis of Azure Kinect ToF sensor characteristics and standard statistical principles.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2026-02-19T16:38:22.453Z</dcterms:created>
  <dcterms:modified xsi:type="dcterms:W3CDTF">2026-02-19T16:38:22.454Z</dcterms:modified>
</cp:coreProperties>
</file>

<file path=docProps/custom.xml><?xml version="1.0" encoding="utf-8"?>
<Properties xmlns="http://schemas.openxmlformats.org/officeDocument/2006/custom-properties" xmlns:vt="http://schemas.openxmlformats.org/officeDocument/2006/docPropsVTypes"/>
</file>