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1A3A4A"/>
          <w:sz w:val="48"/>
          <w:szCs w:val="48"/>
        </w:rPr>
        <w:t xml:space="preserve">Social Touch Semi-Controlled Experiment</w:t>
      </w:r>
    </w:p>
    <w:p>
      <w:pPr>
        <w:spacing w:before="0" w:after="80"/>
        <w:jc w:val="center"/>
      </w:pPr>
      <w:r>
        <w:rPr>
          <w:rFonts w:ascii="Arial" w:cs="Arial" w:eastAsia="Arial" w:hAnsi="Arial"/>
          <w:i/>
          <w:iCs/>
          <w:color w:val="2C7DA0"/>
          <w:sz w:val="26"/>
          <w:szCs w:val="26"/>
        </w:rPr>
        <w:t xml:space="preserve">Neural Response Threshold Analysis &amp; Mechanical Variable Framework</w:t>
      </w:r>
    </w:p>
    <w:p>
      <w:pPr>
        <w:spacing w:before="0" w:after="480"/>
        <w:jc w:val="center"/>
      </w:pPr>
      <w:r>
        <w:rPr>
          <w:rFonts w:ascii="Arial" w:cs="Arial" w:eastAsia="Arial" w:hAnsi="Arial"/>
          <w:color w:val="888888"/>
          <w:sz w:val="20"/>
          <w:szCs w:val="20"/>
        </w:rPr>
        <w:t xml:space="preserve">Research Notes  ·  March 2026</w:t>
      </w:r>
    </w:p>
    <w:p>
      <w:pPr>
        <w:pStyle w:val="Heading1"/>
        <w:spacing w:before="360" w:after="120"/>
      </w:pPr>
      <w:r>
        <w:rPr>
          <w:rFonts w:ascii="Arial" w:cs="Arial" w:eastAsia="Arial" w:hAnsi="Arial"/>
          <w:b/>
          <w:bCs/>
          <w:color w:val="1A3A4A"/>
          <w:sz w:val="32"/>
          <w:szCs w:val="32"/>
        </w:rPr>
        <w:t xml:space="preserve">Part I — Situating the Threshold Curve in Classical Literature</w:t>
      </w:r>
    </w:p>
    <w:p>
      <w:pPr>
        <w:spacing w:before="60" w:after="80"/>
      </w:pPr>
      <w:r>
        <w:rPr>
          <w:rFonts w:ascii="Arial" w:cs="Arial" w:eastAsia="Arial" w:hAnsi="Arial"/>
          <w:sz w:val="22"/>
          <w:szCs w:val="22"/>
        </w:rPr>
        <w:t xml:space="preserve">The central aim of this line of inquiry is to generate a threshold curve of neural response as a function of stroke speed (X-axis), with a mechanically meaningful quantity combining contact area and indentation depth on the Y-axis. To contextualize this within the classical touch neuroscience literature, we examined how comparable variables are handled in mechanoreceptor physiology, particularly across texture, vibration, and receptive field mapping research.</w:t>
      </w:r>
    </w:p>
    <w:p>
      <w:pPr>
        <w:pStyle w:val="Heading2"/>
        <w:spacing w:before="280" w:after="100"/>
      </w:pPr>
      <w:r>
        <w:rPr>
          <w:rFonts w:ascii="Arial" w:cs="Arial" w:eastAsia="Arial" w:hAnsi="Arial"/>
          <w:b/>
          <w:bCs/>
          <w:color w:val="1E5C78"/>
          <w:sz w:val="26"/>
          <w:szCs w:val="26"/>
        </w:rPr>
        <w:t xml:space="preserve">1.1  The Core Comparability Problem</w:t>
      </w:r>
    </w:p>
    <w:p>
      <w:pPr>
        <w:spacing w:before="60" w:after="80"/>
      </w:pPr>
      <w:r>
        <w:rPr>
          <w:rFonts w:ascii="Arial" w:cs="Arial" w:eastAsia="Arial" w:hAnsi="Arial"/>
          <w:sz w:val="22"/>
          <w:szCs w:val="22"/>
        </w:rPr>
        <w:t xml:space="preserve">Classical literature characterizes afferents along two axes: stimulus parameter space (frequency, amplitude, indentation depth, force) and receptive field geometry (size, hotspot structure, spatial resolution). In this experiment, stroke speed serves as the independent variable and a composite mechanical quantity as the dependent one. The challenge is finding where those axes intersect.</w:t>
      </w:r>
    </w:p>
    <w:p>
      <w:pPr>
        <w:pStyle w:val="Heading2"/>
        <w:spacing w:before="280" w:after="100"/>
      </w:pPr>
      <w:r>
        <w:rPr>
          <w:rFonts w:ascii="Arial" w:cs="Arial" w:eastAsia="Arial" w:hAnsi="Arial"/>
          <w:b/>
          <w:bCs/>
          <w:color w:val="1E5C78"/>
          <w:sz w:val="26"/>
          <w:szCs w:val="26"/>
        </w:rPr>
        <w:t xml:space="preserve">1.2  Directly Comparable Variables</w:t>
      </w:r>
    </w:p>
    <w:p>
      <w:pPr>
        <w:spacing w:before="200" w:after="80"/>
      </w:pPr>
      <w:r>
        <w:rPr>
          <w:rFonts w:ascii="Arial" w:cs="Arial" w:eastAsia="Arial" w:hAnsi="Arial"/>
          <w:b/>
          <w:bCs/>
          <w:color w:val="2C7DA0"/>
          <w:sz w:val="24"/>
          <w:szCs w:val="24"/>
        </w:rPr>
        <w:t xml:space="preserve">Threshold amplitude as a function of frequency (tuning curves)</w:t>
      </w:r>
    </w:p>
    <w:p>
      <w:pPr>
        <w:spacing w:before="60" w:after="80"/>
      </w:pPr>
      <w:r>
        <w:rPr>
          <w:rFonts w:ascii="Arial" w:cs="Arial" w:eastAsia="Arial" w:hAnsi="Arial"/>
          <w:sz w:val="22"/>
          <w:szCs w:val="22"/>
        </w:rPr>
        <w:t xml:space="preserve">The gold standard in vibrotactile literature is the frequency–amplitude tuning curve: minimum indentation amplitude (mm) on Y, frequency (Hz) on X, measured per afferent class. In the hand, RA afferents are tuned to vibrations around 50 Hz, while SA afferents respond to lower frequencies — SAIs between 2–32 Hz and SAIIs below 8 Hz (foot sole data, Strzalkowski et al.). The social touch threshold curve has the same structural logic — a non-linear threshold function over a stimulus parameter — with speed substituted for frequency. The structural analogy is strong and explicit.</w:t>
      </w:r>
    </w:p>
    <w:p>
      <w:pPr>
        <w:spacing w:before="200" w:after="80"/>
      </w:pPr>
      <w:r>
        <w:rPr>
          <w:rFonts w:ascii="Arial" w:cs="Arial" w:eastAsia="Arial" w:hAnsi="Arial"/>
          <w:b/>
          <w:bCs/>
          <w:color w:val="2C7DA0"/>
          <w:sz w:val="24"/>
          <w:szCs w:val="24"/>
        </w:rPr>
        <w:t xml:space="preserve">CT afferent velocity tuning</w:t>
      </w:r>
    </w:p>
    <w:p>
      <w:pPr>
        <w:spacing w:before="60" w:after="80"/>
      </w:pPr>
      <w:r>
        <w:rPr>
          <w:rFonts w:ascii="Arial" w:cs="Arial" w:eastAsia="Arial" w:hAnsi="Arial"/>
          <w:sz w:val="22"/>
          <w:szCs w:val="22"/>
        </w:rPr>
        <w:t xml:space="preserve">Peak CT unit response occurs for movement velocities in the range 1–10 cm/s, with weaker responses to both slower and faster movements. Psychophysical brush stroking in this same velocity range is perceived as more pleasant than at slower or faster velocities (Löken et al., 2009). This is the predicted optimal window, with direct microneurography backing. A well-designed threshold curve should show a minimum (less mechanical input needed to elicit response) precisely in this 1–10 cm/s window.</w:t>
      </w:r>
    </w:p>
    <w:p>
      <w:pPr>
        <w:spacing w:before="200" w:after="80"/>
      </w:pPr>
      <w:r>
        <w:rPr>
          <w:rFonts w:ascii="Arial" w:cs="Arial" w:eastAsia="Arial" w:hAnsi="Arial"/>
          <w:b/>
          <w:bCs/>
          <w:color w:val="2C7DA0"/>
          <w:sz w:val="24"/>
          <w:szCs w:val="24"/>
        </w:rPr>
        <w:t xml:space="preserve">Force threshold / von Frey threshold as calibration anchor</w:t>
      </w:r>
    </w:p>
    <w:p>
      <w:pPr>
        <w:spacing w:before="60" w:after="80"/>
      </w:pPr>
      <w:r>
        <w:rPr>
          <w:rFonts w:ascii="Arial" w:cs="Arial" w:eastAsia="Arial" w:hAnsi="Arial"/>
          <w:sz w:val="22"/>
          <w:szCs w:val="22"/>
        </w:rPr>
        <w:t xml:space="preserve">CTs are defined as mechanoreceptive afferents with a low mechanical threshold below 5 mN; some units have thresholds as low as 0.04 mN (~4 mg) (Vallbo et al., Ackerley et al.). This provides an absolute lower bound for Y-axis calibration: the indentation depth at threshold should correspond to forces in this range at the contact area being measured. Cross-validation against von Frey equivalents (if a force sensor is available) would allow direct comparison with monofilament literature.</w:t>
      </w:r>
    </w:p>
    <w:p>
      <w:pPr>
        <w:spacing w:before="200" w:after="80"/>
      </w:pPr>
      <w:r>
        <w:rPr>
          <w:rFonts w:ascii="Arial" w:cs="Arial" w:eastAsia="Arial" w:hAnsi="Arial"/>
          <w:b/>
          <w:bCs/>
          <w:color w:val="2C7DA0"/>
          <w:sz w:val="24"/>
          <w:szCs w:val="24"/>
        </w:rPr>
        <w:t xml:space="preserve">Receptive field size as a spatial scaling factor</w:t>
      </w:r>
    </w:p>
    <w:p>
      <w:pPr>
        <w:spacing w:before="60" w:after="80"/>
      </w:pPr>
      <w:r>
        <w:rPr>
          <w:rFonts w:ascii="Arial" w:cs="Arial" w:eastAsia="Arial" w:hAnsi="Arial"/>
          <w:sz w:val="22"/>
          <w:szCs w:val="22"/>
        </w:rPr>
        <w:t xml:space="preserve">CT receptive fields explored with a moving probe consist of one to nine small responsive spots distributed over an area of 1–35 mm² (Wessberg et al., 2003). When contact area exceeds ~35 mm², multiple CT units are necessarily recruited simultaneously. This transitions the measurement from a single-unit threshold analog to a population-level response — a major variable to stratify in analysis.</w:t>
      </w:r>
    </w:p>
    <w:p>
      <w:pPr>
        <w:pStyle w:val="Heading2"/>
        <w:spacing w:before="280" w:after="100"/>
      </w:pPr>
      <w:r>
        <w:rPr>
          <w:rFonts w:ascii="Arial" w:cs="Arial" w:eastAsia="Arial" w:hAnsi="Arial"/>
          <w:b/>
          <w:bCs/>
          <w:color w:val="1E5C78"/>
          <w:sz w:val="26"/>
          <w:szCs w:val="26"/>
        </w:rPr>
        <w:t xml:space="preserve">1.3  Variables Borrowable from Receptive Field Mapping Methodology</w:t>
      </w:r>
    </w:p>
    <w:p>
      <w:pPr>
        <w:spacing w:before="60" w:after="80"/>
      </w:pPr>
      <w:r>
        <w:rPr>
          <w:rFonts w:ascii="Arial" w:cs="Arial" w:eastAsia="Arial" w:hAnsi="Arial"/>
          <w:sz w:val="22"/>
          <w:szCs w:val="22"/>
        </w:rPr>
        <w:t xml:space="preserve">The Wessberg/Vallbo robotic scanning approach (fine probe across overlapping tracks, spatial event plots) provides three transferable tools:</w:t>
      </w:r>
    </w:p>
    <w:p>
      <w:pPr>
        <w:pStyle w:val="ListParagraph"/>
        <w:numPr>
          <w:ilvl w:val="0"/>
          <w:numId w:val="2"/>
        </w:numPr>
        <w:spacing w:before="40" w:after="40"/>
      </w:pPr>
      <w:r>
        <w:rPr>
          <w:rFonts w:ascii="Arial" w:cs="Arial" w:eastAsia="Arial" w:hAnsi="Arial"/>
          <w:sz w:val="22"/>
          <w:szCs w:val="22"/>
        </w:rPr>
        <w:t xml:space="preserve">Sensitive hotspot density — number of response peaks per unit area. Mapping the threshold Y-variable across forearm positions would reconstruct a spatial sensitivity map analogous to a receptive field plot, but at the behavioral/population level.</w:t>
      </w:r>
    </w:p>
    <w:p>
      <w:pPr>
        <w:pStyle w:val="ListParagraph"/>
        <w:numPr>
          <w:ilvl w:val="0"/>
          <w:numId w:val="2"/>
        </w:numPr>
        <w:spacing w:before="40" w:after="40"/>
      </w:pPr>
      <w:r>
        <w:rPr>
          <w:rFonts w:ascii="Arial" w:cs="Arial" w:eastAsia="Arial" w:hAnsi="Arial"/>
          <w:sz w:val="22"/>
          <w:szCs w:val="22"/>
        </w:rPr>
        <w:t xml:space="preserve">Indentation force at threshold per location — fixing speed and varying force until threshold is reached at each skin position reconstructs a spatial tuning map directly comparable to classical RF maps.</w:t>
      </w:r>
    </w:p>
    <w:p>
      <w:pPr>
        <w:pStyle w:val="ListParagraph"/>
        <w:numPr>
          <w:ilvl w:val="0"/>
          <w:numId w:val="2"/>
        </w:numPr>
        <w:spacing w:before="40" w:after="40"/>
      </w:pPr>
      <w:r>
        <w:rPr>
          <w:rFonts w:ascii="Arial" w:cs="Arial" w:eastAsia="Arial" w:hAnsi="Arial"/>
          <w:sz w:val="22"/>
          <w:szCs w:val="22"/>
        </w:rPr>
        <w:t xml:space="preserve">Directional sensitivity — RA afferents show graded responses in only one direction of motion. In social touch this maps to stroke direction (proximal-to-distal vs. distal-to-proximal), which is largely underexplored for CT afferents.</w:t>
      </w:r>
    </w:p>
    <w:p>
      <w:pPr>
        <w:pStyle w:val="Heading2"/>
        <w:spacing w:before="280" w:after="100"/>
      </w:pPr>
      <w:r>
        <w:rPr>
          <w:rFonts w:ascii="Arial" w:cs="Arial" w:eastAsia="Arial" w:hAnsi="Arial"/>
          <w:b/>
          <w:bCs/>
          <w:color w:val="1E5C78"/>
          <w:sz w:val="26"/>
          <w:szCs w:val="26"/>
        </w:rPr>
        <w:t xml:space="preserve">1.4  The Key Dimensional Bridge: Speed as Temporal Frequency Equivalent</w:t>
      </w:r>
    </w:p>
    <w:p>
      <w:pPr>
        <w:spacing w:before="60" w:after="80"/>
      </w:pPr>
      <w:r>
        <w:rPr>
          <w:rFonts w:ascii="Arial" w:cs="Arial" w:eastAsia="Arial" w:hAnsi="Arial"/>
          <w:sz w:val="22"/>
          <w:szCs w:val="22"/>
        </w:rPr>
        <w:t xml:space="preserve">When a probe moves over skin at speed v across a texture with spatial period λ, the temporal frequency experienced by a receptor is f = v/λ. For smooth skin, there is no grating period — but contact area itself introduces a spatial scale. The leading edge of a fingertip at velocity v sweeps across a CT receptive field hotspot (~1–3 mm diameter) in time t = d/v. This gives:</w:t>
      </w:r>
    </w:p>
    <w:p>
      <w:pPr>
        <w:shd w:fill="F0F5F8" w:val="clear"/>
        <w:spacing w:before="120" w:after="120"/>
        <w:jc w:val="center"/>
      </w:pPr>
      <w:r>
        <w:rPr>
          <w:rFonts w:ascii="Courier New" w:cs="Courier New" w:eastAsia="Courier New" w:hAnsi="Courier New"/>
          <w:b/>
          <w:bCs/>
          <w:color w:val="1A3A4A"/>
          <w:sz w:val="24"/>
          <w:szCs w:val="24"/>
        </w:rPr>
        <w:t xml:space="preserve">Effective temporal frequency  ≈  v / RF_hotspot_diameter</w:t>
      </w:r>
    </w:p>
    <w:p>
      <w:pPr>
        <w:spacing w:before="60" w:after="80"/>
      </w:pPr>
      <w:r>
        <w:rPr>
          <w:rFonts w:ascii="Arial" w:cs="Arial" w:eastAsia="Arial" w:hAnsi="Arial"/>
          <w:sz w:val="22"/>
          <w:szCs w:val="22"/>
        </w:rPr>
        <w:t xml:space="preserve">At 3 cm/s across a 2 mm hotspot → ~15 Hz. At 10 cm/s → ~50 Hz — landing in the RA1 optimal range. This suggests the speed axis and the classical frequency axis are potentially convertible through a spatial constant derived from CT receptive field hotspot geometry. With assumed or measured hotspot size (1–3 mm, from Wessberg et al.), the threshold curve can be overlaid directly on a Talbot-style vibrotactile tuning curve.</w:t>
      </w:r>
    </w:p>
    <w:p>
      <w:pPr>
        <w:pStyle w:val="Heading2"/>
        <w:spacing w:before="280" w:after="100"/>
      </w:pPr>
      <w:r>
        <w:rPr>
          <w:rFonts w:ascii="Arial" w:cs="Arial" w:eastAsia="Arial" w:hAnsi="Arial"/>
          <w:b/>
          <w:bCs/>
          <w:color w:val="1E5C78"/>
          <w:sz w:val="26"/>
          <w:szCs w:val="26"/>
        </w:rPr>
        <w:t xml:space="preserve">1.5  Variable Correspondence Table</w:t>
      </w:r>
    </w:p>
    <w:p>
      <w:pPr>
        <w:spacing w:before="40" w:after="4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500"/>
      </w:tblGrid>
      <w:tr>
        <w:tc>
          <w:tcPr>
            <w:tcW w:type="dxa" w:w="2800"/>
            <w:tcBorders>
              <w:top w:val="single" w:color="8AAFC0" w:sz="1"/>
              <w:left w:val="single" w:color="8AAFC0" w:sz="1"/>
              <w:bottom w:val="single" w:color="8AAFC0" w:sz="1"/>
              <w:right w:val="single" w:color="8AAFC0" w:sz="1"/>
            </w:tcBorders>
            <w:shd w:fill="D0E8F5" w:val="clear"/>
            <w:tcMar>
              <w:top w:type="dxa" w:w="80"/>
              <w:left w:type="dxa" w:w="120"/>
              <w:bottom w:type="dxa" w:w="80"/>
              <w:right w:type="dxa" w:w="120"/>
            </w:tcMar>
          </w:tcPr>
          <w:p>
            <w:r>
              <w:rPr>
                <w:rFonts w:ascii="Arial" w:cs="Arial" w:eastAsia="Arial" w:hAnsi="Arial"/>
                <w:b/>
                <w:bCs/>
                <w:color w:val="1A3A4A"/>
                <w:sz w:val="20"/>
                <w:szCs w:val="20"/>
              </w:rPr>
              <w:t xml:space="preserve">Experiment Variable</w:t>
            </w:r>
          </w:p>
        </w:tc>
        <w:tc>
          <w:tcPr>
            <w:tcW w:type="dxa" w:w="3200"/>
            <w:tcBorders>
              <w:top w:val="single" w:color="8AAFC0" w:sz="1"/>
              <w:left w:val="single" w:color="8AAFC0" w:sz="1"/>
              <w:bottom w:val="single" w:color="8AAFC0" w:sz="1"/>
              <w:right w:val="single" w:color="8AAFC0" w:sz="1"/>
            </w:tcBorders>
            <w:shd w:fill="D0E8F5" w:val="clear"/>
            <w:tcMar>
              <w:top w:type="dxa" w:w="80"/>
              <w:left w:type="dxa" w:w="120"/>
              <w:bottom w:type="dxa" w:w="80"/>
              <w:right w:type="dxa" w:w="120"/>
            </w:tcMar>
          </w:tcPr>
          <w:p>
            <w:r>
              <w:rPr>
                <w:rFonts w:ascii="Arial" w:cs="Arial" w:eastAsia="Arial" w:hAnsi="Arial"/>
                <w:b/>
                <w:bCs/>
                <w:color w:val="1A3A4A"/>
                <w:sz w:val="20"/>
                <w:szCs w:val="20"/>
              </w:rPr>
              <w:t xml:space="preserve">Classical Analog</w:t>
            </w:r>
          </w:p>
        </w:tc>
        <w:tc>
          <w:tcPr>
            <w:tcW w:type="dxa" w:w="2500"/>
            <w:tcBorders>
              <w:top w:val="single" w:color="8AAFC0" w:sz="1"/>
              <w:left w:val="single" w:color="8AAFC0" w:sz="1"/>
              <w:bottom w:val="single" w:color="8AAFC0" w:sz="1"/>
              <w:right w:val="single" w:color="8AAFC0" w:sz="1"/>
            </w:tcBorders>
            <w:shd w:fill="D0E8F5" w:val="clear"/>
            <w:tcMar>
              <w:top w:type="dxa" w:w="80"/>
              <w:left w:type="dxa" w:w="120"/>
              <w:bottom w:type="dxa" w:w="80"/>
              <w:right w:type="dxa" w:w="120"/>
            </w:tcMar>
          </w:tcPr>
          <w:p>
            <w:r>
              <w:rPr>
                <w:rFonts w:ascii="Arial" w:cs="Arial" w:eastAsia="Arial" w:hAnsi="Arial"/>
                <w:b/>
                <w:bCs/>
                <w:color w:val="1A3A4A"/>
                <w:sz w:val="20"/>
                <w:szCs w:val="20"/>
              </w:rPr>
              <w:t xml:space="preserve">Key Reference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Stroke speed (cm/s)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Vibration frequency (Hz), via f = v / d_RF</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Talbot et al. 1968; Löken et al. 2009</w:t>
            </w:r>
          </w:p>
        </w:tc>
      </w:tr>
      <w:tr>
        <w:tc>
          <w:tcPr>
            <w:tcW w:type="dxa" w:w="2800"/>
            <w:tcBorders>
              <w:top w:val="single" w:color="CCCCCC" w:sz="1"/>
              <w:left w:val="single" w:color="CCCCCC" w:sz="1"/>
              <w:bottom w:val="single" w:color="CCCCCC" w:sz="1"/>
              <w:right w:val="single" w:color="CCCCCC" w:sz="1"/>
            </w:tcBorders>
            <w:shd w:fill="F7FBFD" w:val="clear"/>
            <w:tcMar>
              <w:top w:type="dxa" w:w="80"/>
              <w:left w:type="dxa" w:w="120"/>
              <w:bottom w:type="dxa" w:w="80"/>
              <w:right w:type="dxa" w:w="120"/>
            </w:tcMar>
          </w:tcPr>
          <w:p>
            <w:r>
              <w:rPr>
                <w:rFonts w:ascii="Arial" w:cs="Arial" w:eastAsia="Arial" w:hAnsi="Arial"/>
                <w:b w:val="false"/>
                <w:bCs w:val="false"/>
                <w:color w:val="222222"/>
                <w:sz w:val="20"/>
                <w:szCs w:val="20"/>
              </w:rPr>
              <w:t xml:space="preserve">Y-axis composite (area × depth)</w:t>
            </w:r>
          </w:p>
        </w:tc>
        <w:tc>
          <w:tcPr>
            <w:tcW w:type="dxa" w:w="3200"/>
            <w:tcBorders>
              <w:top w:val="single" w:color="CCCCCC" w:sz="1"/>
              <w:left w:val="single" w:color="CCCCCC" w:sz="1"/>
              <w:bottom w:val="single" w:color="CCCCCC" w:sz="1"/>
              <w:right w:val="single" w:color="CCCCCC" w:sz="1"/>
            </w:tcBorders>
            <w:shd w:fill="F7FBFD" w:val="clear"/>
            <w:tcMar>
              <w:top w:type="dxa" w:w="80"/>
              <w:left w:type="dxa" w:w="120"/>
              <w:bottom w:type="dxa" w:w="80"/>
              <w:right w:type="dxa" w:w="120"/>
            </w:tcMar>
          </w:tcPr>
          <w:p>
            <w:r>
              <w:rPr>
                <w:rFonts w:ascii="Arial" w:cs="Arial" w:eastAsia="Arial" w:hAnsi="Arial"/>
                <w:b w:val="false"/>
                <w:bCs w:val="false"/>
                <w:color w:val="222222"/>
                <w:sz w:val="20"/>
                <w:szCs w:val="20"/>
              </w:rPr>
              <w:t xml:space="preserve">Indentation amplitude (mm) at threshold</w:t>
            </w:r>
          </w:p>
        </w:tc>
        <w:tc>
          <w:tcPr>
            <w:tcW w:type="dxa" w:w="2500"/>
            <w:tcBorders>
              <w:top w:val="single" w:color="CCCCCC" w:sz="1"/>
              <w:left w:val="single" w:color="CCCCCC" w:sz="1"/>
              <w:bottom w:val="single" w:color="CCCCCC" w:sz="1"/>
              <w:right w:val="single" w:color="CCCCCC" w:sz="1"/>
            </w:tcBorders>
            <w:shd w:fill="F7FBFD" w:val="clear"/>
            <w:tcMar>
              <w:top w:type="dxa" w:w="80"/>
              <w:left w:type="dxa" w:w="120"/>
              <w:bottom w:type="dxa" w:w="80"/>
              <w:right w:type="dxa" w:w="120"/>
            </w:tcMar>
          </w:tcPr>
          <w:p>
            <w:r>
              <w:rPr>
                <w:rFonts w:ascii="Arial" w:cs="Arial" w:eastAsia="Arial" w:hAnsi="Arial"/>
                <w:b w:val="false"/>
                <w:bCs w:val="false"/>
                <w:color w:val="222222"/>
                <w:sz w:val="20"/>
                <w:szCs w:val="20"/>
              </w:rPr>
              <w:t xml:space="preserve">Freeman &amp; Johnson 1982; Johansson 1978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Y-axis threshold vs. speed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Amplitude threshold vs. frequency (tuning curve)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Vallbo &amp; Johansson 1979</w:t>
            </w:r>
          </w:p>
        </w:tc>
      </w:tr>
      <w:tr>
        <w:tc>
          <w:tcPr>
            <w:tcW w:type="dxa" w:w="2800"/>
            <w:tcBorders>
              <w:top w:val="single" w:color="CCCCCC" w:sz="1"/>
              <w:left w:val="single" w:color="CCCCCC" w:sz="1"/>
              <w:bottom w:val="single" w:color="CCCCCC" w:sz="1"/>
              <w:right w:val="single" w:color="CCCCCC" w:sz="1"/>
            </w:tcBorders>
            <w:shd w:fill="F7FBFD" w:val="clear"/>
            <w:tcMar>
              <w:top w:type="dxa" w:w="80"/>
              <w:left w:type="dxa" w:w="120"/>
              <w:bottom w:type="dxa" w:w="80"/>
              <w:right w:type="dxa" w:w="120"/>
            </w:tcMar>
          </w:tcPr>
          <w:p>
            <w:r>
              <w:rPr>
                <w:rFonts w:ascii="Arial" w:cs="Arial" w:eastAsia="Arial" w:hAnsi="Arial"/>
                <w:b w:val="false"/>
                <w:bCs w:val="false"/>
                <w:color w:val="222222"/>
                <w:sz w:val="20"/>
                <w:szCs w:val="20"/>
              </w:rPr>
              <w:t xml:space="preserve">Contact area (cm²)</w:t>
            </w:r>
          </w:p>
        </w:tc>
        <w:tc>
          <w:tcPr>
            <w:tcW w:type="dxa" w:w="3200"/>
            <w:tcBorders>
              <w:top w:val="single" w:color="CCCCCC" w:sz="1"/>
              <w:left w:val="single" w:color="CCCCCC" w:sz="1"/>
              <w:bottom w:val="single" w:color="CCCCCC" w:sz="1"/>
              <w:right w:val="single" w:color="CCCCCC" w:sz="1"/>
            </w:tcBorders>
            <w:shd w:fill="F7FBFD" w:val="clear"/>
            <w:tcMar>
              <w:top w:type="dxa" w:w="80"/>
              <w:left w:type="dxa" w:w="120"/>
              <w:bottom w:type="dxa" w:w="80"/>
              <w:right w:type="dxa" w:w="120"/>
            </w:tcMar>
          </w:tcPr>
          <w:p>
            <w:r>
              <w:rPr>
                <w:rFonts w:ascii="Arial" w:cs="Arial" w:eastAsia="Arial" w:hAnsi="Arial"/>
                <w:b w:val="false"/>
                <w:bCs w:val="false"/>
                <w:color w:val="222222"/>
                <w:sz w:val="20"/>
                <w:szCs w:val="20"/>
              </w:rPr>
              <w:t xml:space="preserve">Number of RF hotspots recruited</w:t>
            </w:r>
          </w:p>
        </w:tc>
        <w:tc>
          <w:tcPr>
            <w:tcW w:type="dxa" w:w="2500"/>
            <w:tcBorders>
              <w:top w:val="single" w:color="CCCCCC" w:sz="1"/>
              <w:left w:val="single" w:color="CCCCCC" w:sz="1"/>
              <w:bottom w:val="single" w:color="CCCCCC" w:sz="1"/>
              <w:right w:val="single" w:color="CCCCCC" w:sz="1"/>
            </w:tcBorders>
            <w:shd w:fill="F7FBFD" w:val="clear"/>
            <w:tcMar>
              <w:top w:type="dxa" w:w="80"/>
              <w:left w:type="dxa" w:w="120"/>
              <w:bottom w:type="dxa" w:w="80"/>
              <w:right w:type="dxa" w:w="120"/>
            </w:tcMar>
          </w:tcPr>
          <w:p>
            <w:r>
              <w:rPr>
                <w:rFonts w:ascii="Arial" w:cs="Arial" w:eastAsia="Arial" w:hAnsi="Arial"/>
                <w:b w:val="false"/>
                <w:bCs w:val="false"/>
                <w:color w:val="222222"/>
                <w:sz w:val="20"/>
                <w:szCs w:val="20"/>
              </w:rPr>
              <w:t xml:space="preserve">Wessberg et al. 2003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Indentation depth (mm)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Von Frey force threshold (mN) via skin compliance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Löken et al. 2009</w:t>
            </w:r>
          </w:p>
        </w:tc>
      </w:tr>
      <w:tr>
        <w:tc>
          <w:tcPr>
            <w:tcW w:type="dxa" w:w="2800"/>
            <w:tcBorders>
              <w:top w:val="single" w:color="CCCCCC" w:sz="1"/>
              <w:left w:val="single" w:color="CCCCCC" w:sz="1"/>
              <w:bottom w:val="single" w:color="CCCCCC" w:sz="1"/>
              <w:right w:val="single" w:color="CCCCCC" w:sz="1"/>
            </w:tcBorders>
            <w:shd w:fill="F7FBFD" w:val="clear"/>
            <w:tcMar>
              <w:top w:type="dxa" w:w="80"/>
              <w:left w:type="dxa" w:w="120"/>
              <w:bottom w:type="dxa" w:w="80"/>
              <w:right w:type="dxa" w:w="120"/>
            </w:tcMar>
          </w:tcPr>
          <w:p>
            <w:r>
              <w:rPr>
                <w:rFonts w:ascii="Arial" w:cs="Arial" w:eastAsia="Arial" w:hAnsi="Arial"/>
                <w:b w:val="false"/>
                <w:bCs w:val="false"/>
                <w:color w:val="222222"/>
                <w:sz w:val="20"/>
                <w:szCs w:val="20"/>
              </w:rPr>
              <w:t xml:space="preserve">Spatial position on forearm</w:t>
            </w:r>
          </w:p>
        </w:tc>
        <w:tc>
          <w:tcPr>
            <w:tcW w:type="dxa" w:w="3200"/>
            <w:tcBorders>
              <w:top w:val="single" w:color="CCCCCC" w:sz="1"/>
              <w:left w:val="single" w:color="CCCCCC" w:sz="1"/>
              <w:bottom w:val="single" w:color="CCCCCC" w:sz="1"/>
              <w:right w:val="single" w:color="CCCCCC" w:sz="1"/>
            </w:tcBorders>
            <w:shd w:fill="F7FBFD" w:val="clear"/>
            <w:tcMar>
              <w:top w:type="dxa" w:w="80"/>
              <w:left w:type="dxa" w:w="120"/>
              <w:bottom w:type="dxa" w:w="80"/>
              <w:right w:type="dxa" w:w="120"/>
            </w:tcMar>
          </w:tcPr>
          <w:p>
            <w:r>
              <w:rPr>
                <w:rFonts w:ascii="Arial" w:cs="Arial" w:eastAsia="Arial" w:hAnsi="Arial"/>
                <w:b w:val="false"/>
                <w:bCs w:val="false"/>
                <w:color w:val="222222"/>
                <w:sz w:val="20"/>
                <w:szCs w:val="20"/>
              </w:rPr>
              <w:t xml:space="preserve">RF center location in spatial event plot</w:t>
            </w:r>
          </w:p>
        </w:tc>
        <w:tc>
          <w:tcPr>
            <w:tcW w:type="dxa" w:w="2500"/>
            <w:tcBorders>
              <w:top w:val="single" w:color="CCCCCC" w:sz="1"/>
              <w:left w:val="single" w:color="CCCCCC" w:sz="1"/>
              <w:bottom w:val="single" w:color="CCCCCC" w:sz="1"/>
              <w:right w:val="single" w:color="CCCCCC" w:sz="1"/>
            </w:tcBorders>
            <w:shd w:fill="F7FBFD" w:val="clear"/>
            <w:tcMar>
              <w:top w:type="dxa" w:w="80"/>
              <w:left w:type="dxa" w:w="120"/>
              <w:bottom w:type="dxa" w:w="80"/>
              <w:right w:type="dxa" w:w="120"/>
            </w:tcMar>
          </w:tcPr>
          <w:p>
            <w:r>
              <w:rPr>
                <w:rFonts w:ascii="Arial" w:cs="Arial" w:eastAsia="Arial" w:hAnsi="Arial"/>
                <w:b w:val="false"/>
                <w:bCs w:val="false"/>
                <w:color w:val="222222"/>
                <w:sz w:val="20"/>
                <w:szCs w:val="20"/>
              </w:rPr>
              <w:t xml:space="preserve">Wessberg et al. 2003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Stroke direction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Directional sensitivity / preferred activation sequence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Gardner &amp; Palmer 1990</w:t>
            </w:r>
          </w:p>
        </w:tc>
      </w:tr>
    </w:tbl>
    <w:p>
      <w:pPr>
        <w:spacing w:before="40" w:after="40"/>
      </w:pPr>
      <w:r>
        <w:t xml:space="preserve"/>
      </w:r>
    </w:p>
    <w:p>
      <w:pPr>
        <w:pStyle w:val="Heading1"/>
        <w:spacing w:before="360" w:after="120"/>
      </w:pPr>
      <w:r>
        <w:rPr>
          <w:rFonts w:ascii="Arial" w:cs="Arial" w:eastAsia="Arial" w:hAnsi="Arial"/>
          <w:b/>
          <w:bCs/>
          <w:color w:val="1A3A4A"/>
          <w:sz w:val="32"/>
          <w:szCs w:val="32"/>
        </w:rPr>
        <w:t xml:space="preserve">Part II — Why a Simple Area × Depth Composite Is Mechanically Insufficient</w:t>
      </w:r>
    </w:p>
    <w:p>
      <w:pPr>
        <w:spacing w:before="60" w:after="80"/>
      </w:pPr>
      <w:r>
        <w:rPr>
          <w:rFonts w:ascii="Arial" w:cs="Arial" w:eastAsia="Arial" w:hAnsi="Arial"/>
          <w:sz w:val="22"/>
          <w:szCs w:val="22"/>
        </w:rPr>
        <w:t xml:space="preserve">The initial proposal to use a Contact Volume Index (CVI = contact area × indentation depth) as the Y-axis was questioned on mechanical grounds. This section details the problem and develops better-grounded alternatives.</w:t>
      </w:r>
    </w:p>
    <w:p>
      <w:pPr>
        <w:pStyle w:val="Heading2"/>
        <w:spacing w:before="280" w:after="100"/>
      </w:pPr>
      <w:r>
        <w:rPr>
          <w:rFonts w:ascii="Arial" w:cs="Arial" w:eastAsia="Arial" w:hAnsi="Arial"/>
          <w:b/>
          <w:bCs/>
          <w:color w:val="1E5C78"/>
          <w:sz w:val="26"/>
          <w:szCs w:val="26"/>
        </w:rPr>
        <w:t xml:space="preserve">2.1  The Core Mechanical Problem with CVI</w:t>
      </w:r>
    </w:p>
    <w:p>
      <w:pPr>
        <w:spacing w:before="60" w:after="80"/>
      </w:pPr>
      <w:r>
        <w:rPr>
          <w:rFonts w:ascii="Arial" w:cs="Arial" w:eastAsia="Arial" w:hAnsi="Arial"/>
          <w:sz w:val="22"/>
          <w:szCs w:val="22"/>
        </w:rPr>
        <w:t xml:space="preserve">Area × depth gives a quantity with units of volume (cm³), which has no direct physical meaning at a mechanoreceptor. A receptor does not 'feel' volume — it responds to local strain or stress at its specific depth in tissue. Two contacts with identical CVI (e.g., small area × large depth vs. large area × small depth) produce radically different subsurface stress fields and therefore different neural responses. The composite collapses information that the tissue physically preserves and differentiates.</w:t>
      </w:r>
    </w:p>
    <w:p>
      <w:pPr>
        <w:spacing w:before="60" w:after="80"/>
      </w:pPr>
      <w:r>
        <w:rPr>
          <w:rFonts w:ascii="Arial" w:cs="Arial" w:eastAsia="Arial" w:hAnsi="Arial"/>
          <w:sz w:val="22"/>
          <w:szCs w:val="22"/>
        </w:rPr>
        <w:t xml:space="preserve">More fundamentally, skin is a viscoelastic, layered material. What reaches a CT terminal (sitting just below the dermis, approximately 0.5–1 mm deep) is a filtered, geometrically transformed version of surface deformation — not a simple product of macroscopic parameters.</w:t>
      </w:r>
    </w:p>
    <w:p>
      <w:pPr>
        <w:pStyle w:val="Heading2"/>
        <w:spacing w:before="280" w:after="100"/>
      </w:pPr>
      <w:r>
        <w:rPr>
          <w:rFonts w:ascii="Arial" w:cs="Arial" w:eastAsia="Arial" w:hAnsi="Arial"/>
          <w:b/>
          <w:bCs/>
          <w:color w:val="1E5C78"/>
          <w:sz w:val="26"/>
          <w:szCs w:val="26"/>
        </w:rPr>
        <w:t xml:space="preserve">2.2  What the Mechanics Literature Uses</w:t>
      </w:r>
    </w:p>
    <w:p>
      <w:pPr>
        <w:spacing w:before="200" w:after="80"/>
      </w:pPr>
      <w:r>
        <w:rPr>
          <w:rFonts w:ascii="Arial" w:cs="Arial" w:eastAsia="Arial" w:hAnsi="Arial"/>
          <w:b/>
          <w:bCs/>
          <w:color w:val="2C7DA0"/>
          <w:sz w:val="24"/>
          <w:szCs w:val="24"/>
        </w:rPr>
        <w:t xml:space="preserve">Strain Energy Density (SED) — most principled</w:t>
      </w:r>
    </w:p>
    <w:p>
      <w:pPr>
        <w:spacing w:before="60" w:after="80"/>
      </w:pPr>
      <w:r>
        <w:rPr>
          <w:rFonts w:ascii="Arial" w:cs="Arial" w:eastAsia="Arial" w:hAnsi="Arial"/>
          <w:sz w:val="22"/>
          <w:szCs w:val="22"/>
        </w:rPr>
        <w:t xml:space="preserve">The mechanical state (strain energy density and maximum principal strain) at mechanoreceptor locations is correlated with the experimentally measured nerve firing rate in SA-I afferent nerve fibers, and further work confirmed that these mechanical states account for responses of both SA-I and RA afferents to indented spatial patterns (Hamasaki &amp; Iwamoto, 2019). SED integrates the effects of contact area, depth, and velocity in a physically coherent way — larger area and greater depth both increase it, but through tissue geometry rather than arithmetic multiplication. The limitation is that SED cannot be measured directly in vivo and requires finite element modelling.</w:t>
      </w:r>
    </w:p>
    <w:p>
      <w:pPr>
        <w:spacing w:before="200" w:after="80"/>
      </w:pPr>
      <w:r>
        <w:rPr>
          <w:rFonts w:ascii="Arial" w:cs="Arial" w:eastAsia="Arial" w:hAnsi="Arial"/>
          <w:b/>
          <w:bCs/>
          <w:color w:val="2C7DA0"/>
          <w:sz w:val="24"/>
          <w:szCs w:val="24"/>
        </w:rPr>
        <w:t xml:space="preserve">Rate of change of contact area (dA/dt) — empirically tractable</w:t>
      </w:r>
    </w:p>
    <w:p>
      <w:pPr>
        <w:spacing w:before="60" w:after="80"/>
      </w:pPr>
      <w:r>
        <w:rPr>
          <w:rFonts w:ascii="Arial" w:cs="Arial" w:eastAsia="Arial" w:hAnsi="Arial"/>
          <w:sz w:val="22"/>
          <w:szCs w:val="22"/>
        </w:rPr>
        <w:t xml:space="preserve">A striking finding from the compliance/softness discrimination literature: the rate of change of gross contact area best correlates with discriminability across indentation velocities and compliances — outperforming raw contact area, depth, or bulk force as a perceptual predictor (Gerling et al., 2023). This variable is measurable with pressure-sensitive film or optical contact imaging, and it directly links stroke velocity to contact geometry dynamics. Crucially:</w:t>
      </w:r>
    </w:p>
    <w:p>
      <w:pPr>
        <w:shd w:fill="F0F5F8" w:val="clear"/>
        <w:spacing w:before="120" w:after="120"/>
        <w:jc w:val="center"/>
      </w:pPr>
      <w:r>
        <w:rPr>
          <w:rFonts w:ascii="Courier New" w:cs="Courier New" w:eastAsia="Courier New" w:hAnsi="Courier New"/>
          <w:b/>
          <w:bCs/>
          <w:color w:val="1A3A4A"/>
          <w:sz w:val="24"/>
          <w:szCs w:val="24"/>
        </w:rPr>
        <w:t xml:space="preserve">dA/dt  =  (dA/dδ) · (dδ/dt)</w:t>
      </w:r>
    </w:p>
    <w:p>
      <w:pPr>
        <w:spacing w:before="60" w:after="80"/>
      </w:pPr>
      <w:r>
        <w:rPr>
          <w:rFonts w:ascii="Arial" w:cs="Arial" w:eastAsia="Arial" w:hAnsi="Arial"/>
          <w:sz w:val="22"/>
          <w:szCs w:val="22"/>
        </w:rPr>
        <w:t xml:space="preserve">This is a natural coupling of contact area growth with indentation rate — which is exactly the combination originally sought. dA/dt is also biologically motivated: a CT terminal is 'encountered' by the advancing contact boundary, so dA/dt represents the rate at which new receptor terminals enter the contact zone.</w:t>
      </w:r>
    </w:p>
    <w:p>
      <w:pPr>
        <w:spacing w:before="200" w:after="80"/>
      </w:pPr>
      <w:r>
        <w:rPr>
          <w:rFonts w:ascii="Arial" w:cs="Arial" w:eastAsia="Arial" w:hAnsi="Arial"/>
          <w:b/>
          <w:bCs/>
          <w:color w:val="2C7DA0"/>
          <w:sz w:val="24"/>
          <w:szCs w:val="24"/>
        </w:rPr>
        <w:t xml:space="preserve">Skin strain velocity — the Edin framework</w:t>
      </w:r>
    </w:p>
    <w:p>
      <w:pPr>
        <w:spacing w:before="60" w:after="80"/>
      </w:pPr>
      <w:r>
        <w:rPr>
          <w:rFonts w:ascii="Arial" w:cs="Arial" w:eastAsia="Arial" w:hAnsi="Arial"/>
          <w:sz w:val="22"/>
          <w:szCs w:val="22"/>
        </w:rPr>
        <w:t xml:space="preserve">Skin strain velocity has a profound effect on the discharge rates of all afferent classes. Peak discharge rates of 50–95 impulses/s were observed at the highest strain velocities studied (Edin, 2004), and response onset variation approached 1 ms for strain velocities above 8%/s. Edin's framework expresses stimulus intensity as percent strain per second — a dimensionless rate that is directly comparable across skin sites, individuals, and stimulus geometries. This is the cleanest bridge between macroscopic measurement and classical microneurography literature.</w:t>
      </w:r>
    </w:p>
    <w:p>
      <w:pPr>
        <w:spacing w:before="200" w:after="80"/>
      </w:pPr>
      <w:r>
        <w:rPr>
          <w:rFonts w:ascii="Arial" w:cs="Arial" w:eastAsia="Arial" w:hAnsi="Arial"/>
          <w:b/>
          <w:bCs/>
          <w:color w:val="2C7DA0"/>
          <w:sz w:val="24"/>
          <w:szCs w:val="24"/>
        </w:rPr>
        <w:t xml:space="preserve">Von Mises stress — receptor-specific</w:t>
      </w:r>
    </w:p>
    <w:p>
      <w:pPr>
        <w:spacing w:before="60" w:after="80"/>
      </w:pPr>
      <w:r>
        <w:rPr>
          <w:rFonts w:ascii="Arial" w:cs="Arial" w:eastAsia="Arial" w:hAnsi="Arial"/>
          <w:sz w:val="22"/>
          <w:szCs w:val="22"/>
        </w:rPr>
        <w:t xml:space="preserve">Merkel discs are particularly sensitive to deviatoric (Von Mises) stresses and strain energy density, while Meissner corpuscles are more responsive to stretch and deformation (Jobanputra et al., 2020). This implies the 'correct' mechanical variable is receptor-dependent. For CT afferents specifically — associated with hair follicles and sitting very superficially — strain at the epidermal level, particularly lateral stretch, is likely most relevant.</w:t>
      </w:r>
    </w:p>
    <w:p>
      <w:pPr>
        <w:pStyle w:val="Heading2"/>
        <w:spacing w:before="280" w:after="100"/>
      </w:pPr>
      <w:r>
        <w:rPr>
          <w:rFonts w:ascii="Arial" w:cs="Arial" w:eastAsia="Arial" w:hAnsi="Arial"/>
          <w:b/>
          <w:bCs/>
          <w:color w:val="1E5C78"/>
          <w:sz w:val="26"/>
          <w:szCs w:val="26"/>
        </w:rPr>
        <w:t xml:space="preserve">2.3  Candidate Composite Variables — Ranked Analysis</w:t>
      </w:r>
    </w:p>
    <w:p>
      <w:pPr>
        <w:spacing w:before="40" w:after="4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800"/>
        <w:gridCol w:w="1400"/>
        <w:gridCol w:w="2100"/>
      </w:tblGrid>
      <w:tr>
        <w:tc>
          <w:tcPr>
            <w:tcW w:type="dxa" w:w="1400"/>
            <w:tcBorders>
              <w:top w:val="single" w:color="8AAFC0" w:sz="1"/>
              <w:left w:val="single" w:color="8AAFC0" w:sz="1"/>
              <w:bottom w:val="single" w:color="8AAFC0" w:sz="1"/>
              <w:right w:val="single" w:color="8AAFC0" w:sz="1"/>
            </w:tcBorders>
            <w:shd w:fill="D0E8F5" w:val="clear"/>
            <w:tcMar>
              <w:top w:type="dxa" w:w="80"/>
              <w:left w:type="dxa" w:w="120"/>
              <w:bottom w:type="dxa" w:w="80"/>
              <w:right w:type="dxa" w:w="120"/>
            </w:tcMar>
          </w:tcPr>
          <w:p>
            <w:r>
              <w:rPr>
                <w:rFonts w:ascii="Arial" w:cs="Arial" w:eastAsia="Arial" w:hAnsi="Arial"/>
                <w:b/>
                <w:bCs/>
                <w:color w:val="1A3A4A"/>
                <w:sz w:val="20"/>
                <w:szCs w:val="20"/>
              </w:rPr>
              <w:t xml:space="preserve">Variable</w:t>
            </w:r>
          </w:p>
        </w:tc>
        <w:tc>
          <w:tcPr>
            <w:tcW w:type="dxa" w:w="1400"/>
            <w:tcBorders>
              <w:top w:val="single" w:color="8AAFC0" w:sz="1"/>
              <w:left w:val="single" w:color="8AAFC0" w:sz="1"/>
              <w:bottom w:val="single" w:color="8AAFC0" w:sz="1"/>
              <w:right w:val="single" w:color="8AAFC0" w:sz="1"/>
            </w:tcBorders>
            <w:shd w:fill="D0E8F5" w:val="clear"/>
            <w:tcMar>
              <w:top w:type="dxa" w:w="80"/>
              <w:left w:type="dxa" w:w="120"/>
              <w:bottom w:type="dxa" w:w="80"/>
              <w:right w:type="dxa" w:w="120"/>
            </w:tcMar>
          </w:tcPr>
          <w:p>
            <w:r>
              <w:rPr>
                <w:rFonts w:ascii="Arial" w:cs="Arial" w:eastAsia="Arial" w:hAnsi="Arial"/>
                <w:b/>
                <w:bCs/>
                <w:color w:val="1A3A4A"/>
                <w:sz w:val="20"/>
                <w:szCs w:val="20"/>
              </w:rPr>
              <w:t xml:space="preserve">Formula / Units</w:t>
            </w:r>
          </w:p>
        </w:tc>
        <w:tc>
          <w:tcPr>
            <w:tcW w:type="dxa" w:w="2800"/>
            <w:tcBorders>
              <w:top w:val="single" w:color="8AAFC0" w:sz="1"/>
              <w:left w:val="single" w:color="8AAFC0" w:sz="1"/>
              <w:bottom w:val="single" w:color="8AAFC0" w:sz="1"/>
              <w:right w:val="single" w:color="8AAFC0" w:sz="1"/>
            </w:tcBorders>
            <w:shd w:fill="D0E8F5" w:val="clear"/>
            <w:tcMar>
              <w:top w:type="dxa" w:w="80"/>
              <w:left w:type="dxa" w:w="120"/>
              <w:bottom w:type="dxa" w:w="80"/>
              <w:right w:type="dxa" w:w="120"/>
            </w:tcMar>
          </w:tcPr>
          <w:p>
            <w:r>
              <w:rPr>
                <w:rFonts w:ascii="Arial" w:cs="Arial" w:eastAsia="Arial" w:hAnsi="Arial"/>
                <w:b/>
                <w:bCs/>
                <w:color w:val="1A3A4A"/>
                <w:sz w:val="20"/>
                <w:szCs w:val="20"/>
              </w:rPr>
              <w:t xml:space="preserve">What It Captures</w:t>
            </w:r>
          </w:p>
        </w:tc>
        <w:tc>
          <w:tcPr>
            <w:tcW w:type="dxa" w:w="1400"/>
            <w:tcBorders>
              <w:top w:val="single" w:color="8AAFC0" w:sz="1"/>
              <w:left w:val="single" w:color="8AAFC0" w:sz="1"/>
              <w:bottom w:val="single" w:color="8AAFC0" w:sz="1"/>
              <w:right w:val="single" w:color="8AAFC0" w:sz="1"/>
            </w:tcBorders>
            <w:shd w:fill="D0E8F5" w:val="clear"/>
            <w:tcMar>
              <w:top w:type="dxa" w:w="80"/>
              <w:left w:type="dxa" w:w="120"/>
              <w:bottom w:type="dxa" w:w="80"/>
              <w:right w:type="dxa" w:w="120"/>
            </w:tcMar>
          </w:tcPr>
          <w:p>
            <w:r>
              <w:rPr>
                <w:rFonts w:ascii="Arial" w:cs="Arial" w:eastAsia="Arial" w:hAnsi="Arial"/>
                <w:b/>
                <w:bCs/>
                <w:color w:val="1A3A4A"/>
                <w:sz w:val="20"/>
                <w:szCs w:val="20"/>
              </w:rPr>
              <w:t xml:space="preserve">Measurable?</w:t>
            </w:r>
          </w:p>
        </w:tc>
        <w:tc>
          <w:tcPr>
            <w:tcW w:type="dxa" w:w="2100"/>
            <w:tcBorders>
              <w:top w:val="single" w:color="8AAFC0" w:sz="1"/>
              <w:left w:val="single" w:color="8AAFC0" w:sz="1"/>
              <w:bottom w:val="single" w:color="8AAFC0" w:sz="1"/>
              <w:right w:val="single" w:color="8AAFC0" w:sz="1"/>
            </w:tcBorders>
            <w:shd w:fill="D0E8F5" w:val="clear"/>
            <w:tcMar>
              <w:top w:type="dxa" w:w="80"/>
              <w:left w:type="dxa" w:w="120"/>
              <w:bottom w:type="dxa" w:w="80"/>
              <w:right w:type="dxa" w:w="120"/>
            </w:tcMar>
          </w:tcPr>
          <w:p>
            <w:r>
              <w:rPr>
                <w:rFonts w:ascii="Arial" w:cs="Arial" w:eastAsia="Arial" w:hAnsi="Arial"/>
                <w:b/>
                <w:bCs/>
                <w:color w:val="1A3A4A"/>
                <w:sz w:val="20"/>
                <w:szCs w:val="20"/>
              </w:rPr>
              <w:t xml:space="preserve">Key Limitation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dA/dt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cm²/s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Dynamic expansion of contact — couples area, depth &amp; velocity through contact mechanics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Yes (pressure film + video)</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Ignores absolute static depth</w:t>
            </w:r>
          </w:p>
        </w:tc>
      </w:tr>
      <w:tr>
        <w:tc>
          <w:tcPr>
            <w:tcW w:type="dxa" w:w="1400"/>
            <w:tcBorders>
              <w:top w:val="single" w:color="CCCCCC" w:sz="1"/>
              <w:left w:val="single" w:color="CCCCCC" w:sz="1"/>
              <w:bottom w:val="single" w:color="CCCCCC" w:sz="1"/>
              <w:right w:val="single" w:color="CCCCCC" w:sz="1"/>
            </w:tcBorders>
            <w:shd w:fill="F7FBFD" w:val="clear"/>
            <w:tcMar>
              <w:top w:type="dxa" w:w="80"/>
              <w:left w:type="dxa" w:w="120"/>
              <w:bottom w:type="dxa" w:w="80"/>
              <w:right w:type="dxa" w:w="120"/>
            </w:tcMar>
          </w:tcPr>
          <w:p>
            <w:r>
              <w:rPr>
                <w:rFonts w:ascii="Arial" w:cs="Arial" w:eastAsia="Arial" w:hAnsi="Arial"/>
                <w:b w:val="false"/>
                <w:bCs w:val="false"/>
                <w:color w:val="222222"/>
                <w:sz w:val="20"/>
                <w:szCs w:val="20"/>
              </w:rPr>
              <w:t xml:space="preserve">Strain rate (ε̇)</w:t>
            </w:r>
          </w:p>
        </w:tc>
        <w:tc>
          <w:tcPr>
            <w:tcW w:type="dxa" w:w="1400"/>
            <w:tcBorders>
              <w:top w:val="single" w:color="CCCCCC" w:sz="1"/>
              <w:left w:val="single" w:color="CCCCCC" w:sz="1"/>
              <w:bottom w:val="single" w:color="CCCCCC" w:sz="1"/>
              <w:right w:val="single" w:color="CCCCCC" w:sz="1"/>
            </w:tcBorders>
            <w:shd w:fill="F7FBFD" w:val="clear"/>
            <w:tcMar>
              <w:top w:type="dxa" w:w="80"/>
              <w:left w:type="dxa" w:w="120"/>
              <w:bottom w:type="dxa" w:w="80"/>
              <w:right w:type="dxa" w:w="120"/>
            </w:tcMar>
          </w:tcPr>
          <w:p>
            <w:r>
              <w:rPr>
                <w:rFonts w:ascii="Arial" w:cs="Arial" w:eastAsia="Arial" w:hAnsi="Arial"/>
                <w:b w:val="false"/>
                <w:bCs w:val="false"/>
                <w:color w:val="222222"/>
                <w:sz w:val="20"/>
                <w:szCs w:val="20"/>
              </w:rPr>
              <w:t xml:space="preserve">dδ/dt / h  [s⁻¹]</w:t>
            </w:r>
          </w:p>
        </w:tc>
        <w:tc>
          <w:tcPr>
            <w:tcW w:type="dxa" w:w="2800"/>
            <w:tcBorders>
              <w:top w:val="single" w:color="CCCCCC" w:sz="1"/>
              <w:left w:val="single" w:color="CCCCCC" w:sz="1"/>
              <w:bottom w:val="single" w:color="CCCCCC" w:sz="1"/>
              <w:right w:val="single" w:color="CCCCCC" w:sz="1"/>
            </w:tcBorders>
            <w:shd w:fill="F7FBFD" w:val="clear"/>
            <w:tcMar>
              <w:top w:type="dxa" w:w="80"/>
              <w:left w:type="dxa" w:w="120"/>
              <w:bottom w:type="dxa" w:w="80"/>
              <w:right w:type="dxa" w:w="120"/>
            </w:tcMar>
          </w:tcPr>
          <w:p>
            <w:r>
              <w:rPr>
                <w:rFonts w:ascii="Arial" w:cs="Arial" w:eastAsia="Arial" w:hAnsi="Arial"/>
                <w:b w:val="false"/>
                <w:bCs w:val="false"/>
                <w:color w:val="222222"/>
                <w:sz w:val="20"/>
                <w:szCs w:val="20"/>
              </w:rPr>
              <w:t xml:space="preserve">Tissue compression rate, normalized by dermis thickness</w:t>
            </w:r>
          </w:p>
        </w:tc>
        <w:tc>
          <w:tcPr>
            <w:tcW w:type="dxa" w:w="1400"/>
            <w:tcBorders>
              <w:top w:val="single" w:color="CCCCCC" w:sz="1"/>
              <w:left w:val="single" w:color="CCCCCC" w:sz="1"/>
              <w:bottom w:val="single" w:color="CCCCCC" w:sz="1"/>
              <w:right w:val="single" w:color="CCCCCC" w:sz="1"/>
            </w:tcBorders>
            <w:shd w:fill="F7FBFD" w:val="clear"/>
            <w:tcMar>
              <w:top w:type="dxa" w:w="80"/>
              <w:left w:type="dxa" w:w="120"/>
              <w:bottom w:type="dxa" w:w="80"/>
              <w:right w:type="dxa" w:w="120"/>
            </w:tcMar>
          </w:tcPr>
          <w:p>
            <w:r>
              <w:rPr>
                <w:rFonts w:ascii="Arial" w:cs="Arial" w:eastAsia="Arial" w:hAnsi="Arial"/>
                <w:b w:val="false"/>
                <w:bCs w:val="false"/>
                <w:color w:val="222222"/>
                <w:sz w:val="20"/>
                <w:szCs w:val="20"/>
              </w:rPr>
              <w:t xml:space="preserve">Yes (indentation velocity + estimated h)</w:t>
            </w:r>
          </w:p>
        </w:tc>
        <w:tc>
          <w:tcPr>
            <w:tcW w:type="dxa" w:w="2100"/>
            <w:tcBorders>
              <w:top w:val="single" w:color="CCCCCC" w:sz="1"/>
              <w:left w:val="single" w:color="CCCCCC" w:sz="1"/>
              <w:bottom w:val="single" w:color="CCCCCC" w:sz="1"/>
              <w:right w:val="single" w:color="CCCCCC" w:sz="1"/>
            </w:tcBorders>
            <w:shd w:fill="F7FBFD" w:val="clear"/>
            <w:tcMar>
              <w:top w:type="dxa" w:w="80"/>
              <w:left w:type="dxa" w:w="120"/>
              <w:bottom w:type="dxa" w:w="80"/>
              <w:right w:type="dxa" w:w="120"/>
            </w:tcMar>
          </w:tcPr>
          <w:p>
            <w:r>
              <w:rPr>
                <w:rFonts w:ascii="Arial" w:cs="Arial" w:eastAsia="Arial" w:hAnsi="Arial"/>
                <w:b w:val="false"/>
                <w:bCs w:val="false"/>
                <w:color w:val="222222"/>
                <w:sz w:val="20"/>
                <w:szCs w:val="20"/>
              </w:rPr>
              <w:t xml:space="preserve">Ignores lateral strain spread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Pressure × velocity (P·v)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Pa·m/s = W/m²</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Mechanical power delivered per unit area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Partial (force sensor needed)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 poorly defined for compliant contact</w:t>
            </w:r>
          </w:p>
        </w:tc>
      </w:tr>
      <w:tr>
        <w:tc>
          <w:tcPr>
            <w:tcW w:type="dxa" w:w="1400"/>
            <w:tcBorders>
              <w:top w:val="single" w:color="CCCCCC" w:sz="1"/>
              <w:left w:val="single" w:color="CCCCCC" w:sz="1"/>
              <w:bottom w:val="single" w:color="CCCCCC" w:sz="1"/>
              <w:right w:val="single" w:color="CCCCCC" w:sz="1"/>
            </w:tcBorders>
            <w:shd w:fill="F7FBFD" w:val="clear"/>
            <w:tcMar>
              <w:top w:type="dxa" w:w="80"/>
              <w:left w:type="dxa" w:w="120"/>
              <w:bottom w:type="dxa" w:w="80"/>
              <w:right w:type="dxa" w:w="120"/>
            </w:tcMar>
          </w:tcPr>
          <w:p>
            <w:r>
              <w:rPr>
                <w:rFonts w:ascii="Arial" w:cs="Arial" w:eastAsia="Arial" w:hAnsi="Arial"/>
                <w:b w:val="false"/>
                <w:bCs w:val="false"/>
                <w:color w:val="222222"/>
                <w:sz w:val="20"/>
                <w:szCs w:val="20"/>
              </w:rPr>
              <w:t xml:space="preserve">Force rate (dF/dt)</w:t>
            </w:r>
          </w:p>
        </w:tc>
        <w:tc>
          <w:tcPr>
            <w:tcW w:type="dxa" w:w="1400"/>
            <w:tcBorders>
              <w:top w:val="single" w:color="CCCCCC" w:sz="1"/>
              <w:left w:val="single" w:color="CCCCCC" w:sz="1"/>
              <w:bottom w:val="single" w:color="CCCCCC" w:sz="1"/>
              <w:right w:val="single" w:color="CCCCCC" w:sz="1"/>
            </w:tcBorders>
            <w:shd w:fill="F7FBFD" w:val="clear"/>
            <w:tcMar>
              <w:top w:type="dxa" w:w="80"/>
              <w:left w:type="dxa" w:w="120"/>
              <w:bottom w:type="dxa" w:w="80"/>
              <w:right w:type="dxa" w:w="120"/>
            </w:tcMar>
          </w:tcPr>
          <w:p>
            <w:r>
              <w:rPr>
                <w:rFonts w:ascii="Arial" w:cs="Arial" w:eastAsia="Arial" w:hAnsi="Arial"/>
                <w:b w:val="false"/>
                <w:bCs w:val="false"/>
                <w:color w:val="222222"/>
                <w:sz w:val="20"/>
                <w:szCs w:val="20"/>
              </w:rPr>
              <w:t xml:space="preserve">N/s</w:t>
            </w:r>
          </w:p>
        </w:tc>
        <w:tc>
          <w:tcPr>
            <w:tcW w:type="dxa" w:w="2800"/>
            <w:tcBorders>
              <w:top w:val="single" w:color="CCCCCC" w:sz="1"/>
              <w:left w:val="single" w:color="CCCCCC" w:sz="1"/>
              <w:bottom w:val="single" w:color="CCCCCC" w:sz="1"/>
              <w:right w:val="single" w:color="CCCCCC" w:sz="1"/>
            </w:tcBorders>
            <w:shd w:fill="F7FBFD" w:val="clear"/>
            <w:tcMar>
              <w:top w:type="dxa" w:w="80"/>
              <w:left w:type="dxa" w:w="120"/>
              <w:bottom w:type="dxa" w:w="80"/>
              <w:right w:type="dxa" w:w="120"/>
            </w:tcMar>
          </w:tcPr>
          <w:p>
            <w:r>
              <w:rPr>
                <w:rFonts w:ascii="Arial" w:cs="Arial" w:eastAsia="Arial" w:hAnsi="Arial"/>
                <w:b w:val="false"/>
                <w:bCs w:val="false"/>
                <w:color w:val="222222"/>
                <w:sz w:val="20"/>
                <w:szCs w:val="20"/>
              </w:rPr>
              <w:t xml:space="preserve">Rate of force build-up — what RA afferents are most sensitive to</w:t>
            </w:r>
          </w:p>
        </w:tc>
        <w:tc>
          <w:tcPr>
            <w:tcW w:type="dxa" w:w="1400"/>
            <w:tcBorders>
              <w:top w:val="single" w:color="CCCCCC" w:sz="1"/>
              <w:left w:val="single" w:color="CCCCCC" w:sz="1"/>
              <w:bottom w:val="single" w:color="CCCCCC" w:sz="1"/>
              <w:right w:val="single" w:color="CCCCCC" w:sz="1"/>
            </w:tcBorders>
            <w:shd w:fill="F7FBFD" w:val="clear"/>
            <w:tcMar>
              <w:top w:type="dxa" w:w="80"/>
              <w:left w:type="dxa" w:w="120"/>
              <w:bottom w:type="dxa" w:w="80"/>
              <w:right w:type="dxa" w:w="120"/>
            </w:tcMar>
          </w:tcPr>
          <w:p>
            <w:r>
              <w:rPr>
                <w:rFonts w:ascii="Arial" w:cs="Arial" w:eastAsia="Arial" w:hAnsi="Arial"/>
                <w:b w:val="false"/>
                <w:bCs w:val="false"/>
                <w:color w:val="222222"/>
                <w:sz w:val="20"/>
                <w:szCs w:val="20"/>
              </w:rPr>
              <w:t xml:space="preserve">Yes (force sensor)</w:t>
            </w:r>
          </w:p>
        </w:tc>
        <w:tc>
          <w:tcPr>
            <w:tcW w:type="dxa" w:w="2100"/>
            <w:tcBorders>
              <w:top w:val="single" w:color="CCCCCC" w:sz="1"/>
              <w:left w:val="single" w:color="CCCCCC" w:sz="1"/>
              <w:bottom w:val="single" w:color="CCCCCC" w:sz="1"/>
              <w:right w:val="single" w:color="CCCCCC" w:sz="1"/>
            </w:tcBorders>
            <w:shd w:fill="F7FBFD" w:val="clear"/>
            <w:tcMar>
              <w:top w:type="dxa" w:w="80"/>
              <w:left w:type="dxa" w:w="120"/>
              <w:bottom w:type="dxa" w:w="80"/>
              <w:right w:type="dxa" w:w="120"/>
            </w:tcMar>
          </w:tcPr>
          <w:p>
            <w:r>
              <w:rPr>
                <w:rFonts w:ascii="Arial" w:cs="Arial" w:eastAsia="Arial" w:hAnsi="Arial"/>
                <w:b w:val="false"/>
                <w:bCs w:val="false"/>
                <w:color w:val="222222"/>
                <w:sz w:val="20"/>
                <w:szCs w:val="20"/>
              </w:rPr>
              <w:t xml:space="preserve">Collapses area &amp; depth; loses spatial info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dA/dt normalized by RF size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(dA/dt) / A_RF  [s⁻¹]</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Fraction of a CT receptive field swept per second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Yes (with literature RF values)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RF size varies 1–35 mm²; normalization uncertain</w:t>
            </w:r>
          </w:p>
        </w:tc>
      </w:tr>
    </w:tbl>
    <w:p>
      <w:pPr>
        <w:spacing w:before="40" w:after="40"/>
      </w:pPr>
      <w:r>
        <w:t xml:space="preserve"/>
      </w:r>
    </w:p>
    <w:p>
      <w:pPr>
        <w:pStyle w:val="Heading2"/>
        <w:spacing w:before="280" w:after="100"/>
      </w:pPr>
      <w:r>
        <w:rPr>
          <w:rFonts w:ascii="Arial" w:cs="Arial" w:eastAsia="Arial" w:hAnsi="Arial"/>
          <w:b/>
          <w:bCs/>
          <w:color w:val="1E5C78"/>
          <w:sz w:val="26"/>
          <w:szCs w:val="26"/>
        </w:rPr>
        <w:t xml:space="preserve">2.4  Recommended Approach: dA/dt as Y-axis</w:t>
      </w:r>
    </w:p>
    <w:p>
      <w:pPr>
        <w:spacing w:before="60" w:after="80"/>
      </w:pPr>
      <w:r>
        <w:rPr>
          <w:rFonts w:ascii="Arial" w:cs="Arial" w:eastAsia="Arial" w:hAnsi="Arial"/>
          <w:sz w:val="22"/>
          <w:szCs w:val="22"/>
        </w:rPr>
        <w:t xml:space="preserve">For a semi-controlled social touch experiment, the rate of contact area change (dA/dt) is the most practical and mechanically sound Y-axis candidate, for the following reasons:</w:t>
      </w:r>
    </w:p>
    <w:p>
      <w:pPr>
        <w:pStyle w:val="ListParagraph"/>
        <w:numPr>
          <w:ilvl w:val="0"/>
          <w:numId w:val="2"/>
        </w:numPr>
        <w:spacing w:before="40" w:after="40"/>
      </w:pPr>
      <w:r>
        <w:rPr>
          <w:rFonts w:ascii="Arial" w:cs="Arial" w:eastAsia="Arial" w:hAnsi="Arial"/>
          <w:sz w:val="22"/>
          <w:szCs w:val="22"/>
        </w:rPr>
        <w:t xml:space="preserve">Directly measurable with pressure-sensitive film and a camera</w:t>
      </w:r>
    </w:p>
    <w:p>
      <w:pPr>
        <w:pStyle w:val="ListParagraph"/>
        <w:numPr>
          <w:ilvl w:val="0"/>
          <w:numId w:val="2"/>
        </w:numPr>
        <w:spacing w:before="40" w:after="40"/>
      </w:pPr>
      <w:r>
        <w:rPr>
          <w:rFonts w:ascii="Arial" w:cs="Arial" w:eastAsia="Arial" w:hAnsi="Arial"/>
          <w:sz w:val="22"/>
          <w:szCs w:val="22"/>
        </w:rPr>
        <w:t xml:space="preserve">Inherently couples the three variables of interest: velocity drives dA/dt; depth sets steady-state contact area A; area growth encodes interaction geometry</w:t>
      </w:r>
    </w:p>
    <w:p>
      <w:pPr>
        <w:pStyle w:val="ListParagraph"/>
        <w:numPr>
          <w:ilvl w:val="0"/>
          <w:numId w:val="2"/>
        </w:numPr>
        <w:spacing w:before="40" w:after="40"/>
      </w:pPr>
      <w:r>
        <w:rPr>
          <w:rFonts w:ascii="Arial" w:cs="Arial" w:eastAsia="Arial" w:hAnsi="Arial"/>
          <w:sz w:val="22"/>
          <w:szCs w:val="22"/>
        </w:rPr>
        <w:t xml:space="preserve">Has the strongest existing empirical correlation with perceptual discriminability (Gerling et al., 2023)</w:t>
      </w:r>
    </w:p>
    <w:p>
      <w:pPr>
        <w:pStyle w:val="ListParagraph"/>
        <w:numPr>
          <w:ilvl w:val="0"/>
          <w:numId w:val="2"/>
        </w:numPr>
        <w:spacing w:before="40" w:after="40"/>
      </w:pPr>
      <w:r>
        <w:rPr>
          <w:rFonts w:ascii="Arial" w:cs="Arial" w:eastAsia="Arial" w:hAnsi="Arial"/>
          <w:sz w:val="22"/>
          <w:szCs w:val="22"/>
        </w:rPr>
        <w:t xml:space="preserve">Can be expressed in absolute units (cm²/s) with clear physical interpretation</w:t>
      </w:r>
    </w:p>
    <w:p>
      <w:pPr>
        <w:pStyle w:val="ListParagraph"/>
        <w:numPr>
          <w:ilvl w:val="0"/>
          <w:numId w:val="2"/>
        </w:numPr>
        <w:spacing w:before="40" w:after="40"/>
      </w:pPr>
      <w:r>
        <w:rPr>
          <w:rFonts w:ascii="Arial" w:cs="Arial" w:eastAsia="Arial" w:hAnsi="Arial"/>
          <w:sz w:val="22"/>
          <w:szCs w:val="22"/>
        </w:rPr>
        <w:t xml:space="preserve">Connects to CT afferent biology: the contact boundary advances at a rate that sweeps across receptor terminals — dA/dt is essentially the speed at which new terminals enter the active zone</w:t>
      </w:r>
    </w:p>
    <w:p>
      <w:pPr>
        <w:spacing w:before="60" w:after="80"/>
      </w:pPr>
      <w:r>
        <w:rPr>
          <w:rFonts w:ascii="Arial" w:cs="Arial" w:eastAsia="Arial" w:hAnsi="Arial"/>
          <w:sz w:val="22"/>
          <w:szCs w:val="22"/>
        </w:rPr>
        <w:t xml:space="preserve">The relationship between dA/dt and the original variables is approximately:</w:t>
      </w:r>
    </w:p>
    <w:p>
      <w:pPr>
        <w:shd w:fill="F0F5F8" w:val="clear"/>
        <w:spacing w:before="120" w:after="120"/>
        <w:jc w:val="center"/>
      </w:pPr>
      <w:r>
        <w:rPr>
          <w:rFonts w:ascii="Courier New" w:cs="Courier New" w:eastAsia="Courier New" w:hAnsi="Courier New"/>
          <w:b/>
          <w:bCs/>
          <w:color w:val="1A3A4A"/>
          <w:sz w:val="24"/>
          <w:szCs w:val="24"/>
        </w:rPr>
        <w:t xml:space="preserve">dA/dt  ≈  v · w_contact</w:t>
      </w:r>
    </w:p>
    <w:p>
      <w:pPr>
        <w:spacing w:before="60" w:after="80"/>
      </w:pPr>
      <w:r>
        <w:rPr>
          <w:rFonts w:ascii="Arial" w:cs="Arial" w:eastAsia="Arial" w:hAnsi="Arial"/>
          <w:sz w:val="22"/>
          <w:szCs w:val="22"/>
        </w:rPr>
        <w:t xml:space="preserve">where w_contact is the contact width of the fingertip in the stroke direction (~1.5–2 cm for a typical adult finger on a forearm). This makes dA/dt linearly proportional to stroke velocity for a given contact geometry, but non-linearly dependent on indentation depth through the Hertzian relationship A ~ δ^(3/2) for a spherical indenter on an elastic half-space. The threshold curve's shape over velocity is thus preserved but now grounded in a physically interpretable quantity.</w:t>
      </w:r>
    </w:p>
    <w:p>
      <w:pPr>
        <w:pStyle w:val="Heading2"/>
        <w:spacing w:before="280" w:after="100"/>
      </w:pPr>
      <w:r>
        <w:rPr>
          <w:rFonts w:ascii="Arial" w:cs="Arial" w:eastAsia="Arial" w:hAnsi="Arial"/>
          <w:b/>
          <w:bCs/>
          <w:color w:val="1E5C78"/>
          <w:sz w:val="26"/>
          <w:szCs w:val="26"/>
        </w:rPr>
        <w:t xml:space="preserve">2.5  Proposed Experimental Measurement Protocol</w:t>
      </w:r>
    </w:p>
    <w:p>
      <w:pPr>
        <w:spacing w:before="60" w:after="80"/>
      </w:pPr>
      <w:r>
        <w:rPr>
          <w:rFonts w:ascii="Arial" w:cs="Arial" w:eastAsia="Arial" w:hAnsi="Arial"/>
          <w:sz w:val="22"/>
          <w:szCs w:val="22"/>
        </w:rPr>
        <w:t xml:space="preserve">To fully reconstruct the threshold surface (rather than a single curve), two complementary control conditions are recommended:</w:t>
      </w:r>
    </w:p>
    <w:p>
      <w:pPr>
        <w:pStyle w:val="ListParagraph"/>
        <w:numPr>
          <w:ilvl w:val="0"/>
          <w:numId w:val="2"/>
        </w:numPr>
        <w:spacing w:before="40" w:after="40"/>
      </w:pPr>
      <w:r>
        <w:rPr>
          <w:rFonts w:ascii="Arial" w:cs="Arial" w:eastAsia="Arial" w:hAnsi="Arial"/>
          <w:sz w:val="22"/>
          <w:szCs w:val="22"/>
        </w:rPr>
        <w:t xml:space="preserve">Condition 1 — Speed fixed, force varied: fix stroke speed at several values (e.g., 1, 3, 6, 10, 20 cm/s) and vary normal force until a threshold response is detected at each speed. This reconstructs a classical force-depth threshold curve per speed.</w:t>
      </w:r>
    </w:p>
    <w:p>
      <w:pPr>
        <w:pStyle w:val="ListParagraph"/>
        <w:numPr>
          <w:ilvl w:val="0"/>
          <w:numId w:val="2"/>
        </w:numPr>
        <w:spacing w:before="40" w:after="40"/>
      </w:pPr>
      <w:r>
        <w:rPr>
          <w:rFonts w:ascii="Arial" w:cs="Arial" w:eastAsia="Arial" w:hAnsi="Arial"/>
          <w:sz w:val="22"/>
          <w:szCs w:val="22"/>
        </w:rPr>
        <w:t xml:space="preserve">Condition 2 — Force/depth fixed, speed varied: fix contact depth (via controlled normal force) and vary stroke speed. This is the original paradigm.</w:t>
      </w:r>
    </w:p>
    <w:p>
      <w:pPr>
        <w:spacing w:before="60" w:after="80"/>
      </w:pPr>
      <w:r>
        <w:rPr>
          <w:rFonts w:ascii="Arial" w:cs="Arial" w:eastAsia="Arial" w:hAnsi="Arial"/>
          <w:sz w:val="22"/>
          <w:szCs w:val="22"/>
        </w:rPr>
        <w:t xml:space="preserve">The crossing of these two threshold surfaces at different social contexts (stranger vs. partner, with vs. without eye contact) would then be directly mappable onto the CT vs. Aβ response literature — effectively building a 2D threshold surface equivalent to classical frequency–amplitude tuning surfaces.</w:t>
      </w:r>
    </w:p>
    <w:p>
      <w:pPr>
        <w:pStyle w:val="Heading1"/>
        <w:spacing w:before="360" w:after="120"/>
      </w:pPr>
      <w:r>
        <w:rPr>
          <w:rFonts w:ascii="Arial" w:cs="Arial" w:eastAsia="Arial" w:hAnsi="Arial"/>
          <w:b/>
          <w:bCs/>
          <w:color w:val="1A3A4A"/>
          <w:sz w:val="32"/>
          <w:szCs w:val="32"/>
        </w:rPr>
        <w:t xml:space="preserve">Part III — Key References</w:t>
      </w:r>
    </w:p>
    <w:p>
      <w:pPr>
        <w:spacing w:before="40"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tcBorders>
              <w:top w:val="single" w:color="8AAFC0" w:sz="1"/>
              <w:left w:val="single" w:color="8AAFC0" w:sz="1"/>
              <w:bottom w:val="single" w:color="8AAFC0" w:sz="1"/>
              <w:right w:val="single" w:color="8AAFC0" w:sz="1"/>
            </w:tcBorders>
            <w:shd w:fill="D0E8F5" w:val="clear"/>
            <w:tcMar>
              <w:top w:type="dxa" w:w="80"/>
              <w:left w:type="dxa" w:w="120"/>
              <w:bottom w:type="dxa" w:w="80"/>
              <w:right w:type="dxa" w:w="120"/>
            </w:tcMar>
          </w:tcPr>
          <w:p>
            <w:r>
              <w:rPr>
                <w:rFonts w:ascii="Arial" w:cs="Arial" w:eastAsia="Arial" w:hAnsi="Arial"/>
                <w:b/>
                <w:bCs/>
                <w:color w:val="1A3A4A"/>
                <w:sz w:val="20"/>
                <w:szCs w:val="20"/>
              </w:rPr>
              <w:t xml:space="preserve">Author(s) &amp; Year</w:t>
            </w:r>
          </w:p>
        </w:tc>
        <w:tc>
          <w:tcPr>
            <w:tcW w:type="dxa" w:w="6600"/>
            <w:tcBorders>
              <w:top w:val="single" w:color="8AAFC0" w:sz="1"/>
              <w:left w:val="single" w:color="8AAFC0" w:sz="1"/>
              <w:bottom w:val="single" w:color="8AAFC0" w:sz="1"/>
              <w:right w:val="single" w:color="8AAFC0" w:sz="1"/>
            </w:tcBorders>
            <w:shd w:fill="D0E8F5" w:val="clear"/>
            <w:tcMar>
              <w:top w:type="dxa" w:w="80"/>
              <w:left w:type="dxa" w:w="120"/>
              <w:bottom w:type="dxa" w:w="80"/>
              <w:right w:type="dxa" w:w="120"/>
            </w:tcMar>
          </w:tcPr>
          <w:p>
            <w:r>
              <w:rPr>
                <w:rFonts w:ascii="Arial" w:cs="Arial" w:eastAsia="Arial" w:hAnsi="Arial"/>
                <w:b/>
                <w:bCs/>
                <w:color w:val="1A3A4A"/>
                <w:sz w:val="20"/>
                <w:szCs w:val="20"/>
              </w:rPr>
              <w:t xml:space="preserve">Contribution / Relevance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Vallbo &amp; Johansson, 1979</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Seminal microneurography classification of Aβ afferents; establishes RF size and threshold norms</w:t>
            </w:r>
          </w:p>
        </w:tc>
      </w:tr>
      <w:tr>
        <w:tc>
          <w:tcPr>
            <w:tcW w:type="dxa" w:w="2400"/>
            <w:tcBorders>
              <w:top w:val="single" w:color="CCCCCC" w:sz="1"/>
              <w:left w:val="single" w:color="CCCCCC" w:sz="1"/>
              <w:bottom w:val="single" w:color="CCCCCC" w:sz="1"/>
              <w:right w:val="single" w:color="CCCCCC" w:sz="1"/>
            </w:tcBorders>
            <w:shd w:fill="F7FBFD" w:val="clear"/>
            <w:tcMar>
              <w:top w:type="dxa" w:w="80"/>
              <w:left w:type="dxa" w:w="120"/>
              <w:bottom w:type="dxa" w:w="80"/>
              <w:right w:type="dxa" w:w="120"/>
            </w:tcMar>
          </w:tcPr>
          <w:p>
            <w:r>
              <w:rPr>
                <w:rFonts w:ascii="Arial" w:cs="Arial" w:eastAsia="Arial" w:hAnsi="Arial"/>
                <w:b w:val="false"/>
                <w:bCs w:val="false"/>
                <w:color w:val="222222"/>
                <w:sz w:val="20"/>
                <w:szCs w:val="20"/>
              </w:rPr>
              <w:t xml:space="preserve">Löken et al., 2009</w:t>
            </w:r>
          </w:p>
        </w:tc>
        <w:tc>
          <w:tcPr>
            <w:tcW w:type="dxa" w:w="6600"/>
            <w:tcBorders>
              <w:top w:val="single" w:color="CCCCCC" w:sz="1"/>
              <w:left w:val="single" w:color="CCCCCC" w:sz="1"/>
              <w:bottom w:val="single" w:color="CCCCCC" w:sz="1"/>
              <w:right w:val="single" w:color="CCCCCC" w:sz="1"/>
            </w:tcBorders>
            <w:shd w:fill="F7FBFD" w:val="clear"/>
            <w:tcMar>
              <w:top w:type="dxa" w:w="80"/>
              <w:left w:type="dxa" w:w="120"/>
              <w:bottom w:type="dxa" w:w="80"/>
              <w:right w:type="dxa" w:w="120"/>
            </w:tcMar>
          </w:tcPr>
          <w:p>
            <w:r>
              <w:rPr>
                <w:rFonts w:ascii="Arial" w:cs="Arial" w:eastAsia="Arial" w:hAnsi="Arial"/>
                <w:b w:val="false"/>
                <w:bCs w:val="false"/>
                <w:color w:val="222222"/>
                <w:sz w:val="20"/>
                <w:szCs w:val="20"/>
              </w:rPr>
              <w:t xml:space="preserve">CT afferent velocity tuning — peak response 1–10 cm/s; correlation with pleasantness ratings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Wessberg et al., 2003</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CT receptive field mapping (1–35 mm², 1–9 hotspots); robotic scanning protocol</w:t>
            </w:r>
          </w:p>
        </w:tc>
      </w:tr>
      <w:tr>
        <w:tc>
          <w:tcPr>
            <w:tcW w:type="dxa" w:w="2400"/>
            <w:tcBorders>
              <w:top w:val="single" w:color="CCCCCC" w:sz="1"/>
              <w:left w:val="single" w:color="CCCCCC" w:sz="1"/>
              <w:bottom w:val="single" w:color="CCCCCC" w:sz="1"/>
              <w:right w:val="single" w:color="CCCCCC" w:sz="1"/>
            </w:tcBorders>
            <w:shd w:fill="F7FBFD" w:val="clear"/>
            <w:tcMar>
              <w:top w:type="dxa" w:w="80"/>
              <w:left w:type="dxa" w:w="120"/>
              <w:bottom w:type="dxa" w:w="80"/>
              <w:right w:type="dxa" w:w="120"/>
            </w:tcMar>
          </w:tcPr>
          <w:p>
            <w:r>
              <w:rPr>
                <w:rFonts w:ascii="Arial" w:cs="Arial" w:eastAsia="Arial" w:hAnsi="Arial"/>
                <w:b w:val="false"/>
                <w:bCs w:val="false"/>
                <w:color w:val="222222"/>
                <w:sz w:val="20"/>
                <w:szCs w:val="20"/>
              </w:rPr>
              <w:t xml:space="preserve">Edin, 2004</w:t>
            </w:r>
          </w:p>
        </w:tc>
        <w:tc>
          <w:tcPr>
            <w:tcW w:type="dxa" w:w="6600"/>
            <w:tcBorders>
              <w:top w:val="single" w:color="CCCCCC" w:sz="1"/>
              <w:left w:val="single" w:color="CCCCCC" w:sz="1"/>
              <w:bottom w:val="single" w:color="CCCCCC" w:sz="1"/>
              <w:right w:val="single" w:color="CCCCCC" w:sz="1"/>
            </w:tcBorders>
            <w:shd w:fill="F7FBFD" w:val="clear"/>
            <w:tcMar>
              <w:top w:type="dxa" w:w="80"/>
              <w:left w:type="dxa" w:w="120"/>
              <w:bottom w:type="dxa" w:w="80"/>
              <w:right w:type="dxa" w:w="120"/>
            </w:tcMar>
          </w:tcPr>
          <w:p>
            <w:r>
              <w:rPr>
                <w:rFonts w:ascii="Arial" w:cs="Arial" w:eastAsia="Arial" w:hAnsi="Arial"/>
                <w:b w:val="false"/>
                <w:bCs w:val="false"/>
                <w:color w:val="222222"/>
                <w:sz w:val="20"/>
                <w:szCs w:val="20"/>
              </w:rPr>
              <w:t xml:space="preserve">Strain velocity framework for SA/FA afferents; 1–64 %/s range; peak firing 50–95 imp/s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Talbot et al., 1968</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Vibrotactile frequency–amplitude tuning curves; RA optimal ~50 Hz; PC ~250 Hz</w:t>
            </w:r>
          </w:p>
        </w:tc>
      </w:tr>
      <w:tr>
        <w:tc>
          <w:tcPr>
            <w:tcW w:type="dxa" w:w="2400"/>
            <w:tcBorders>
              <w:top w:val="single" w:color="CCCCCC" w:sz="1"/>
              <w:left w:val="single" w:color="CCCCCC" w:sz="1"/>
              <w:bottom w:val="single" w:color="CCCCCC" w:sz="1"/>
              <w:right w:val="single" w:color="CCCCCC" w:sz="1"/>
            </w:tcBorders>
            <w:shd w:fill="F7FBFD" w:val="clear"/>
            <w:tcMar>
              <w:top w:type="dxa" w:w="80"/>
              <w:left w:type="dxa" w:w="120"/>
              <w:bottom w:type="dxa" w:w="80"/>
              <w:right w:type="dxa" w:w="120"/>
            </w:tcMar>
          </w:tcPr>
          <w:p>
            <w:r>
              <w:rPr>
                <w:rFonts w:ascii="Arial" w:cs="Arial" w:eastAsia="Arial" w:hAnsi="Arial"/>
                <w:b w:val="false"/>
                <w:bCs w:val="false"/>
                <w:color w:val="222222"/>
                <w:sz w:val="20"/>
                <w:szCs w:val="20"/>
              </w:rPr>
              <w:t xml:space="preserve">Hamasaki &amp; Iwamoto, 2019</w:t>
            </w:r>
          </w:p>
        </w:tc>
        <w:tc>
          <w:tcPr>
            <w:tcW w:type="dxa" w:w="6600"/>
            <w:tcBorders>
              <w:top w:val="single" w:color="CCCCCC" w:sz="1"/>
              <w:left w:val="single" w:color="CCCCCC" w:sz="1"/>
              <w:bottom w:val="single" w:color="CCCCCC" w:sz="1"/>
              <w:right w:val="single" w:color="CCCCCC" w:sz="1"/>
            </w:tcBorders>
            <w:shd w:fill="F7FBFD" w:val="clear"/>
            <w:tcMar>
              <w:top w:type="dxa" w:w="80"/>
              <w:left w:type="dxa" w:w="120"/>
              <w:bottom w:type="dxa" w:w="80"/>
              <w:right w:type="dxa" w:w="120"/>
            </w:tcMar>
          </w:tcPr>
          <w:p>
            <w:r>
              <w:rPr>
                <w:rFonts w:ascii="Arial" w:cs="Arial" w:eastAsia="Arial" w:hAnsi="Arial"/>
                <w:b w:val="false"/>
                <w:bCs w:val="false"/>
                <w:color w:val="222222"/>
                <w:sz w:val="20"/>
                <w:szCs w:val="20"/>
              </w:rPr>
              <w:t xml:space="preserve">SED and von Mises stress at mechanoreceptor depths correlated with firing rates (FE model)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Gerling et al. (IEEE TOH), 2023</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dA/dt as best predictor of softness discriminability across velocity and compliance conditions</w:t>
            </w:r>
          </w:p>
        </w:tc>
      </w:tr>
      <w:tr>
        <w:tc>
          <w:tcPr>
            <w:tcW w:type="dxa" w:w="2400"/>
            <w:tcBorders>
              <w:top w:val="single" w:color="CCCCCC" w:sz="1"/>
              <w:left w:val="single" w:color="CCCCCC" w:sz="1"/>
              <w:bottom w:val="single" w:color="CCCCCC" w:sz="1"/>
              <w:right w:val="single" w:color="CCCCCC" w:sz="1"/>
            </w:tcBorders>
            <w:shd w:fill="F7FBFD" w:val="clear"/>
            <w:tcMar>
              <w:top w:type="dxa" w:w="80"/>
              <w:left w:type="dxa" w:w="120"/>
              <w:bottom w:type="dxa" w:w="80"/>
              <w:right w:type="dxa" w:w="120"/>
            </w:tcMar>
          </w:tcPr>
          <w:p>
            <w:r>
              <w:rPr>
                <w:rFonts w:ascii="Arial" w:cs="Arial" w:eastAsia="Arial" w:hAnsi="Arial"/>
                <w:b w:val="false"/>
                <w:bCs w:val="false"/>
                <w:color w:val="222222"/>
                <w:sz w:val="20"/>
                <w:szCs w:val="20"/>
              </w:rPr>
              <w:t xml:space="preserve">Jobanputra et al., 2020</w:t>
            </w:r>
          </w:p>
        </w:tc>
        <w:tc>
          <w:tcPr>
            <w:tcW w:type="dxa" w:w="6600"/>
            <w:tcBorders>
              <w:top w:val="single" w:color="CCCCCC" w:sz="1"/>
              <w:left w:val="single" w:color="CCCCCC" w:sz="1"/>
              <w:bottom w:val="single" w:color="CCCCCC" w:sz="1"/>
              <w:right w:val="single" w:color="CCCCCC" w:sz="1"/>
            </w:tcBorders>
            <w:shd w:fill="F7FBFD" w:val="clear"/>
            <w:tcMar>
              <w:top w:type="dxa" w:w="80"/>
              <w:left w:type="dxa" w:w="120"/>
              <w:bottom w:type="dxa" w:w="80"/>
              <w:right w:type="dxa" w:w="120"/>
            </w:tcMar>
          </w:tcPr>
          <w:p>
            <w:r>
              <w:rPr>
                <w:rFonts w:ascii="Arial" w:cs="Arial" w:eastAsia="Arial" w:hAnsi="Arial"/>
                <w:b w:val="false"/>
                <w:bCs w:val="false"/>
                <w:color w:val="222222"/>
                <w:sz w:val="20"/>
                <w:szCs w:val="20"/>
              </w:rPr>
              <w:t xml:space="preserve">Age-related skin mechanics model; Merkel sensitive to Von Mises stress; Meissner to stretch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Ackerley et al., 2014</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CT afferent mechano-thermal tuning; optimal at skin temperature (~32°C), slow velocities</w:t>
            </w:r>
          </w:p>
        </w:tc>
      </w:tr>
      <w:tr>
        <w:tc>
          <w:tcPr>
            <w:tcW w:type="dxa" w:w="2400"/>
            <w:tcBorders>
              <w:top w:val="single" w:color="CCCCCC" w:sz="1"/>
              <w:left w:val="single" w:color="CCCCCC" w:sz="1"/>
              <w:bottom w:val="single" w:color="CCCCCC" w:sz="1"/>
              <w:right w:val="single" w:color="CCCCCC" w:sz="1"/>
            </w:tcBorders>
            <w:shd w:fill="F7FBFD" w:val="clear"/>
            <w:tcMar>
              <w:top w:type="dxa" w:w="80"/>
              <w:left w:type="dxa" w:w="120"/>
              <w:bottom w:type="dxa" w:w="80"/>
              <w:right w:type="dxa" w:w="120"/>
            </w:tcMar>
          </w:tcPr>
          <w:p>
            <w:r>
              <w:rPr>
                <w:rFonts w:ascii="Arial" w:cs="Arial" w:eastAsia="Arial" w:hAnsi="Arial"/>
                <w:b w:val="false"/>
                <w:bCs w:val="false"/>
                <w:color w:val="222222"/>
                <w:sz w:val="20"/>
                <w:szCs w:val="20"/>
              </w:rPr>
              <w:t xml:space="preserve">Gardner &amp; Palmer, 1990</w:t>
            </w:r>
          </w:p>
        </w:tc>
        <w:tc>
          <w:tcPr>
            <w:tcW w:type="dxa" w:w="6600"/>
            <w:tcBorders>
              <w:top w:val="single" w:color="CCCCCC" w:sz="1"/>
              <w:left w:val="single" w:color="CCCCCC" w:sz="1"/>
              <w:bottom w:val="single" w:color="CCCCCC" w:sz="1"/>
              <w:right w:val="single" w:color="CCCCCC" w:sz="1"/>
            </w:tcBorders>
            <w:shd w:fill="F7FBFD" w:val="clear"/>
            <w:tcMar>
              <w:top w:type="dxa" w:w="80"/>
              <w:left w:type="dxa" w:w="120"/>
              <w:bottom w:type="dxa" w:w="80"/>
              <w:right w:type="dxa" w:w="120"/>
            </w:tcMar>
          </w:tcPr>
          <w:p>
            <w:r>
              <w:rPr>
                <w:rFonts w:ascii="Arial" w:cs="Arial" w:eastAsia="Arial" w:hAnsi="Arial"/>
                <w:b w:val="false"/>
                <w:bCs w:val="false"/>
                <w:color w:val="222222"/>
                <w:sz w:val="20"/>
                <w:szCs w:val="20"/>
              </w:rPr>
              <w:t xml:space="preserve">Directional sensitivity of RA afferents; preferred activation sequence in skin scanning</w:t>
            </w:r>
          </w:p>
        </w:tc>
      </w:tr>
    </w:tbl>
    <w:p>
      <w:pPr>
        <w:spacing w:before="40" w:after="40"/>
      </w:pPr>
      <w:r>
        <w:t xml:space="preserve"/>
      </w:r>
    </w:p>
    <w:p>
      <w:pPr>
        <w:spacing w:before="40" w:after="40"/>
      </w:pPr>
      <w:r>
        <w:t xml:space="preserve"/>
      </w:r>
    </w:p>
    <w:p>
      <w:pPr>
        <w:spacing w:before="240" w:after="0"/>
        <w:jc w:val="center"/>
      </w:pPr>
      <w:r>
        <w:rPr>
          <w:rFonts w:ascii="Arial" w:cs="Arial" w:eastAsia="Arial" w:hAnsi="Arial"/>
          <w:i/>
          <w:iCs/>
          <w:color w:val="AAAAAA"/>
          <w:sz w:val="18"/>
          <w:szCs w:val="18"/>
        </w:rPr>
        <w:t xml:space="preserve">— end of document —</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Social Touch Experiment — Research Notes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3A4A"/>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1E5C7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2026-03-10T20:20:55.111Z</dcterms:created>
  <dcterms:modified xsi:type="dcterms:W3CDTF">2026-03-10T20:20:55.112Z</dcterms:modified>
</cp:coreProperties>
</file>

<file path=docProps/custom.xml><?xml version="1.0" encoding="utf-8"?>
<Properties xmlns="http://schemas.openxmlformats.org/officeDocument/2006/custom-properties" xmlns:vt="http://schemas.openxmlformats.org/officeDocument/2006/docPropsVTypes"/>
</file>