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DEFE" w14:textId="09B4080D" w:rsidR="007333E5" w:rsidRDefault="007333E5" w:rsidP="007333E5">
      <w:pPr>
        <w:pBdr>
          <w:top w:val="single" w:sz="4" w:space="1" w:color="auto"/>
          <w:left w:val="single" w:sz="4" w:space="4" w:color="auto"/>
          <w:bottom w:val="single" w:sz="4" w:space="1" w:color="auto"/>
          <w:right w:val="single" w:sz="4" w:space="4" w:color="auto"/>
        </w:pBdr>
        <w:jc w:val="center"/>
      </w:pPr>
      <w:r>
        <w:t>DESIGN PATTERN PROXY(Procuration)</w:t>
      </w:r>
    </w:p>
    <w:p w14:paraId="23CFE249" w14:textId="77777777" w:rsidR="007333E5" w:rsidRDefault="007333E5" w:rsidP="007333E5"/>
    <w:p w14:paraId="37E73885" w14:textId="4BA015A0" w:rsidR="00477D84" w:rsidRPr="00477D84" w:rsidRDefault="00272E5B" w:rsidP="00477D84">
      <w:pPr>
        <w:pStyle w:val="Paragraphedeliste"/>
        <w:numPr>
          <w:ilvl w:val="0"/>
          <w:numId w:val="1"/>
        </w:numPr>
        <w:rPr>
          <w:u w:val="single"/>
        </w:rPr>
      </w:pPr>
      <w:r>
        <w:rPr>
          <w:u w:val="single"/>
        </w:rPr>
        <w:t>Présentation du design pattern Proxy</w:t>
      </w:r>
    </w:p>
    <w:p w14:paraId="4EF5965D" w14:textId="77777777" w:rsidR="00477D84" w:rsidRPr="00A00E02" w:rsidRDefault="00477D84" w:rsidP="00477D84">
      <w:pPr>
        <w:jc w:val="both"/>
        <w:rPr>
          <w:rFonts w:ascii="PT Sans" w:hAnsi="PT Sans"/>
          <w:color w:val="444444"/>
          <w:shd w:val="clear" w:color="auto" w:fill="FFFFFF"/>
        </w:rPr>
      </w:pPr>
      <w:r w:rsidRPr="00A00E02">
        <w:rPr>
          <w:rFonts w:ascii="PT Sans" w:hAnsi="PT Sans"/>
          <w:color w:val="444444"/>
          <w:shd w:val="clear" w:color="auto" w:fill="FFFFFF"/>
        </w:rPr>
        <w:t>Patrons de structure</w:t>
      </w:r>
    </w:p>
    <w:p w14:paraId="5703FC5E" w14:textId="72723E8D" w:rsidR="00477D84" w:rsidRPr="00477D84" w:rsidRDefault="00477D84" w:rsidP="00477D84">
      <w:pPr>
        <w:jc w:val="both"/>
        <w:rPr>
          <w:rFonts w:ascii="PT Sans" w:hAnsi="PT Sans"/>
          <w:color w:val="444444"/>
          <w:shd w:val="clear" w:color="auto" w:fill="FFFFFF"/>
        </w:rPr>
      </w:pPr>
      <w:r w:rsidRPr="00A00E02">
        <w:rPr>
          <w:rFonts w:ascii="PT Sans" w:hAnsi="PT Sans"/>
          <w:color w:val="444444"/>
          <w:shd w:val="clear" w:color="auto" w:fill="FFFFFF"/>
        </w:rPr>
        <w:t>Les structural patterns sont des modèles prêts à l’emploi pour les relations entre les classes. L’objectif est de parvenir à une abstraction qui puisse également communiquer avec d’autres approches : programmation d’interfaces par mots-clés.</w:t>
      </w:r>
    </w:p>
    <w:p w14:paraId="2B06117F" w14:textId="662BEABD" w:rsidR="00A67FB3" w:rsidRDefault="00A67FB3" w:rsidP="00A67FB3">
      <w:pPr>
        <w:jc w:val="both"/>
        <w:rPr>
          <w:rFonts w:ascii="PT Sans" w:hAnsi="PT Sans"/>
          <w:color w:val="444444"/>
          <w:shd w:val="clear" w:color="auto" w:fill="FFFFFF"/>
        </w:rPr>
      </w:pPr>
      <w:r>
        <w:rPr>
          <w:rFonts w:ascii="PT Sans" w:hAnsi="PT Sans"/>
          <w:color w:val="444444"/>
          <w:shd w:val="clear" w:color="auto" w:fill="FFFFFF"/>
        </w:rPr>
        <w:t>Les patrons structurels vous guident pour assembler des objets et des classes en de plus grandes structures tout en gardant celles-ci flexibles et efficaces.</w:t>
      </w:r>
    </w:p>
    <w:p w14:paraId="23F20A7B" w14:textId="1C524A12" w:rsidR="007C3207" w:rsidRPr="007C3207" w:rsidRDefault="007C3207" w:rsidP="007C3207">
      <w:pPr>
        <w:jc w:val="both"/>
        <w:rPr>
          <w:rFonts w:ascii="PT Sans" w:hAnsi="PT Sans"/>
          <w:color w:val="444444"/>
          <w:shd w:val="clear" w:color="auto" w:fill="FFFFFF"/>
        </w:rPr>
      </w:pPr>
      <w:r w:rsidRPr="007C3207">
        <w:rPr>
          <w:rFonts w:ascii="PT Sans" w:hAnsi="PT Sans"/>
          <w:color w:val="444444"/>
          <w:shd w:val="clear" w:color="auto" w:fill="FFFFFF"/>
        </w:rPr>
        <w:t> Il en existe 7 et ils permettent de définir comment organiser nos objets.</w:t>
      </w:r>
      <w:r w:rsidR="004E6CAF">
        <w:rPr>
          <w:rFonts w:ascii="PT Sans" w:hAnsi="PT Sans"/>
          <w:color w:val="444444"/>
          <w:shd w:val="clear" w:color="auto" w:fill="FFFFFF"/>
        </w:rPr>
        <w:t> :</w:t>
      </w:r>
    </w:p>
    <w:p w14:paraId="7A074EF2" w14:textId="77777777" w:rsidR="007C3207" w:rsidRPr="007C3207" w:rsidRDefault="00000000" w:rsidP="007C3207">
      <w:pPr>
        <w:numPr>
          <w:ilvl w:val="0"/>
          <w:numId w:val="2"/>
        </w:numPr>
        <w:jc w:val="both"/>
        <w:rPr>
          <w:rFonts w:ascii="PT Sans" w:hAnsi="PT Sans"/>
          <w:color w:val="444444"/>
          <w:shd w:val="clear" w:color="auto" w:fill="FFFFFF"/>
        </w:rPr>
      </w:pPr>
      <w:hyperlink r:id="rId5" w:anchor="adapter" w:history="1">
        <w:r w:rsidR="007C3207" w:rsidRPr="007C3207">
          <w:rPr>
            <w:rStyle w:val="Lienhypertexte"/>
            <w:rFonts w:ascii="PT Sans" w:hAnsi="PT Sans"/>
            <w:shd w:val="clear" w:color="auto" w:fill="FFFFFF"/>
          </w:rPr>
          <w:t>Adapter</w:t>
        </w:r>
      </w:hyperlink>
    </w:p>
    <w:p w14:paraId="056C85AA" w14:textId="77777777" w:rsidR="007C3207" w:rsidRPr="007C3207" w:rsidRDefault="00000000" w:rsidP="007C3207">
      <w:pPr>
        <w:numPr>
          <w:ilvl w:val="0"/>
          <w:numId w:val="2"/>
        </w:numPr>
        <w:jc w:val="both"/>
        <w:rPr>
          <w:rFonts w:ascii="PT Sans" w:hAnsi="PT Sans"/>
          <w:color w:val="444444"/>
          <w:shd w:val="clear" w:color="auto" w:fill="FFFFFF"/>
        </w:rPr>
      </w:pPr>
      <w:hyperlink r:id="rId6" w:anchor="bridge" w:history="1">
        <w:r w:rsidR="007C3207" w:rsidRPr="007C3207">
          <w:rPr>
            <w:rStyle w:val="Lienhypertexte"/>
            <w:rFonts w:ascii="PT Sans" w:hAnsi="PT Sans"/>
            <w:shd w:val="clear" w:color="auto" w:fill="FFFFFF"/>
          </w:rPr>
          <w:t>Bridge</w:t>
        </w:r>
      </w:hyperlink>
    </w:p>
    <w:p w14:paraId="2F508607" w14:textId="77777777" w:rsidR="007C3207" w:rsidRPr="007C3207" w:rsidRDefault="00000000" w:rsidP="007C3207">
      <w:pPr>
        <w:numPr>
          <w:ilvl w:val="0"/>
          <w:numId w:val="2"/>
        </w:numPr>
        <w:jc w:val="both"/>
        <w:rPr>
          <w:rFonts w:ascii="PT Sans" w:hAnsi="PT Sans"/>
          <w:color w:val="444444"/>
          <w:shd w:val="clear" w:color="auto" w:fill="FFFFFF"/>
        </w:rPr>
      </w:pPr>
      <w:hyperlink r:id="rId7" w:anchor="composite" w:history="1">
        <w:r w:rsidR="007C3207" w:rsidRPr="007C3207">
          <w:rPr>
            <w:rStyle w:val="Lienhypertexte"/>
            <w:rFonts w:ascii="PT Sans" w:hAnsi="PT Sans"/>
            <w:shd w:val="clear" w:color="auto" w:fill="FFFFFF"/>
          </w:rPr>
          <w:t>Composite</w:t>
        </w:r>
      </w:hyperlink>
    </w:p>
    <w:p w14:paraId="3F328805" w14:textId="77777777" w:rsidR="007C3207" w:rsidRPr="007C3207" w:rsidRDefault="00000000" w:rsidP="007C3207">
      <w:pPr>
        <w:numPr>
          <w:ilvl w:val="0"/>
          <w:numId w:val="2"/>
        </w:numPr>
        <w:jc w:val="both"/>
        <w:rPr>
          <w:rFonts w:ascii="PT Sans" w:hAnsi="PT Sans"/>
          <w:color w:val="444444"/>
          <w:shd w:val="clear" w:color="auto" w:fill="FFFFFF"/>
        </w:rPr>
      </w:pPr>
      <w:hyperlink r:id="rId8" w:anchor="decorator" w:history="1">
        <w:proofErr w:type="spellStart"/>
        <w:r w:rsidR="007C3207" w:rsidRPr="007C3207">
          <w:rPr>
            <w:rStyle w:val="Lienhypertexte"/>
            <w:rFonts w:ascii="PT Sans" w:hAnsi="PT Sans"/>
            <w:shd w:val="clear" w:color="auto" w:fill="FFFFFF"/>
          </w:rPr>
          <w:t>Decorator</w:t>
        </w:r>
        <w:proofErr w:type="spellEnd"/>
      </w:hyperlink>
    </w:p>
    <w:p w14:paraId="1098FA9E" w14:textId="77777777" w:rsidR="007C3207" w:rsidRPr="007C3207" w:rsidRDefault="00000000" w:rsidP="007C3207">
      <w:pPr>
        <w:numPr>
          <w:ilvl w:val="0"/>
          <w:numId w:val="2"/>
        </w:numPr>
        <w:jc w:val="both"/>
        <w:rPr>
          <w:rFonts w:ascii="PT Sans" w:hAnsi="PT Sans"/>
          <w:color w:val="444444"/>
          <w:shd w:val="clear" w:color="auto" w:fill="FFFFFF"/>
        </w:rPr>
      </w:pPr>
      <w:hyperlink r:id="rId9" w:anchor="fa%C3%A7ade" w:history="1">
        <w:r w:rsidR="007C3207" w:rsidRPr="007C3207">
          <w:rPr>
            <w:rStyle w:val="Lienhypertexte"/>
            <w:rFonts w:ascii="PT Sans" w:hAnsi="PT Sans"/>
            <w:shd w:val="clear" w:color="auto" w:fill="FFFFFF"/>
          </w:rPr>
          <w:t>Façade</w:t>
        </w:r>
      </w:hyperlink>
    </w:p>
    <w:p w14:paraId="57D327DC" w14:textId="77777777" w:rsidR="007C3207" w:rsidRPr="007C3207" w:rsidRDefault="00000000" w:rsidP="007C3207">
      <w:pPr>
        <w:numPr>
          <w:ilvl w:val="0"/>
          <w:numId w:val="2"/>
        </w:numPr>
        <w:jc w:val="both"/>
        <w:rPr>
          <w:rFonts w:ascii="PT Sans" w:hAnsi="PT Sans"/>
          <w:color w:val="444444"/>
          <w:shd w:val="clear" w:color="auto" w:fill="FFFFFF"/>
        </w:rPr>
      </w:pPr>
      <w:hyperlink r:id="rId10" w:anchor="flyweight" w:history="1">
        <w:proofErr w:type="spellStart"/>
        <w:r w:rsidR="007C3207" w:rsidRPr="007C3207">
          <w:rPr>
            <w:rStyle w:val="Lienhypertexte"/>
            <w:rFonts w:ascii="PT Sans" w:hAnsi="PT Sans"/>
            <w:shd w:val="clear" w:color="auto" w:fill="FFFFFF"/>
          </w:rPr>
          <w:t>Flyweight</w:t>
        </w:r>
        <w:proofErr w:type="spellEnd"/>
      </w:hyperlink>
    </w:p>
    <w:p w14:paraId="0058FB7B" w14:textId="42E6F7A6" w:rsidR="007C3207" w:rsidRPr="00093EC3" w:rsidRDefault="00000000" w:rsidP="00A67FB3">
      <w:pPr>
        <w:numPr>
          <w:ilvl w:val="0"/>
          <w:numId w:val="2"/>
        </w:numPr>
        <w:jc w:val="both"/>
        <w:rPr>
          <w:rFonts w:ascii="PT Sans" w:hAnsi="PT Sans"/>
          <w:color w:val="444444"/>
          <w:shd w:val="clear" w:color="auto" w:fill="FFFFFF"/>
        </w:rPr>
      </w:pPr>
      <w:hyperlink r:id="rId11" w:anchor="proxy" w:history="1">
        <w:r w:rsidR="007C3207" w:rsidRPr="007C3207">
          <w:rPr>
            <w:rStyle w:val="Lienhypertexte"/>
            <w:rFonts w:ascii="PT Sans" w:hAnsi="PT Sans"/>
            <w:shd w:val="clear" w:color="auto" w:fill="FFFFFF"/>
          </w:rPr>
          <w:t>Proxy</w:t>
        </w:r>
      </w:hyperlink>
    </w:p>
    <w:p w14:paraId="298907BE" w14:textId="77777777" w:rsidR="004E6CAF" w:rsidRDefault="004E6CAF" w:rsidP="004E6CAF">
      <w:pPr>
        <w:jc w:val="both"/>
        <w:rPr>
          <w:rFonts w:ascii="PT Sans" w:hAnsi="PT Sans"/>
          <w:color w:val="444444"/>
          <w:shd w:val="clear" w:color="auto" w:fill="FFFFFF"/>
        </w:rPr>
      </w:pPr>
      <w:r w:rsidRPr="004E6CAF">
        <w:rPr>
          <w:rFonts w:ascii="PT Sans" w:hAnsi="PT Sans"/>
          <w:color w:val="444444"/>
          <w:shd w:val="clear" w:color="auto" w:fill="FFFFFF"/>
        </w:rPr>
        <w:t xml:space="preserve">Un proxy est une classe utilisée à la place d’une autre classe. Contrairement au pattern Adapter, le pattern Proxy va proposer une classe de substitution lorsque la classe réelle n’est pas directement utilisable. Proxy peut donc affecter le comportement, mais pas l’interface. C’est pour cela que la classe réelle va elle aussi implémenter l’interface </w:t>
      </w:r>
      <w:proofErr w:type="spellStart"/>
      <w:r w:rsidRPr="004E6CAF">
        <w:rPr>
          <w:rFonts w:ascii="PT Sans" w:hAnsi="PT Sans"/>
          <w:color w:val="444444"/>
          <w:shd w:val="clear" w:color="auto" w:fill="FFFFFF"/>
        </w:rPr>
        <w:t>IProxy</w:t>
      </w:r>
      <w:proofErr w:type="spellEnd"/>
      <w:r w:rsidRPr="004E6CAF">
        <w:rPr>
          <w:rFonts w:ascii="PT Sans" w:hAnsi="PT Sans"/>
          <w:color w:val="444444"/>
          <w:shd w:val="clear" w:color="auto" w:fill="FFFFFF"/>
        </w:rPr>
        <w:t>.</w:t>
      </w:r>
    </w:p>
    <w:p w14:paraId="34C5B199" w14:textId="77777777" w:rsidR="00107557" w:rsidRDefault="00107557" w:rsidP="004E6CAF">
      <w:pPr>
        <w:jc w:val="both"/>
        <w:rPr>
          <w:rFonts w:ascii="PT Sans" w:hAnsi="PT Sans"/>
          <w:color w:val="444444"/>
          <w:shd w:val="clear" w:color="auto" w:fill="FFFFFF"/>
        </w:rPr>
      </w:pPr>
    </w:p>
    <w:p w14:paraId="35E7C34C" w14:textId="69CCE0C9" w:rsidR="00107557" w:rsidRPr="00107557" w:rsidRDefault="00107557" w:rsidP="00107557">
      <w:pPr>
        <w:pStyle w:val="Paragraphedeliste"/>
        <w:numPr>
          <w:ilvl w:val="0"/>
          <w:numId w:val="1"/>
        </w:numPr>
        <w:jc w:val="both"/>
        <w:rPr>
          <w:rFonts w:ascii="PT Sans" w:hAnsi="PT Sans"/>
          <w:color w:val="444444"/>
          <w:u w:val="single"/>
          <w:shd w:val="clear" w:color="auto" w:fill="FFFFFF"/>
        </w:rPr>
      </w:pPr>
      <w:r w:rsidRPr="00107557">
        <w:rPr>
          <w:rFonts w:ascii="PT Sans" w:hAnsi="PT Sans"/>
          <w:color w:val="444444"/>
          <w:u w:val="single"/>
          <w:shd w:val="clear" w:color="auto" w:fill="FFFFFF"/>
        </w:rPr>
        <w:t>Utilités et cas d’utilisation</w:t>
      </w:r>
    </w:p>
    <w:p w14:paraId="08FACB95" w14:textId="77777777" w:rsidR="004E6CAF" w:rsidRPr="004E6CAF" w:rsidRDefault="004E6CAF" w:rsidP="004E6CAF">
      <w:pPr>
        <w:jc w:val="both"/>
        <w:rPr>
          <w:rFonts w:ascii="PT Sans" w:hAnsi="PT Sans"/>
          <w:color w:val="444444"/>
          <w:shd w:val="clear" w:color="auto" w:fill="FFFFFF"/>
        </w:rPr>
      </w:pPr>
      <w:r w:rsidRPr="004E6CAF">
        <w:rPr>
          <w:rFonts w:ascii="PT Sans" w:hAnsi="PT Sans"/>
          <w:color w:val="444444"/>
          <w:shd w:val="clear" w:color="auto" w:fill="FFFFFF"/>
        </w:rPr>
        <w:t>Ce pattern est particulièrement utilisé dans les cas suivants :</w:t>
      </w:r>
    </w:p>
    <w:p w14:paraId="1860D884" w14:textId="77777777" w:rsidR="004E6CAF" w:rsidRPr="004E6CAF" w:rsidRDefault="004E6CAF" w:rsidP="004E6CAF">
      <w:pPr>
        <w:numPr>
          <w:ilvl w:val="0"/>
          <w:numId w:val="3"/>
        </w:numPr>
        <w:jc w:val="both"/>
        <w:rPr>
          <w:rFonts w:ascii="PT Sans" w:hAnsi="PT Sans"/>
          <w:color w:val="444444"/>
          <w:shd w:val="clear" w:color="auto" w:fill="FFFFFF"/>
        </w:rPr>
      </w:pPr>
      <w:r w:rsidRPr="004E6CAF">
        <w:rPr>
          <w:rFonts w:ascii="PT Sans" w:hAnsi="PT Sans"/>
          <w:color w:val="444444"/>
          <w:shd w:val="clear" w:color="auto" w:fill="FFFFFF"/>
        </w:rPr>
        <w:t>Accès à des objets distants (base de données, disque dur réseau…) et donc potentiellement inaccessibles.</w:t>
      </w:r>
    </w:p>
    <w:p w14:paraId="565EFB12" w14:textId="77777777" w:rsidR="004E6CAF" w:rsidRPr="004E6CAF" w:rsidRDefault="004E6CAF" w:rsidP="004E6CAF">
      <w:pPr>
        <w:numPr>
          <w:ilvl w:val="0"/>
          <w:numId w:val="3"/>
        </w:numPr>
        <w:jc w:val="both"/>
        <w:rPr>
          <w:rFonts w:ascii="PT Sans" w:hAnsi="PT Sans"/>
          <w:color w:val="444444"/>
          <w:shd w:val="clear" w:color="auto" w:fill="FFFFFF"/>
        </w:rPr>
      </w:pPr>
      <w:r w:rsidRPr="004E6CAF">
        <w:rPr>
          <w:rFonts w:ascii="PT Sans" w:hAnsi="PT Sans"/>
          <w:color w:val="444444"/>
          <w:shd w:val="clear" w:color="auto" w:fill="FFFFFF"/>
        </w:rPr>
        <w:t>Accès à des objets volumineux ou consommateur en ressources et devant être manipulé avec précaution.</w:t>
      </w:r>
    </w:p>
    <w:p w14:paraId="14D2C772" w14:textId="77777777" w:rsidR="004E6CAF" w:rsidRPr="004E6CAF" w:rsidRDefault="004E6CAF" w:rsidP="004E6CAF">
      <w:pPr>
        <w:numPr>
          <w:ilvl w:val="0"/>
          <w:numId w:val="3"/>
        </w:numPr>
        <w:jc w:val="both"/>
        <w:rPr>
          <w:rFonts w:ascii="PT Sans" w:hAnsi="PT Sans"/>
          <w:color w:val="444444"/>
          <w:shd w:val="clear" w:color="auto" w:fill="FFFFFF"/>
        </w:rPr>
      </w:pPr>
      <w:r w:rsidRPr="004E6CAF">
        <w:rPr>
          <w:rFonts w:ascii="PT Sans" w:hAnsi="PT Sans"/>
          <w:color w:val="444444"/>
          <w:shd w:val="clear" w:color="auto" w:fill="FFFFFF"/>
        </w:rPr>
        <w:t>Accès à des objets nécessitant des droits d’accès spécifiques.</w:t>
      </w:r>
    </w:p>
    <w:p w14:paraId="753A1516" w14:textId="77777777" w:rsidR="004E6CAF" w:rsidRPr="004E6CAF" w:rsidRDefault="004E6CAF" w:rsidP="004E6CAF">
      <w:pPr>
        <w:jc w:val="both"/>
        <w:rPr>
          <w:rFonts w:ascii="PT Sans" w:hAnsi="PT Sans"/>
          <w:color w:val="444444"/>
          <w:shd w:val="clear" w:color="auto" w:fill="FFFFFF"/>
        </w:rPr>
      </w:pPr>
      <w:r w:rsidRPr="004E6CAF">
        <w:rPr>
          <w:rFonts w:ascii="PT Sans" w:hAnsi="PT Sans"/>
          <w:color w:val="444444"/>
          <w:shd w:val="clear" w:color="auto" w:fill="FFFFFF"/>
        </w:rPr>
        <w:t>Proxy va donc permettre de gérer correctement le cycle de vie d’un service sans que le client ait besoin de s’en soucier.</w:t>
      </w:r>
    </w:p>
    <w:p w14:paraId="5047E16E" w14:textId="77777777" w:rsidR="004E6CAF" w:rsidRPr="004E6CAF" w:rsidRDefault="004E6CAF" w:rsidP="004E6CAF">
      <w:pPr>
        <w:jc w:val="both"/>
        <w:rPr>
          <w:rFonts w:ascii="PT Sans" w:hAnsi="PT Sans"/>
          <w:color w:val="444444"/>
          <w:shd w:val="clear" w:color="auto" w:fill="FFFFFF"/>
        </w:rPr>
      </w:pPr>
      <w:r w:rsidRPr="004E6CAF">
        <w:rPr>
          <w:rFonts w:ascii="PT Sans" w:hAnsi="PT Sans"/>
          <w:color w:val="444444"/>
          <w:shd w:val="clear" w:color="auto" w:fill="FFFFFF"/>
        </w:rPr>
        <w:t xml:space="preserve">Une illustration de la vie courante est le chèque (c’est valable aussi pour la carte bancaire) ! Un chèque et de l’espèce ont le même pouvoir (la même interface) de permettre de payer une tierce personne. Mais un chèque est un proxy pour une (grande) quantité d’espèces. C’est pratique pour </w:t>
      </w:r>
      <w:r w:rsidRPr="004E6CAF">
        <w:rPr>
          <w:rFonts w:ascii="PT Sans" w:hAnsi="PT Sans"/>
          <w:color w:val="444444"/>
          <w:shd w:val="clear" w:color="auto" w:fill="FFFFFF"/>
        </w:rPr>
        <w:lastRenderedPageBreak/>
        <w:t>le client qui peut éviter de se balader avec beaucoup d’argent liquide et c’est aussi pratique pour le vendeur qui peut facilement et à tout moment convertir son chèque en véritable argent liquide à la banque la plus proche.</w:t>
      </w:r>
    </w:p>
    <w:p w14:paraId="72A6D1B5" w14:textId="77777777" w:rsidR="004E6CAF" w:rsidRDefault="004E6CAF" w:rsidP="00A67FB3">
      <w:pPr>
        <w:jc w:val="both"/>
        <w:rPr>
          <w:rFonts w:ascii="PT Sans" w:hAnsi="PT Sans"/>
          <w:color w:val="444444"/>
          <w:shd w:val="clear" w:color="auto" w:fill="FFFFFF"/>
        </w:rPr>
      </w:pPr>
    </w:p>
    <w:p w14:paraId="50167075" w14:textId="77777777" w:rsidR="00A67FB3" w:rsidRPr="00A67FB3" w:rsidRDefault="00A67FB3" w:rsidP="00A67FB3">
      <w:pPr>
        <w:jc w:val="both"/>
        <w:rPr>
          <w:u w:val="single"/>
        </w:rPr>
      </w:pPr>
    </w:p>
    <w:p w14:paraId="29BF4C4F" w14:textId="706F0B1A" w:rsidR="00E50C7E" w:rsidRDefault="00E50C7E" w:rsidP="00B179C2">
      <w:pPr>
        <w:jc w:val="both"/>
        <w:rPr>
          <w:rFonts w:ascii="Arial" w:hAnsi="Arial" w:cs="Arial"/>
          <w:color w:val="000000"/>
          <w:spacing w:val="8"/>
          <w:shd w:val="clear" w:color="auto" w:fill="EEEEEE"/>
        </w:rPr>
      </w:pPr>
      <w:r>
        <w:rPr>
          <w:rFonts w:ascii="Arial" w:hAnsi="Arial" w:cs="Arial"/>
          <w:color w:val="000000"/>
          <w:spacing w:val="8"/>
          <w:shd w:val="clear" w:color="auto" w:fill="EEEEEE"/>
        </w:rPr>
        <w:t>Le Proxy Pattern permet de contrôler l'accès à un objet en fournissant un substitut ou un représentant de cet objet. Il peut être utilisé pour ajouter des fonctionnalités supplémentaires, telles que la mise en cache, la gestion des autorisations ou la gestion des appels réseau, sans modifier l'interface de l'objet d'origine. Ce pattern est souvent sous-estimé car il est considéré comme plus complexe à mettre en œuvre que d'autres patterns. Cependant, il offre une grande flexibilité et peut améliorer considérablement la modularité et la maintenabilité du code.</w:t>
      </w:r>
    </w:p>
    <w:p w14:paraId="25E73509" w14:textId="77777777" w:rsidR="00AF1393" w:rsidRDefault="00AF1393" w:rsidP="00B179C2">
      <w:pPr>
        <w:jc w:val="both"/>
        <w:rPr>
          <w:rFonts w:ascii="Arial" w:hAnsi="Arial" w:cs="Arial"/>
          <w:color w:val="000000"/>
          <w:spacing w:val="8"/>
          <w:shd w:val="clear" w:color="auto" w:fill="EEEEEE"/>
        </w:rPr>
      </w:pPr>
    </w:p>
    <w:p w14:paraId="11949552" w14:textId="796622CD" w:rsidR="00AF1393" w:rsidRPr="00AF1393" w:rsidRDefault="00AF1393" w:rsidP="00B179C2">
      <w:pPr>
        <w:jc w:val="both"/>
        <w:rPr>
          <w:rFonts w:ascii="Arial" w:hAnsi="Arial" w:cs="Arial"/>
          <w:color w:val="000000"/>
          <w:spacing w:val="8"/>
          <w:shd w:val="clear" w:color="auto" w:fill="EEEEEE"/>
        </w:rPr>
      </w:pPr>
      <w:r w:rsidRPr="00AF1393">
        <w:rPr>
          <w:rFonts w:ascii="Arial" w:hAnsi="Arial" w:cs="Arial"/>
          <w:color w:val="202122"/>
          <w:shd w:val="clear" w:color="auto" w:fill="FFFFFF"/>
        </w:rPr>
        <w:t>Un proxy est une classe se substituant à une autre classe. Par convention et simplicité, le proxy implémente la même interface que la classe à laquelle il se substitue. L'utilisation de ce proxy ajoute une indirection à l'utilisation de la classe à substituer. Le proxy sert à gérer l'accès à un objet, il agit comme un intermédiaire entre la classe utilisatrice et l'objet.</w:t>
      </w:r>
    </w:p>
    <w:p w14:paraId="5C01E039" w14:textId="77777777" w:rsidR="00E50C7E" w:rsidRDefault="00E50C7E" w:rsidP="00267339">
      <w:pPr>
        <w:rPr>
          <w:rFonts w:ascii="Arial" w:hAnsi="Arial" w:cs="Arial"/>
          <w:color w:val="000000"/>
          <w:spacing w:val="8"/>
          <w:shd w:val="clear" w:color="auto" w:fill="EEEEEE"/>
        </w:rPr>
      </w:pPr>
    </w:p>
    <w:p w14:paraId="60F0C580" w14:textId="77777777" w:rsidR="00E50C7E" w:rsidRPr="007333E5" w:rsidRDefault="00E50C7E" w:rsidP="00267339"/>
    <w:sectPr w:rsidR="00E50C7E" w:rsidRPr="007333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5209"/>
    <w:multiLevelType w:val="multilevel"/>
    <w:tmpl w:val="E618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94012"/>
    <w:multiLevelType w:val="multilevel"/>
    <w:tmpl w:val="6EC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04540"/>
    <w:multiLevelType w:val="hybridMultilevel"/>
    <w:tmpl w:val="A0B0EF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52897290">
    <w:abstractNumId w:val="2"/>
  </w:num>
  <w:num w:numId="2" w16cid:durableId="770323618">
    <w:abstractNumId w:val="1"/>
  </w:num>
  <w:num w:numId="3" w16cid:durableId="172760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E5"/>
    <w:rsid w:val="00093EC3"/>
    <w:rsid w:val="00107557"/>
    <w:rsid w:val="00267339"/>
    <w:rsid w:val="00272E5B"/>
    <w:rsid w:val="002B3503"/>
    <w:rsid w:val="004706D4"/>
    <w:rsid w:val="00477D84"/>
    <w:rsid w:val="004E6CAF"/>
    <w:rsid w:val="005C6DC7"/>
    <w:rsid w:val="007333E5"/>
    <w:rsid w:val="007C3207"/>
    <w:rsid w:val="00A00E02"/>
    <w:rsid w:val="00A67FB3"/>
    <w:rsid w:val="00AF1393"/>
    <w:rsid w:val="00B179C2"/>
    <w:rsid w:val="00E50C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47DB"/>
  <w15:chartTrackingRefBased/>
  <w15:docId w15:val="{F8DBE2EE-842E-438A-A529-4F51911E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7339"/>
    <w:pPr>
      <w:ind w:left="720"/>
      <w:contextualSpacing/>
    </w:pPr>
  </w:style>
  <w:style w:type="character" w:styleId="Lienhypertexte">
    <w:name w:val="Hyperlink"/>
    <w:basedOn w:val="Policepardfaut"/>
    <w:uiPriority w:val="99"/>
    <w:unhideWhenUsed/>
    <w:rsid w:val="007C3207"/>
    <w:rPr>
      <w:color w:val="0563C1" w:themeColor="hyperlink"/>
      <w:u w:val="single"/>
    </w:rPr>
  </w:style>
  <w:style w:type="character" w:styleId="Mentionnonrsolue">
    <w:name w:val="Unresolved Mention"/>
    <w:basedOn w:val="Policepardfaut"/>
    <w:uiPriority w:val="99"/>
    <w:semiHidden/>
    <w:unhideWhenUsed/>
    <w:rsid w:val="007C3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0002">
      <w:bodyDiv w:val="1"/>
      <w:marLeft w:val="0"/>
      <w:marRight w:val="0"/>
      <w:marTop w:val="0"/>
      <w:marBottom w:val="0"/>
      <w:divBdr>
        <w:top w:val="none" w:sz="0" w:space="0" w:color="auto"/>
        <w:left w:val="none" w:sz="0" w:space="0" w:color="auto"/>
        <w:bottom w:val="none" w:sz="0" w:space="0" w:color="auto"/>
        <w:right w:val="none" w:sz="0" w:space="0" w:color="auto"/>
      </w:divBdr>
    </w:div>
    <w:div w:id="509415085">
      <w:bodyDiv w:val="1"/>
      <w:marLeft w:val="0"/>
      <w:marRight w:val="0"/>
      <w:marTop w:val="0"/>
      <w:marBottom w:val="0"/>
      <w:divBdr>
        <w:top w:val="none" w:sz="0" w:space="0" w:color="auto"/>
        <w:left w:val="none" w:sz="0" w:space="0" w:color="auto"/>
        <w:bottom w:val="none" w:sz="0" w:space="0" w:color="auto"/>
        <w:right w:val="none" w:sz="0" w:space="0" w:color="auto"/>
      </w:divBdr>
    </w:div>
    <w:div w:id="979766184">
      <w:bodyDiv w:val="1"/>
      <w:marLeft w:val="0"/>
      <w:marRight w:val="0"/>
      <w:marTop w:val="0"/>
      <w:marBottom w:val="0"/>
      <w:divBdr>
        <w:top w:val="none" w:sz="0" w:space="0" w:color="auto"/>
        <w:left w:val="none" w:sz="0" w:space="0" w:color="auto"/>
        <w:bottom w:val="none" w:sz="0" w:space="0" w:color="auto"/>
        <w:right w:val="none" w:sz="0" w:space="0" w:color="auto"/>
      </w:divBdr>
      <w:divsChild>
        <w:div w:id="464860702">
          <w:marLeft w:val="0"/>
          <w:marRight w:val="0"/>
          <w:marTop w:val="0"/>
          <w:marBottom w:val="375"/>
          <w:divBdr>
            <w:top w:val="none" w:sz="0" w:space="0" w:color="auto"/>
            <w:left w:val="none" w:sz="0" w:space="0" w:color="auto"/>
            <w:bottom w:val="none" w:sz="0" w:space="0" w:color="auto"/>
            <w:right w:val="none" w:sz="0" w:space="0" w:color="auto"/>
          </w:divBdr>
          <w:divsChild>
            <w:div w:id="15146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529">
      <w:bodyDiv w:val="1"/>
      <w:marLeft w:val="0"/>
      <w:marRight w:val="0"/>
      <w:marTop w:val="0"/>
      <w:marBottom w:val="0"/>
      <w:divBdr>
        <w:top w:val="none" w:sz="0" w:space="0" w:color="auto"/>
        <w:left w:val="none" w:sz="0" w:space="0" w:color="auto"/>
        <w:bottom w:val="none" w:sz="0" w:space="0" w:color="auto"/>
        <w:right w:val="none" w:sz="0" w:space="0" w:color="auto"/>
      </w:divBdr>
    </w:div>
    <w:div w:id="20126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ceret-matthieu.fr/2019/03/les-design-patterns-structural-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ceret-matthieu.fr/2019/03/les-design-patterns-structural-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ceret-matthieu.fr/2019/03/les-design-patterns-structural-3/4/" TargetMode="External"/><Relationship Id="rId11" Type="http://schemas.openxmlformats.org/officeDocument/2006/relationships/hyperlink" Target="https://anceret-matthieu.fr/2019/03/les-design-patterns-structural-3/4/" TargetMode="External"/><Relationship Id="rId5" Type="http://schemas.openxmlformats.org/officeDocument/2006/relationships/hyperlink" Target="https://anceret-matthieu.fr/2019/03/les-design-patterns-structural-3/4/" TargetMode="External"/><Relationship Id="rId10" Type="http://schemas.openxmlformats.org/officeDocument/2006/relationships/hyperlink" Target="https://anceret-matthieu.fr/2019/03/les-design-patterns-structural-3/4/" TargetMode="External"/><Relationship Id="rId4" Type="http://schemas.openxmlformats.org/officeDocument/2006/relationships/webSettings" Target="webSettings.xml"/><Relationship Id="rId9" Type="http://schemas.openxmlformats.org/officeDocument/2006/relationships/hyperlink" Target="https://anceret-matthieu.fr/2019/03/les-design-patterns-structural-3/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560</Words>
  <Characters>3083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DERBAL Saïd</dc:creator>
  <cp:keywords/>
  <dc:description/>
  <cp:lastModifiedBy>Saïd</cp:lastModifiedBy>
  <cp:revision>3</cp:revision>
  <dcterms:created xsi:type="dcterms:W3CDTF">2024-01-17T11:11:00Z</dcterms:created>
  <dcterms:modified xsi:type="dcterms:W3CDTF">2024-01-18T15:49:00Z</dcterms:modified>
</cp:coreProperties>
</file>