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6260DC">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6260DC">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6260DC">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6260DC">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6260DC">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6260DC">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6260DC">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6260DC">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6260DC">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6260DC">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6260DC">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6260DC">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6260DC"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79B0C7F5" w:rsidR="00355460" w:rsidRPr="00E263EC" w:rsidRDefault="005F46B1"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6A991C7E" w:rsidR="00B66AF3" w:rsidRDefault="00451CAD" w:rsidP="00B66AF3">
          <w:r>
            <w:t>1.4.2 Proportion of people with legally recognized documentation of their rights to land out of total adult population [1.4.2] (SP_LGL_LNDDOC)</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0A4E81AB" w14:textId="77777777" w:rsidR="00CF4468" w:rsidRDefault="00CF4468" w:rsidP="00CF4468">
      <w:pPr>
        <w:spacing w:after="0"/>
        <w:rPr>
          <w:sz w:val="26"/>
          <w:szCs w:val="26"/>
        </w:rPr>
      </w:pPr>
      <w:r>
        <w:rPr>
          <w:sz w:val="26"/>
          <w:szCs w:val="26"/>
        </w:rPr>
        <w:t xml:space="preserve"> </w:t>
      </w:r>
    </w:p>
    <w:p w14:paraId="2858F551" w14:textId="77777777" w:rsidR="003A7445" w:rsidRDefault="003A7445" w:rsidP="003A7445">
      <w:pPr>
        <w:spacing w:after="0"/>
        <w:rPr>
          <w:sz w:val="26"/>
          <w:szCs w:val="26"/>
        </w:rPr>
      </w:pPr>
      <w:r>
        <w:rPr>
          <w:sz w:val="26"/>
          <w:szCs w:val="26"/>
        </w:rPr>
        <w:t xml:space="preserve"> </w:t>
      </w:r>
    </w:p>
    <w:p w14:paraId="65B015D4" w14:textId="77777777" w:rsidR="003A7445" w:rsidRDefault="003A7445" w:rsidP="003A7445">
      <w:pPr>
        <w:spacing w:after="0"/>
        <w:rPr>
          <w:sz w:val="26"/>
          <w:szCs w:val="26"/>
        </w:rPr>
      </w:pPr>
      <w:r>
        <w:rPr>
          <w:sz w:val="26"/>
          <w:szCs w:val="26"/>
        </w:rPr>
        <w:t xml:space="preserve"> </w:t>
      </w:r>
    </w:p>
    <w:sdt>
      <w:sdtPr>
        <w:alias w:val="SDG Series"/>
        <w:tag w:val="ddSeries"/>
        <w:id w:val="-730690100"/>
        <w:placeholder>
          <w:docPart w:val="2A08CCBFAA0F4B7C8A03E73B6B2B9440"/>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642466907" w:edGrp="everyone" w:displacedByCustomXml="prev"/>
        <w:p w14:paraId="7A55AD50" w14:textId="77E153BF" w:rsidR="00451CAD" w:rsidRDefault="00451CAD" w:rsidP="00451CAD">
          <w:r>
            <w:t>1.4.2 Proportion of people who perceive their rights to land as secure out of total adult population [1.4.2] (SP_LGL_LNDSEC)</w:t>
          </w:r>
        </w:p>
        <w:permEnd w:id="1642466907" w:displacedByCustomXml="next"/>
      </w:sdtContent>
    </w:sdt>
    <w:p w14:paraId="69ED2D58" w14:textId="77777777" w:rsidR="00451CAD" w:rsidRDefault="00451CAD" w:rsidP="00451CAD">
      <w:pPr>
        <w:spacing w:after="0"/>
        <w:rPr>
          <w:sz w:val="26"/>
          <w:szCs w:val="26"/>
        </w:rPr>
      </w:pPr>
      <w:r>
        <w:rPr>
          <w:sz w:val="26"/>
          <w:szCs w:val="26"/>
        </w:rPr>
        <w:t xml:space="preserve"> </w:t>
      </w:r>
    </w:p>
    <w:sdt>
      <w:sdtPr>
        <w:alias w:val="SDG Series"/>
        <w:tag w:val="ddSeries"/>
        <w:id w:val="1282154699"/>
        <w:placeholder>
          <w:docPart w:val="C6BDD154E87B468B88DEC505DED1F028"/>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730557397" w:edGrp="everyone" w:displacedByCustomXml="prev"/>
        <w:p w14:paraId="698FEB6A" w14:textId="623F002E" w:rsidR="00451CAD" w:rsidRDefault="005479CE" w:rsidP="00451CAD">
          <w:r>
            <w:t>1.4.2 Proportion of people with secure tenure rights to land out of total adult population [1.4.2] (SP_LGL_LNDSTR)</w:t>
          </w:r>
        </w:p>
        <w:permEnd w:id="1730557397" w:displacedByCustomXml="next"/>
      </w:sdtContent>
    </w:sdt>
    <w:p w14:paraId="10920868" w14:textId="77777777" w:rsidR="00451CAD" w:rsidRDefault="00451CAD" w:rsidP="00451CAD">
      <w:pPr>
        <w:spacing w:after="0"/>
        <w:rPr>
          <w:sz w:val="26"/>
          <w:szCs w:val="26"/>
        </w:rPr>
      </w:pPr>
      <w:r>
        <w:rPr>
          <w:sz w:val="26"/>
          <w:szCs w:val="26"/>
        </w:rPr>
        <w:t xml:space="preserve"> </w:t>
      </w:r>
    </w:p>
    <w:p w14:paraId="5106D9ED" w14:textId="6D327FDB" w:rsidR="00FD54D7" w:rsidRDefault="00FD54D7" w:rsidP="00451CAD">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5C67D29" w:rsidR="0077584C" w:rsidRDefault="0094389A"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754CBDA7" w:rsidR="00F7784D" w:rsidRDefault="0094389A"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3993B591"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lastRenderedPageBreak/>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F6B008B" w:rsidR="005377B9" w:rsidRPr="009F305C" w:rsidRDefault="00B8664E" w:rsidP="009F305C">
            <w:r w:rsidRPr="00B8664E">
              <w:rPr>
                <w:rFonts w:ascii="Calibri" w:hAnsi="Calibri" w:cs="Calibri"/>
                <w:color w:val="333333"/>
              </w:rPr>
              <w:t xml:space="preserve">0.a. </w:t>
            </w:r>
            <w:r w:rsidR="00FF3ECC">
              <w:rPr>
                <w:rFonts w:ascii="Calibri" w:hAnsi="Calibri" w:cs="Calibri"/>
                <w:color w:val="333333"/>
              </w:rPr>
              <w:t>Goal 1: End poverty in all its forms everywhere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64ED2681" w:rsidR="005377B9" w:rsidRPr="009F305C" w:rsidRDefault="00B8664E" w:rsidP="00FF3ECC">
            <w:pPr>
              <w:autoSpaceDE w:val="0"/>
              <w:autoSpaceDN w:val="0"/>
              <w:adjustRightInd w:val="0"/>
              <w:spacing w:after="0" w:line="240" w:lineRule="auto"/>
              <w:jc w:val="both"/>
            </w:pPr>
            <w:r w:rsidRPr="00B8664E">
              <w:rPr>
                <w:rFonts w:ascii="Calibri" w:hAnsi="Calibri" w:cs="Calibri"/>
                <w:color w:val="444444"/>
              </w:rPr>
              <w:t xml:space="preserve">0.b. </w:t>
            </w:r>
            <w:r w:rsidR="00FF3ECC">
              <w:rPr>
                <w:rFonts w:ascii="Calibri" w:hAnsi="Calibri" w:cs="Calibri"/>
                <w:color w:val="444444"/>
              </w:rPr>
              <w:t>Target 1.4: By 2030, ensure that all men and women, in particular the poor and the vulnerable, have equal rights to economic resources, as well as access to basic services, ownership and control over land and other forms of property, inheritance, natural resources, appropriate new technology and financial services, including microfinance</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3023205A" w:rsidR="005377B9" w:rsidRPr="009F305C" w:rsidRDefault="005479CE" w:rsidP="005479CE">
            <w:pPr>
              <w:jc w:val="both"/>
            </w:pPr>
            <w:r w:rsidRPr="005479CE">
              <w:rPr>
                <w:rFonts w:ascii="Calibri" w:hAnsi="Calibri" w:cs="Calibri"/>
                <w:color w:val="444444"/>
              </w:rPr>
              <w:t>0.c. Indicator 1.4.2: Proportion of total adult population (18 years and above) with secure tenure rights to land, (a) with</w:t>
            </w:r>
            <w:r w:rsidR="00B8664E">
              <w:rPr>
                <w:rFonts w:ascii="Calibri" w:hAnsi="Calibri" w:cs="Calibri"/>
                <w:color w:val="444444"/>
              </w:rPr>
              <w:t xml:space="preserve"> </w:t>
            </w:r>
            <w:r w:rsidRPr="005479CE">
              <w:rPr>
                <w:rFonts w:ascii="Calibri" w:hAnsi="Calibri" w:cs="Calibri"/>
                <w:color w:val="444444"/>
              </w:rPr>
              <w:t>legally recognized documentation, and (b) who perceive their rights to land as secure, by sex and type of tenure.</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13D5D489" w:rsidR="005377B9" w:rsidRPr="009F305C" w:rsidRDefault="007472A9" w:rsidP="009F305C">
            <w:r>
              <w:t>Baseline data 2009-20</w:t>
            </w:r>
            <w:r w:rsidR="006B00D7">
              <w:t>14</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FCBD1EB" w:rsidR="005377B9" w:rsidRPr="009F305C" w:rsidRDefault="006260DC" w:rsidP="009F305C">
            <w:r>
              <w:t>2024</w:t>
            </w:r>
            <w:bookmarkStart w:id="8" w:name="_GoBack"/>
            <w:bookmarkEnd w:id="8"/>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0A90D0AB" w14:textId="7BFA1B4C" w:rsidR="005720E4" w:rsidRDefault="005720E4" w:rsidP="005720E4">
            <w:pPr>
              <w:jc w:val="both"/>
              <w:rPr>
                <w:rFonts w:ascii="Calibri" w:hAnsi="Calibri" w:cs="Calibri"/>
                <w:color w:val="333333"/>
              </w:rPr>
            </w:pPr>
            <w:r w:rsidRPr="005720E4">
              <w:rPr>
                <w:rFonts w:ascii="Calibri" w:hAnsi="Calibri" w:cs="Calibri"/>
                <w:color w:val="333333"/>
              </w:rPr>
              <w:t>Goal 5, 5.a.1 (access to agricultural land) and</w:t>
            </w:r>
            <w:r>
              <w:rPr>
                <w:rFonts w:ascii="Calibri" w:hAnsi="Calibri" w:cs="Calibri"/>
                <w:color w:val="333333"/>
              </w:rPr>
              <w:t xml:space="preserve"> </w:t>
            </w:r>
            <w:r w:rsidRPr="005720E4">
              <w:rPr>
                <w:rFonts w:ascii="Calibri" w:hAnsi="Calibri" w:cs="Calibri"/>
                <w:color w:val="333333"/>
              </w:rPr>
              <w:t xml:space="preserve">5.a.2 (legal framework for land governance). </w:t>
            </w:r>
          </w:p>
          <w:p w14:paraId="6720A9FD" w14:textId="500F2876" w:rsidR="002F5D95" w:rsidRDefault="005720E4" w:rsidP="002F5D95">
            <w:pPr>
              <w:jc w:val="both"/>
              <w:rPr>
                <w:rFonts w:ascii="Calibri" w:hAnsi="Calibri" w:cs="Calibri"/>
                <w:color w:val="333333"/>
              </w:rPr>
            </w:pPr>
            <w:r w:rsidRPr="005720E4">
              <w:rPr>
                <w:rFonts w:ascii="Calibri" w:hAnsi="Calibri" w:cs="Calibri"/>
                <w:color w:val="333333"/>
              </w:rPr>
              <w:t>Goal 2, Target 2.3 (2.3.1</w:t>
            </w:r>
            <w:r>
              <w:rPr>
                <w:rFonts w:ascii="Calibri" w:hAnsi="Calibri" w:cs="Calibri"/>
                <w:color w:val="333333"/>
              </w:rPr>
              <w:t xml:space="preserve"> </w:t>
            </w:r>
            <w:r w:rsidRPr="005720E4">
              <w:rPr>
                <w:rFonts w:ascii="Calibri" w:hAnsi="Calibri" w:cs="Calibri"/>
                <w:color w:val="333333"/>
              </w:rPr>
              <w:t>and 2.3.2 addressing smallholder farmers; Target 2.4 (2.4.1 on agricultural area), to Goal 11, to target</w:t>
            </w:r>
            <w:r>
              <w:rPr>
                <w:rFonts w:ascii="Calibri" w:hAnsi="Calibri" w:cs="Calibri"/>
                <w:color w:val="333333"/>
              </w:rPr>
              <w:t xml:space="preserve"> </w:t>
            </w:r>
            <w:r w:rsidRPr="005720E4">
              <w:rPr>
                <w:rFonts w:ascii="Calibri" w:hAnsi="Calibri" w:cs="Calibri"/>
                <w:color w:val="333333"/>
              </w:rPr>
              <w:t>11.1 (access to affordable housing/upgrading slums) and target 11.3 (sustainable urbanization/settlement</w:t>
            </w:r>
            <w:r>
              <w:rPr>
                <w:rFonts w:ascii="Calibri" w:hAnsi="Calibri" w:cs="Calibri"/>
                <w:color w:val="333333"/>
              </w:rPr>
              <w:t xml:space="preserve"> </w:t>
            </w:r>
            <w:r w:rsidRPr="005720E4">
              <w:rPr>
                <w:rFonts w:ascii="Calibri" w:hAnsi="Calibri" w:cs="Calibri"/>
                <w:color w:val="333333"/>
              </w:rPr>
              <w:t xml:space="preserve">planning). </w:t>
            </w:r>
          </w:p>
          <w:p w14:paraId="1D8C2572" w14:textId="1A3E67CC" w:rsidR="005377B9" w:rsidRPr="009F305C" w:rsidRDefault="005720E4" w:rsidP="002F5D95">
            <w:pPr>
              <w:jc w:val="both"/>
            </w:pPr>
            <w:r w:rsidRPr="005720E4">
              <w:rPr>
                <w:rFonts w:ascii="Calibri" w:hAnsi="Calibri" w:cs="Calibri"/>
                <w:color w:val="333333"/>
              </w:rPr>
              <w:t>Land tenure also influences land use and is thus key to achieving Goal 14 (b) to provide access</w:t>
            </w:r>
            <w:r>
              <w:rPr>
                <w:rFonts w:ascii="Calibri" w:hAnsi="Calibri" w:cs="Calibri"/>
                <w:color w:val="333333"/>
              </w:rPr>
              <w:t xml:space="preserve"> </w:t>
            </w:r>
            <w:r w:rsidRPr="005720E4">
              <w:rPr>
                <w:rFonts w:ascii="Calibri" w:hAnsi="Calibri" w:cs="Calibri"/>
                <w:color w:val="333333"/>
              </w:rPr>
              <w:t>to small-scale fishers and marine resources, and to Goal 15 on the sustainable use of land and natural</w:t>
            </w:r>
            <w:r w:rsidR="002F5D95">
              <w:rPr>
                <w:rFonts w:ascii="Calibri" w:hAnsi="Calibri" w:cs="Calibri"/>
                <w:color w:val="333333"/>
              </w:rPr>
              <w:t xml:space="preserve"> </w:t>
            </w:r>
            <w:r w:rsidRPr="005720E4">
              <w:rPr>
                <w:rFonts w:ascii="Calibri" w:hAnsi="Calibri" w:cs="Calibri"/>
                <w:color w:val="333333"/>
              </w:rPr>
              <w:t>resources. Similarly, land is a significant source of conflict, and thus also matters for Goal 16 for</w:t>
            </w:r>
            <w:r w:rsidR="002F5D95">
              <w:rPr>
                <w:rFonts w:ascii="Calibri" w:hAnsi="Calibri" w:cs="Calibri"/>
                <w:color w:val="333333"/>
              </w:rPr>
              <w:t xml:space="preserve"> </w:t>
            </w:r>
            <w:r w:rsidRPr="005720E4">
              <w:rPr>
                <w:rFonts w:ascii="Calibri" w:hAnsi="Calibri" w:cs="Calibri"/>
                <w:color w:val="333333"/>
              </w:rPr>
              <w:t>promoting peace and inclusive societies and institutions.</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295C138" w:rsidR="005377B9" w:rsidRPr="009F305C" w:rsidRDefault="00D9444B" w:rsidP="00D9444B">
            <w:pPr>
              <w:autoSpaceDE w:val="0"/>
              <w:autoSpaceDN w:val="0"/>
              <w:adjustRightInd w:val="0"/>
              <w:spacing w:after="0" w:line="240" w:lineRule="auto"/>
            </w:pPr>
            <w:r>
              <w:rPr>
                <w:rFonts w:ascii="Calibri" w:hAnsi="Calibri" w:cs="Calibri"/>
                <w:color w:val="333333"/>
              </w:rPr>
              <w:t>UN-Habitat and World Bank</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19C6EA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05B5E8F4" w:rsidR="003E7389" w:rsidRPr="009F305C" w:rsidRDefault="003A6B30"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9B4D3A0" w:rsidR="003E7389" w:rsidRPr="009F305C" w:rsidRDefault="002A592D" w:rsidP="009F305C">
            <w:r>
              <w:t>Senior Manager, Research and development</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35390BAF" w:rsidR="003E7389" w:rsidRPr="009F305C" w:rsidRDefault="00D12DA1" w:rsidP="009F305C">
            <w:r>
              <w:t>Research and development, Division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3C4C4DAE" w:rsidR="003E7389" w:rsidRPr="009F305C" w:rsidRDefault="00ED6A86" w:rsidP="009F305C">
            <w:r>
              <w:t>Undertake research on specialized statistical areas and new areas of statistics methodology</w:t>
            </w:r>
            <w:r w:rsidR="00AD72FE">
              <w:t>. Undertake data entry, processing, analysis and dissemination, generate development of related indicators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1CF0FDED" w:rsidR="003E7389" w:rsidRPr="009F305C" w:rsidRDefault="00E90CFD" w:rsidP="009F305C">
            <w:r w:rsidRPr="00B07283">
              <w:t>+254-202-911-000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3BE0EF46" w:rsidR="003E7389" w:rsidRPr="009F305C" w:rsidRDefault="00920139" w:rsidP="009F305C">
            <w:r>
              <w:t>30266-00100, Nairobi- 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0D75F46D" w:rsidR="003E7389" w:rsidRPr="009F305C" w:rsidRDefault="00D12DA1" w:rsidP="009F305C">
            <w:r>
              <w:t>dscm@knbs.or.ke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05DC968" w14:textId="77777777" w:rsidR="00F16C31" w:rsidRPr="00034BA7" w:rsidRDefault="00F16C31" w:rsidP="00EE3AAB">
            <w:pPr>
              <w:autoSpaceDE w:val="0"/>
              <w:autoSpaceDN w:val="0"/>
              <w:adjustRightInd w:val="0"/>
              <w:spacing w:after="0" w:line="240" w:lineRule="auto"/>
              <w:jc w:val="both"/>
              <w:rPr>
                <w:rFonts w:asciiTheme="majorHAnsi" w:hAnsiTheme="majorHAnsi" w:cstheme="majorHAnsi"/>
                <w:b/>
                <w:bCs/>
                <w:color w:val="4A4A4A"/>
                <w:sz w:val="20"/>
                <w:szCs w:val="20"/>
              </w:rPr>
            </w:pPr>
            <w:r w:rsidRPr="00034BA7">
              <w:rPr>
                <w:rFonts w:asciiTheme="majorHAnsi" w:hAnsiTheme="majorHAnsi" w:cstheme="majorHAnsi"/>
                <w:b/>
                <w:bCs/>
                <w:color w:val="4A4A4A"/>
                <w:sz w:val="20"/>
                <w:szCs w:val="20"/>
              </w:rPr>
              <w:t>Definition:</w:t>
            </w:r>
          </w:p>
          <w:p w14:paraId="73C490C5" w14:textId="74C4431F" w:rsidR="00BB65D2" w:rsidRPr="00241E90" w:rsidRDefault="00BF6EBE" w:rsidP="00034BA7">
            <w:pPr>
              <w:rPr>
                <w:rFonts w:asciiTheme="majorHAnsi" w:hAnsiTheme="majorHAnsi" w:cstheme="majorHAnsi"/>
                <w:color w:val="4A4A4A"/>
                <w:sz w:val="20"/>
                <w:szCs w:val="20"/>
              </w:rPr>
            </w:pPr>
            <w:r w:rsidRPr="00241E90">
              <w:rPr>
                <w:rFonts w:asciiTheme="majorHAnsi" w:hAnsiTheme="majorHAnsi" w:cstheme="majorHAnsi"/>
                <w:color w:val="4A4A4A"/>
                <w:sz w:val="20"/>
                <w:szCs w:val="20"/>
              </w:rPr>
              <w:t xml:space="preserve">This indicator tracks all types of land use (such as residential, commercial, agricultural, forestry, grazing, wetlands based on standard land-use classification) in both rural and urban areas; and (b) all land tenure types as recognized at the country level, such as freehold, leasehold, public land, customary land. </w:t>
            </w:r>
          </w:p>
          <w:p w14:paraId="71DA8663" w14:textId="5C8D8A8B" w:rsidR="003D3BD3" w:rsidRPr="00241E90" w:rsidRDefault="00180823" w:rsidP="00034BA7">
            <w:pPr>
              <w:rPr>
                <w:rFonts w:asciiTheme="majorHAnsi" w:hAnsiTheme="majorHAnsi" w:cstheme="majorHAnsi"/>
                <w:b/>
                <w:color w:val="4A4A4A"/>
                <w:sz w:val="20"/>
                <w:szCs w:val="20"/>
              </w:rPr>
            </w:pPr>
            <w:r w:rsidRPr="00241E90">
              <w:rPr>
                <w:rFonts w:asciiTheme="majorHAnsi" w:hAnsiTheme="majorHAnsi" w:cstheme="majorHAnsi"/>
                <w:b/>
                <w:color w:val="4A4A4A"/>
                <w:sz w:val="20"/>
                <w:szCs w:val="20"/>
              </w:rPr>
              <w:t>Concepts</w:t>
            </w:r>
            <w:r w:rsidR="00241E90">
              <w:rPr>
                <w:rFonts w:asciiTheme="majorHAnsi" w:hAnsiTheme="majorHAnsi" w:cstheme="majorHAnsi"/>
                <w:b/>
                <w:color w:val="4A4A4A"/>
                <w:sz w:val="20"/>
                <w:szCs w:val="20"/>
              </w:rPr>
              <w:t>:</w:t>
            </w:r>
          </w:p>
          <w:p w14:paraId="71F41448" w14:textId="77777777" w:rsidR="00326DBF" w:rsidRPr="00241E90" w:rsidRDefault="00180823" w:rsidP="00034BA7">
            <w:pPr>
              <w:rPr>
                <w:rFonts w:asciiTheme="majorHAnsi" w:hAnsiTheme="majorHAnsi" w:cstheme="majorHAnsi"/>
                <w:color w:val="4A4A4A"/>
                <w:sz w:val="20"/>
                <w:szCs w:val="20"/>
              </w:rPr>
            </w:pPr>
            <w:r w:rsidRPr="00241E90">
              <w:rPr>
                <w:rFonts w:asciiTheme="majorHAnsi" w:hAnsiTheme="majorHAnsi" w:cstheme="majorHAnsi"/>
                <w:color w:val="4A4A4A"/>
                <w:sz w:val="20"/>
                <w:szCs w:val="20"/>
              </w:rPr>
              <w:t xml:space="preserve">The Voluntary Guidelines for the Responsible Governance of Tenure of Land, Forests and Fisheries in the Context of  National Food Security” (shorthand VGGT) defines </w:t>
            </w:r>
          </w:p>
          <w:p w14:paraId="23FC4D90" w14:textId="77777777" w:rsidR="00326DBF" w:rsidRPr="00B6183A" w:rsidRDefault="00326DBF" w:rsidP="00326DBF">
            <w:pPr>
              <w:autoSpaceDE w:val="0"/>
              <w:autoSpaceDN w:val="0"/>
              <w:adjustRightInd w:val="0"/>
              <w:spacing w:after="0" w:line="240" w:lineRule="auto"/>
              <w:jc w:val="both"/>
              <w:rPr>
                <w:rFonts w:asciiTheme="majorHAnsi" w:hAnsiTheme="majorHAnsi" w:cstheme="majorHAnsi"/>
                <w:color w:val="4A4A4A"/>
                <w:sz w:val="20"/>
                <w:szCs w:val="20"/>
              </w:rPr>
            </w:pPr>
          </w:p>
          <w:p w14:paraId="6352DE47" w14:textId="1595C18E" w:rsidR="00180823" w:rsidRPr="00B6183A" w:rsidRDefault="00180823" w:rsidP="00241E90">
            <w:pPr>
              <w:rPr>
                <w:rFonts w:asciiTheme="majorHAnsi" w:hAnsiTheme="majorHAnsi" w:cstheme="majorHAnsi"/>
                <w:color w:val="4A4A4A"/>
                <w:sz w:val="20"/>
                <w:szCs w:val="20"/>
              </w:rPr>
            </w:pPr>
            <w:r w:rsidRPr="00B6183A">
              <w:rPr>
                <w:rFonts w:asciiTheme="majorHAnsi" w:hAnsiTheme="majorHAnsi" w:cstheme="majorHAnsi"/>
                <w:b/>
                <w:bCs/>
                <w:color w:val="4A4A4A"/>
                <w:sz w:val="20"/>
                <w:szCs w:val="20"/>
              </w:rPr>
              <w:t>Tenure</w:t>
            </w:r>
            <w:r w:rsidRPr="00B6183A">
              <w:rPr>
                <w:rFonts w:asciiTheme="majorHAnsi" w:hAnsiTheme="majorHAnsi" w:cstheme="majorHAnsi"/>
                <w:color w:val="4A4A4A"/>
                <w:sz w:val="20"/>
                <w:szCs w:val="20"/>
              </w:rPr>
              <w:t>: How people, communities and others gain access to land and natural resources (including fisheries and forests) is defined and regulated by societies through systems of tenure. These tenure systems determine who can use which resources, for how long, and under what conditions. Tenure</w:t>
            </w:r>
            <w:r w:rsidR="00326DBF" w:rsidRPr="00B6183A">
              <w:rPr>
                <w:rFonts w:asciiTheme="majorHAnsi" w:hAnsiTheme="majorHAnsi" w:cstheme="majorHAnsi"/>
                <w:color w:val="4A4A4A"/>
                <w:sz w:val="20"/>
                <w:szCs w:val="20"/>
              </w:rPr>
              <w:t xml:space="preserve"> </w:t>
            </w:r>
            <w:r w:rsidRPr="00B6183A">
              <w:rPr>
                <w:rFonts w:asciiTheme="majorHAnsi" w:hAnsiTheme="majorHAnsi" w:cstheme="majorHAnsi"/>
                <w:color w:val="4A4A4A"/>
                <w:sz w:val="20"/>
                <w:szCs w:val="20"/>
              </w:rPr>
              <w:t>systems may be based on written policies and laws, as well as on unwritten customs and practices. No</w:t>
            </w:r>
            <w:r w:rsidR="00326DBF" w:rsidRPr="00B6183A">
              <w:rPr>
                <w:rFonts w:asciiTheme="majorHAnsi" w:hAnsiTheme="majorHAnsi" w:cstheme="majorHAnsi"/>
                <w:color w:val="4A4A4A"/>
                <w:sz w:val="20"/>
                <w:szCs w:val="20"/>
              </w:rPr>
              <w:t xml:space="preserve"> </w:t>
            </w:r>
            <w:r w:rsidRPr="00B6183A">
              <w:rPr>
                <w:rFonts w:asciiTheme="majorHAnsi" w:hAnsiTheme="majorHAnsi" w:cstheme="majorHAnsi"/>
                <w:color w:val="4A4A4A"/>
                <w:sz w:val="20"/>
                <w:szCs w:val="20"/>
              </w:rPr>
              <w:t>tenure right, including private ownership, is absolute. All tenure rights are limited by the rights of others</w:t>
            </w:r>
            <w:r w:rsidR="00326DBF" w:rsidRPr="00B6183A">
              <w:rPr>
                <w:rFonts w:asciiTheme="majorHAnsi" w:hAnsiTheme="majorHAnsi" w:cstheme="majorHAnsi"/>
                <w:color w:val="4A4A4A"/>
                <w:sz w:val="20"/>
                <w:szCs w:val="20"/>
              </w:rPr>
              <w:t xml:space="preserve"> </w:t>
            </w:r>
            <w:r w:rsidRPr="00B6183A">
              <w:rPr>
                <w:rFonts w:asciiTheme="majorHAnsi" w:hAnsiTheme="majorHAnsi" w:cstheme="majorHAnsi"/>
                <w:color w:val="4A4A4A"/>
                <w:sz w:val="20"/>
                <w:szCs w:val="20"/>
              </w:rPr>
              <w:t>and by the measures taken by states for public purposes (VGGT, 2012).</w:t>
            </w:r>
          </w:p>
          <w:p w14:paraId="7D2638AF" w14:textId="77777777" w:rsidR="00180823" w:rsidRPr="00B6183A" w:rsidRDefault="00180823" w:rsidP="00326DBF">
            <w:pPr>
              <w:autoSpaceDE w:val="0"/>
              <w:autoSpaceDN w:val="0"/>
              <w:adjustRightInd w:val="0"/>
              <w:spacing w:after="0" w:line="240" w:lineRule="auto"/>
              <w:jc w:val="both"/>
              <w:rPr>
                <w:rFonts w:asciiTheme="majorHAnsi" w:hAnsiTheme="majorHAnsi" w:cstheme="majorHAnsi"/>
                <w:color w:val="4A4A4A"/>
                <w:sz w:val="20"/>
                <w:szCs w:val="20"/>
              </w:rPr>
            </w:pPr>
          </w:p>
          <w:p w14:paraId="290F669D" w14:textId="75156D25" w:rsidR="00180823" w:rsidRPr="00B6183A" w:rsidRDefault="00180823" w:rsidP="00326DBF">
            <w:pPr>
              <w:autoSpaceDE w:val="0"/>
              <w:autoSpaceDN w:val="0"/>
              <w:adjustRightInd w:val="0"/>
              <w:spacing w:after="0" w:line="240" w:lineRule="auto"/>
              <w:jc w:val="both"/>
              <w:rPr>
                <w:rFonts w:asciiTheme="majorHAnsi" w:hAnsiTheme="majorHAnsi" w:cstheme="majorHAnsi"/>
                <w:color w:val="4A4A4A"/>
                <w:sz w:val="20"/>
                <w:szCs w:val="20"/>
              </w:rPr>
            </w:pPr>
            <w:r w:rsidRPr="00B6183A">
              <w:rPr>
                <w:rFonts w:asciiTheme="majorHAnsi" w:hAnsiTheme="majorHAnsi" w:cstheme="majorHAnsi"/>
                <w:b/>
                <w:bCs/>
                <w:color w:val="4A4A4A"/>
                <w:sz w:val="20"/>
                <w:szCs w:val="20"/>
              </w:rPr>
              <w:t>Tenure typology</w:t>
            </w:r>
            <w:r w:rsidRPr="00B6183A">
              <w:rPr>
                <w:rFonts w:asciiTheme="majorHAnsi" w:hAnsiTheme="majorHAnsi" w:cstheme="majorHAnsi"/>
                <w:color w:val="4A4A4A"/>
                <w:sz w:val="20"/>
                <w:szCs w:val="20"/>
              </w:rPr>
              <w:t>: A tenure typology is country specific and refers to categories of tenure rights, for</w:t>
            </w:r>
            <w:r w:rsidR="00326DBF" w:rsidRPr="00B6183A">
              <w:rPr>
                <w:rFonts w:asciiTheme="majorHAnsi" w:hAnsiTheme="majorHAnsi" w:cstheme="majorHAnsi"/>
                <w:color w:val="4A4A4A"/>
                <w:sz w:val="20"/>
                <w:szCs w:val="20"/>
              </w:rPr>
              <w:t xml:space="preserve"> </w:t>
            </w:r>
            <w:r w:rsidRPr="00B6183A">
              <w:rPr>
                <w:rFonts w:asciiTheme="majorHAnsi" w:hAnsiTheme="majorHAnsi" w:cstheme="majorHAnsi"/>
                <w:color w:val="4A4A4A"/>
                <w:sz w:val="20"/>
                <w:szCs w:val="20"/>
              </w:rPr>
              <w:t>example customary, leasehold, public and freehold. Rights can be held collectively, jointly or individually</w:t>
            </w:r>
            <w:r w:rsidR="00326DBF" w:rsidRPr="00B6183A">
              <w:rPr>
                <w:rFonts w:asciiTheme="majorHAnsi" w:hAnsiTheme="majorHAnsi" w:cstheme="majorHAnsi"/>
                <w:color w:val="4A4A4A"/>
                <w:sz w:val="20"/>
                <w:szCs w:val="20"/>
              </w:rPr>
              <w:t xml:space="preserve"> </w:t>
            </w:r>
            <w:r w:rsidRPr="00B6183A">
              <w:rPr>
                <w:rFonts w:asciiTheme="majorHAnsi" w:hAnsiTheme="majorHAnsi" w:cstheme="majorHAnsi"/>
                <w:color w:val="4A4A4A"/>
                <w:sz w:val="20"/>
                <w:szCs w:val="20"/>
              </w:rPr>
              <w:t>and may cover one or more elements of the bundle of rights (the right of possession, of control, of</w:t>
            </w:r>
          </w:p>
          <w:p w14:paraId="4EE06489" w14:textId="77777777" w:rsidR="00180823" w:rsidRPr="00B6183A" w:rsidRDefault="00180823" w:rsidP="00326DBF">
            <w:pPr>
              <w:autoSpaceDE w:val="0"/>
              <w:autoSpaceDN w:val="0"/>
              <w:adjustRightInd w:val="0"/>
              <w:spacing w:after="0" w:line="240" w:lineRule="auto"/>
              <w:jc w:val="both"/>
              <w:rPr>
                <w:rFonts w:asciiTheme="majorHAnsi" w:hAnsiTheme="majorHAnsi" w:cstheme="majorHAnsi"/>
                <w:color w:val="4A4A4A"/>
                <w:sz w:val="20"/>
                <w:szCs w:val="20"/>
              </w:rPr>
            </w:pPr>
            <w:r w:rsidRPr="00B6183A">
              <w:rPr>
                <w:rFonts w:asciiTheme="majorHAnsi" w:hAnsiTheme="majorHAnsi" w:cstheme="majorHAnsi"/>
                <w:color w:val="4A4A4A"/>
                <w:sz w:val="20"/>
                <w:szCs w:val="20"/>
              </w:rPr>
              <w:t>exclusion, of enjoyment and of disposition).</w:t>
            </w:r>
          </w:p>
          <w:p w14:paraId="117DAAE6" w14:textId="77777777" w:rsidR="00180823" w:rsidRPr="00B6183A" w:rsidRDefault="00180823" w:rsidP="00326DBF">
            <w:pPr>
              <w:autoSpaceDE w:val="0"/>
              <w:autoSpaceDN w:val="0"/>
              <w:adjustRightInd w:val="0"/>
              <w:spacing w:after="0" w:line="240" w:lineRule="auto"/>
              <w:jc w:val="both"/>
              <w:rPr>
                <w:rFonts w:asciiTheme="majorHAnsi" w:hAnsiTheme="majorHAnsi" w:cstheme="majorHAnsi"/>
                <w:color w:val="4A4A4A"/>
                <w:sz w:val="20"/>
                <w:szCs w:val="20"/>
              </w:rPr>
            </w:pPr>
          </w:p>
          <w:p w14:paraId="73A8CCE6" w14:textId="77777777" w:rsidR="00180823" w:rsidRPr="00B6183A" w:rsidRDefault="00180823" w:rsidP="00DB6A9A">
            <w:pPr>
              <w:autoSpaceDE w:val="0"/>
              <w:autoSpaceDN w:val="0"/>
              <w:adjustRightInd w:val="0"/>
              <w:spacing w:after="0" w:line="240" w:lineRule="auto"/>
              <w:jc w:val="both"/>
              <w:rPr>
                <w:rFonts w:asciiTheme="majorHAnsi" w:hAnsiTheme="majorHAnsi" w:cstheme="majorHAnsi"/>
                <w:color w:val="4A4A4A"/>
                <w:sz w:val="20"/>
                <w:szCs w:val="20"/>
              </w:rPr>
            </w:pPr>
            <w:r w:rsidRPr="00B6183A">
              <w:rPr>
                <w:rFonts w:asciiTheme="majorHAnsi" w:hAnsiTheme="majorHAnsi" w:cstheme="majorHAnsi"/>
                <w:b/>
                <w:bCs/>
                <w:color w:val="4A4A4A"/>
                <w:sz w:val="20"/>
                <w:szCs w:val="20"/>
              </w:rPr>
              <w:t>Land governance</w:t>
            </w:r>
            <w:r w:rsidRPr="00B6183A">
              <w:rPr>
                <w:rFonts w:asciiTheme="majorHAnsi" w:hAnsiTheme="majorHAnsi" w:cstheme="majorHAnsi"/>
                <w:color w:val="4A4A4A"/>
                <w:sz w:val="20"/>
                <w:szCs w:val="20"/>
              </w:rPr>
              <w:t>: Rules, processes and structures through which decisions are made regarding access to</w:t>
            </w:r>
            <w:r w:rsidR="00326DBF" w:rsidRPr="00B6183A">
              <w:rPr>
                <w:rFonts w:asciiTheme="majorHAnsi" w:hAnsiTheme="majorHAnsi" w:cstheme="majorHAnsi"/>
                <w:color w:val="4A4A4A"/>
                <w:sz w:val="20"/>
                <w:szCs w:val="20"/>
              </w:rPr>
              <w:t xml:space="preserve"> </w:t>
            </w:r>
            <w:r w:rsidRPr="00B6183A">
              <w:rPr>
                <w:rFonts w:asciiTheme="majorHAnsi" w:hAnsiTheme="majorHAnsi" w:cstheme="majorHAnsi"/>
                <w:color w:val="4A4A4A"/>
                <w:sz w:val="20"/>
                <w:szCs w:val="20"/>
              </w:rPr>
              <w:t>and the use (and transfer) of land, how those decisions are implemented and the way that conflicting</w:t>
            </w:r>
            <w:r w:rsidR="00DB6A9A" w:rsidRPr="00B6183A">
              <w:rPr>
                <w:rFonts w:asciiTheme="majorHAnsi" w:hAnsiTheme="majorHAnsi" w:cstheme="majorHAnsi"/>
                <w:color w:val="4A4A4A"/>
                <w:sz w:val="20"/>
                <w:szCs w:val="20"/>
              </w:rPr>
              <w:t xml:space="preserve"> </w:t>
            </w:r>
            <w:r w:rsidRPr="00B6183A">
              <w:rPr>
                <w:rFonts w:asciiTheme="majorHAnsi" w:hAnsiTheme="majorHAnsi" w:cstheme="majorHAnsi"/>
                <w:color w:val="4A4A4A"/>
                <w:sz w:val="20"/>
                <w:szCs w:val="20"/>
              </w:rPr>
              <w:t>interests in land are managed. States provide legal recognition for tenure rights through policies, law and</w:t>
            </w:r>
            <w:r w:rsidR="00326DBF" w:rsidRPr="00B6183A">
              <w:rPr>
                <w:rFonts w:asciiTheme="majorHAnsi" w:hAnsiTheme="majorHAnsi" w:cstheme="majorHAnsi"/>
                <w:color w:val="4A4A4A"/>
                <w:sz w:val="20"/>
                <w:szCs w:val="20"/>
              </w:rPr>
              <w:t xml:space="preserve"> </w:t>
            </w:r>
            <w:r w:rsidRPr="00B6183A">
              <w:rPr>
                <w:rFonts w:asciiTheme="majorHAnsi" w:hAnsiTheme="majorHAnsi" w:cstheme="majorHAnsi"/>
                <w:color w:val="4A4A4A"/>
                <w:sz w:val="20"/>
                <w:szCs w:val="20"/>
              </w:rPr>
              <w:t>land administration services, and define the categories of rights that are considered official.</w:t>
            </w:r>
            <w:r w:rsidR="00326DBF" w:rsidRPr="00B6183A">
              <w:rPr>
                <w:rFonts w:asciiTheme="majorHAnsi" w:hAnsiTheme="majorHAnsi" w:cstheme="majorHAnsi"/>
                <w:color w:val="4A4A4A"/>
                <w:sz w:val="20"/>
                <w:szCs w:val="20"/>
              </w:rPr>
              <w:t xml:space="preserve"> </w:t>
            </w:r>
          </w:p>
          <w:p w14:paraId="69E9CD3B" w14:textId="77777777" w:rsidR="00B6183A" w:rsidRPr="00B6183A" w:rsidRDefault="00B6183A" w:rsidP="00B6183A">
            <w:pPr>
              <w:autoSpaceDE w:val="0"/>
              <w:autoSpaceDN w:val="0"/>
              <w:adjustRightInd w:val="0"/>
              <w:spacing w:after="0" w:line="240" w:lineRule="auto"/>
              <w:jc w:val="both"/>
              <w:rPr>
                <w:rFonts w:asciiTheme="majorHAnsi" w:hAnsiTheme="majorHAnsi" w:cstheme="majorHAnsi"/>
                <w:color w:val="4A4A4A"/>
                <w:sz w:val="20"/>
                <w:szCs w:val="20"/>
              </w:rPr>
            </w:pPr>
            <w:r w:rsidRPr="00B6183A">
              <w:rPr>
                <w:rFonts w:asciiTheme="majorHAnsi" w:hAnsiTheme="majorHAnsi" w:cstheme="majorHAnsi"/>
                <w:b/>
                <w:color w:val="4A4A4A"/>
                <w:sz w:val="20"/>
                <w:szCs w:val="20"/>
              </w:rPr>
              <w:t>Secure tenure rights</w:t>
            </w:r>
            <w:r w:rsidRPr="00B6183A">
              <w:rPr>
                <w:rFonts w:asciiTheme="majorHAnsi" w:hAnsiTheme="majorHAnsi" w:cstheme="majorHAnsi"/>
                <w:color w:val="4A4A4A"/>
                <w:sz w:val="20"/>
                <w:szCs w:val="20"/>
              </w:rPr>
              <w:t>: comprised of two sub-components: (i) legally recognized documentation and (ii) perception of the security of tenure, which are both necessary to provide a full measurement of tenure security.</w:t>
            </w:r>
          </w:p>
          <w:p w14:paraId="49733FED" w14:textId="77777777" w:rsidR="00B6183A" w:rsidRPr="00B6183A" w:rsidRDefault="00B6183A" w:rsidP="00B6183A">
            <w:pPr>
              <w:autoSpaceDE w:val="0"/>
              <w:autoSpaceDN w:val="0"/>
              <w:adjustRightInd w:val="0"/>
              <w:spacing w:after="0" w:line="240" w:lineRule="auto"/>
              <w:jc w:val="both"/>
              <w:rPr>
                <w:rFonts w:asciiTheme="majorHAnsi" w:hAnsiTheme="majorHAnsi" w:cstheme="majorHAnsi"/>
                <w:color w:val="4A4A4A"/>
                <w:sz w:val="20"/>
                <w:szCs w:val="20"/>
              </w:rPr>
            </w:pPr>
            <w:r w:rsidRPr="00B6183A">
              <w:rPr>
                <w:rFonts w:asciiTheme="majorHAnsi" w:hAnsiTheme="majorHAnsi" w:cstheme="majorHAnsi"/>
                <w:b/>
                <w:color w:val="4A4A4A"/>
                <w:sz w:val="20"/>
                <w:szCs w:val="20"/>
              </w:rPr>
              <w:t>Legally recognized documentation:</w:t>
            </w:r>
            <w:r w:rsidRPr="00B6183A">
              <w:rPr>
                <w:rFonts w:asciiTheme="majorHAnsi" w:hAnsiTheme="majorHAnsi" w:cstheme="majorHAnsi"/>
                <w:color w:val="4A4A4A"/>
                <w:sz w:val="20"/>
                <w:szCs w:val="20"/>
              </w:rPr>
              <w:t xml:space="preserve"> Legal documentation of rights refers to the recording and publication of information on the nature and location of land, rights and right holders in a form that is recognized by government, and is therefore official. For purposes of computing SDG Indicator 1.4.2, the country specific metadata will define what documentation on land rights will be counted as legally recognized (see next section for rationale).</w:t>
            </w:r>
          </w:p>
          <w:p w14:paraId="6F0D62C4" w14:textId="77777777" w:rsidR="00B6183A" w:rsidRPr="00B6183A" w:rsidRDefault="00B6183A" w:rsidP="00B6183A">
            <w:pPr>
              <w:pStyle w:val="NormalWeb"/>
              <w:rPr>
                <w:rFonts w:asciiTheme="majorHAnsi" w:hAnsiTheme="majorHAnsi" w:cstheme="majorHAnsi"/>
                <w:color w:val="000000"/>
                <w:sz w:val="20"/>
                <w:szCs w:val="20"/>
              </w:rPr>
            </w:pPr>
            <w:r w:rsidRPr="00B6183A">
              <w:rPr>
                <w:rFonts w:asciiTheme="majorHAnsi" w:hAnsiTheme="majorHAnsi" w:cstheme="majorHAnsi"/>
                <w:color w:val="000000"/>
                <w:sz w:val="20"/>
                <w:szCs w:val="20"/>
              </w:rPr>
              <w:t>Perceived security of tenure: Perception of tenure security refers to an individual’s perception of the likelihood of involuntary loss of land, such as disagreement of the ownership rights over land or ability to use it, regardless of the formal status and can be more optimistic or pessimistic. Although those without land rights’ documentation may frequently be perceived to be under threat, and those with documentation perceived as protected, there may be situations where documented land rights alone are insufficient to guarantee tenure security. Conversely, even without legally recognized documentation, individuals may feel themselves to be protected against eviction or dispossession. Therefore, capturing and analysing these diverse ranges of situations will enable a more comprehensive understanding of land tenure security, based on a country specific context.</w:t>
            </w:r>
          </w:p>
          <w:p w14:paraId="6F92DC55" w14:textId="77777777" w:rsidR="00B6183A" w:rsidRPr="00B6183A" w:rsidRDefault="00B6183A" w:rsidP="00B6183A">
            <w:pPr>
              <w:pStyle w:val="NormalWeb"/>
              <w:rPr>
                <w:rFonts w:asciiTheme="majorHAnsi" w:hAnsiTheme="majorHAnsi" w:cstheme="majorHAnsi"/>
                <w:color w:val="000000"/>
                <w:sz w:val="20"/>
                <w:szCs w:val="20"/>
              </w:rPr>
            </w:pPr>
            <w:r w:rsidRPr="00B6183A">
              <w:rPr>
                <w:rFonts w:asciiTheme="majorHAnsi" w:hAnsiTheme="majorHAnsi" w:cstheme="majorHAnsi"/>
                <w:color w:val="000000"/>
                <w:sz w:val="20"/>
                <w:szCs w:val="20"/>
              </w:rPr>
              <w:t>For purposes of constructing the indicator (see next section for rationale), we define perceptions of tenure to be secure if:</w:t>
            </w:r>
          </w:p>
          <w:p w14:paraId="701B8EB4" w14:textId="77777777" w:rsidR="00B6183A" w:rsidRPr="00B6183A" w:rsidRDefault="00B6183A" w:rsidP="00B6183A">
            <w:pPr>
              <w:pStyle w:val="NormalWeb"/>
              <w:rPr>
                <w:rFonts w:asciiTheme="majorHAnsi" w:hAnsiTheme="majorHAnsi" w:cstheme="majorHAnsi"/>
                <w:color w:val="000000"/>
                <w:sz w:val="20"/>
                <w:szCs w:val="20"/>
              </w:rPr>
            </w:pPr>
            <w:r w:rsidRPr="00B6183A">
              <w:rPr>
                <w:rFonts w:asciiTheme="majorHAnsi" w:hAnsiTheme="majorHAnsi" w:cstheme="majorHAnsi"/>
                <w:color w:val="000000"/>
                <w:sz w:val="20"/>
                <w:szCs w:val="20"/>
              </w:rPr>
              <w:t>(i) The landholder does not report a fear of involuntary loss of the land within the next five years due to, for example, intra-family, community or external threats and</w:t>
            </w:r>
          </w:p>
          <w:p w14:paraId="6C3E89E5" w14:textId="77777777" w:rsidR="00B6183A" w:rsidRPr="00B6183A" w:rsidRDefault="00B6183A" w:rsidP="00B6183A">
            <w:pPr>
              <w:autoSpaceDE w:val="0"/>
              <w:autoSpaceDN w:val="0"/>
              <w:adjustRightInd w:val="0"/>
              <w:spacing w:after="0" w:line="240" w:lineRule="auto"/>
              <w:jc w:val="both"/>
              <w:rPr>
                <w:rFonts w:asciiTheme="majorHAnsi" w:hAnsiTheme="majorHAnsi" w:cstheme="majorHAnsi"/>
                <w:color w:val="000000"/>
                <w:sz w:val="20"/>
                <w:szCs w:val="20"/>
              </w:rPr>
            </w:pPr>
            <w:r w:rsidRPr="00B6183A">
              <w:rPr>
                <w:rFonts w:asciiTheme="majorHAnsi" w:hAnsiTheme="majorHAnsi" w:cstheme="majorHAnsi"/>
                <w:color w:val="000000"/>
                <w:sz w:val="20"/>
                <w:szCs w:val="20"/>
              </w:rPr>
              <w:t>(ii) The landholder reports having the right to bequeath the land.</w:t>
            </w:r>
          </w:p>
          <w:p w14:paraId="6C84E827" w14:textId="3F246E50" w:rsidR="00B6183A" w:rsidRPr="00B6183A" w:rsidRDefault="00B6183A" w:rsidP="00DB6A9A">
            <w:pPr>
              <w:autoSpaceDE w:val="0"/>
              <w:autoSpaceDN w:val="0"/>
              <w:adjustRightInd w:val="0"/>
              <w:spacing w:after="0" w:line="240" w:lineRule="auto"/>
              <w:jc w:val="both"/>
              <w:rPr>
                <w:rFonts w:asciiTheme="majorHAnsi" w:hAnsiTheme="majorHAnsi" w:cstheme="majorHAnsi"/>
                <w:sz w:val="20"/>
                <w:szCs w:val="20"/>
              </w:rPr>
            </w:pP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5C51C711" w:rsidR="0015178E" w:rsidRPr="009F305C" w:rsidRDefault="00B43327" w:rsidP="00B43327">
            <w:pPr>
              <w:autoSpaceDE w:val="0"/>
              <w:autoSpaceDN w:val="0"/>
              <w:adjustRightInd w:val="0"/>
              <w:spacing w:after="0" w:line="240" w:lineRule="auto"/>
            </w:pPr>
            <w:r>
              <w:rPr>
                <w:rFonts w:ascii="Calibri" w:hAnsi="Calibri" w:cs="Calibri"/>
                <w:color w:val="4A4A4A"/>
              </w:rPr>
              <w:t>Indicator 1.4.2 Per cent</w:t>
            </w:r>
            <w:r w:rsidR="00223B6C">
              <w:rPr>
                <w:rFonts w:ascii="Calibri" w:hAnsi="Calibri" w:cs="Calibri"/>
                <w:color w:val="4A4A4A"/>
              </w:rPr>
              <w:t xml:space="preserve"> (%)</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36319A1A" w:rsidR="0015178E" w:rsidRPr="009F305C" w:rsidRDefault="00223B6C" w:rsidP="00DB6A9A">
            <w:pPr>
              <w:autoSpaceDE w:val="0"/>
              <w:autoSpaceDN w:val="0"/>
              <w:adjustRightInd w:val="0"/>
              <w:spacing w:after="0" w:line="240" w:lineRule="auto"/>
              <w:jc w:val="both"/>
            </w:pPr>
            <w:r>
              <w:t>N/A</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55AB7C7E" w:rsidR="0035311B" w:rsidRPr="009F305C" w:rsidRDefault="00745C84" w:rsidP="009F305C">
            <w:r>
              <w:t>Data is sourced from the Kenya Demographic and health survey administered to households</w:t>
            </w:r>
            <w:r w:rsidR="00B43327">
              <w:t>, 2022 Kenya Continuous Household Survey (KCHS) Micro data, Women Economic Module (WEE)</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3D433E9D" w:rsidR="0035311B" w:rsidRPr="009F305C" w:rsidRDefault="00B43327" w:rsidP="00B43327">
            <w:pPr>
              <w:jc w:val="both"/>
            </w:pPr>
            <w:r>
              <w:t>WEE module was incorporated in 2022 KCHS.</w:t>
            </w:r>
            <w:r w:rsidRPr="00463E6F">
              <w:t xml:space="preserve"> </w:t>
            </w:r>
            <w:r>
              <w:t>S</w:t>
            </w:r>
            <w:r w:rsidRPr="00463E6F">
              <w:t>urvey and sampling</w:t>
            </w:r>
            <w:r>
              <w:t xml:space="preserve"> </w:t>
            </w:r>
            <w:r w:rsidRPr="00463E6F">
              <w:t>design</w:t>
            </w:r>
            <w:r>
              <w:t xml:space="preserve"> was done to identify clusters</w:t>
            </w:r>
            <w:r w:rsidRPr="00463E6F">
              <w:t>,</w:t>
            </w:r>
            <w:r w:rsidR="001C44A2">
              <w:t xml:space="preserve"> </w:t>
            </w:r>
            <w:r>
              <w:t>Kiss Grid method was used to sample women aged &gt;18 years.  Survey tools were developed</w:t>
            </w:r>
            <w:r w:rsidRPr="00463E6F">
              <w:t>, pretesting and finalization of questionnaires, recruitment and training of field</w:t>
            </w:r>
            <w:r>
              <w:t xml:space="preserve"> </w:t>
            </w:r>
            <w:r w:rsidRPr="00463E6F">
              <w:t xml:space="preserve">staff, </w:t>
            </w:r>
            <w:r>
              <w:t xml:space="preserve"> </w:t>
            </w:r>
            <w:r w:rsidRPr="00463E6F">
              <w:t>field data collection and capture</w:t>
            </w:r>
            <w:r>
              <w:t xml:space="preserve"> through personal interviews, data collection was done using CAPI</w:t>
            </w:r>
            <w:r w:rsidRPr="00463E6F">
              <w:t xml:space="preserve">, </w:t>
            </w:r>
            <w:r>
              <w:t>Data was cleaning and analyzed</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5FCE7157" w:rsidR="0035311B" w:rsidRPr="009F305C" w:rsidRDefault="00B43327" w:rsidP="00B43327">
            <w:r>
              <w:t>KDHS u</w:t>
            </w:r>
            <w:r w:rsidR="000F01D3">
              <w:t xml:space="preserve">sually done after every 5 years </w:t>
            </w:r>
            <w:r>
              <w:t xml:space="preserve">, 2022 KCHS Adhoc survey </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32F2CE" w:rsidR="0035311B" w:rsidRPr="009F305C" w:rsidRDefault="0052393F" w:rsidP="009F305C">
            <w:r>
              <w:t>KDHS 2027</w:t>
            </w:r>
            <w:r w:rsidR="00EE4B9B">
              <w:t xml:space="preserve">, </w:t>
            </w:r>
            <w:r w:rsidR="00B43327">
              <w:t xml:space="preserve">for </w:t>
            </w:r>
            <w:r w:rsidR="00EE4B9B">
              <w:t>KCHS 2022</w:t>
            </w:r>
            <w:r w:rsidR="00B43327">
              <w:t xml:space="preserve"> N/A</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DF7A3EC" w:rsidR="0035311B" w:rsidRPr="009F305C" w:rsidRDefault="00B43327" w:rsidP="00B43327">
            <w:pPr>
              <w:jc w:val="both"/>
            </w:pPr>
            <w:r>
              <w:t>2014 KDHS and 2022 KCHS  data collected by KNBS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4AD5911" w:rsidR="0035311B" w:rsidRPr="009F305C" w:rsidRDefault="0052393F"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491D6ED3" w:rsidR="0035311B" w:rsidRPr="009F305C" w:rsidRDefault="00A527E5" w:rsidP="00A527E5">
            <w:pPr>
              <w:jc w:val="both"/>
            </w:pPr>
            <w:r>
              <w:t xml:space="preserve">According to the statistics act 2006, KNBS </w:t>
            </w:r>
            <w:r>
              <w:rPr>
                <w:rFonts w:ascii="Arial" w:hAnsi="Arial" w:cs="Arial"/>
                <w:color w:val="0A0A0A"/>
                <w:sz w:val="21"/>
                <w:szCs w:val="21"/>
                <w:shd w:val="clear" w:color="auto" w:fill="FFFFFF"/>
              </w:rPr>
              <w:t>is the principal agency of the Government for collecting, analysing and disseminating statistical data in Kenya and  the custodian of official statistical information</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428CF45" w:rsidR="007F2D9F" w:rsidRPr="009F305C" w:rsidRDefault="004B322C" w:rsidP="009F305C">
            <w:r>
              <w:t xml:space="preserve">Kiss Grid method in selection of </w:t>
            </w:r>
            <w:r w:rsidR="009F2EFE">
              <w:t>eligible</w:t>
            </w:r>
            <w:r>
              <w:t xml:space="preserve"> women. Data for this indicator is based on asset ownership for 2022 KCHS</w:t>
            </w: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47A54254" w14:textId="6081C76E" w:rsidR="00B43327" w:rsidRPr="00445DD8" w:rsidRDefault="00B43327" w:rsidP="00B43327">
            <w:pPr>
              <w:pStyle w:val="MText"/>
              <w:jc w:val="both"/>
              <w:rPr>
                <w:rFonts w:ascii="Calibri" w:hAnsi="Calibri"/>
                <w:lang w:val="en-US"/>
              </w:rPr>
            </w:pPr>
            <w:r w:rsidRPr="00445DD8">
              <w:rPr>
                <w:rFonts w:ascii="Calibri" w:hAnsi="Calibri"/>
                <w:lang w:val="en-US"/>
              </w:rPr>
              <w:t xml:space="preserve">Indicator </w:t>
            </w:r>
            <w:r>
              <w:rPr>
                <w:rFonts w:ascii="Calibri" w:hAnsi="Calibri"/>
                <w:lang w:val="en-US"/>
              </w:rPr>
              <w:t>1</w:t>
            </w:r>
            <w:r w:rsidRPr="00445DD8">
              <w:rPr>
                <w:rFonts w:ascii="Calibri" w:hAnsi="Calibri"/>
                <w:lang w:val="en-US"/>
              </w:rPr>
              <w:t>.</w:t>
            </w:r>
            <w:r>
              <w:rPr>
                <w:rFonts w:ascii="Calibri" w:hAnsi="Calibri"/>
                <w:lang w:val="en-US"/>
              </w:rPr>
              <w:t>4</w:t>
            </w:r>
            <w:r w:rsidRPr="00445DD8">
              <w:rPr>
                <w:rFonts w:ascii="Calibri" w:hAnsi="Calibri"/>
                <w:lang w:val="en-US"/>
              </w:rPr>
              <w:t>.</w:t>
            </w:r>
            <w:r>
              <w:rPr>
                <w:rFonts w:ascii="Calibri" w:hAnsi="Calibri"/>
                <w:lang w:val="en-US"/>
              </w:rPr>
              <w:t>2</w:t>
            </w:r>
            <w:r w:rsidRPr="00445DD8">
              <w:rPr>
                <w:rFonts w:ascii="Calibri" w:hAnsi="Calibri"/>
                <w:lang w:val="en-US"/>
              </w:rPr>
              <w:t xml:space="preserve"> aims to monitor the gender balance on ownership/</w:t>
            </w:r>
            <w:r w:rsidRPr="1D0320F5">
              <w:rPr>
                <w:rFonts w:ascii="Calibri" w:hAnsi="Calibri" w:cs="Calibri"/>
                <w:lang w:val="en-US"/>
              </w:rPr>
              <w:t>secure</w:t>
            </w:r>
            <w:r w:rsidRPr="00445DD8">
              <w:rPr>
                <w:rFonts w:ascii="Calibri" w:hAnsi="Calibri"/>
                <w:lang w:val="en-US"/>
              </w:rPr>
              <w:t xml:space="preserve"> rights over agricultural land. Sub-indicator (a) and sub-indicator (b) are based on the same data and they monitor ownership/rights from two different angles. While sub-indicator (a) uses the total female agricultural population as reference population, and it tells us how many female own land, sub-indicator (b) focuses on the agricultural population with land ownership/</w:t>
            </w:r>
            <w:r w:rsidRPr="1D0320F5">
              <w:rPr>
                <w:rFonts w:ascii="Calibri" w:hAnsi="Calibri" w:cs="Calibri"/>
                <w:lang w:val="en-US"/>
              </w:rPr>
              <w:t>secure</w:t>
            </w:r>
            <w:r w:rsidRPr="00445DD8">
              <w:rPr>
                <w:rFonts w:ascii="Calibri" w:hAnsi="Calibri"/>
                <w:lang w:val="en-US"/>
              </w:rPr>
              <w:t xml:space="preserve"> rights, and it tells us </w:t>
            </w:r>
            <w:r>
              <w:rPr>
                <w:rFonts w:ascii="Calibri" w:hAnsi="Calibri"/>
                <w:lang w:val="en-US"/>
              </w:rPr>
              <w:t xml:space="preserve">the no. of </w:t>
            </w:r>
            <w:r w:rsidRPr="00445DD8">
              <w:rPr>
                <w:rFonts w:ascii="Calibri" w:hAnsi="Calibri"/>
                <w:lang w:val="en-US"/>
              </w:rPr>
              <w:t>women</w:t>
            </w:r>
            <w:r>
              <w:rPr>
                <w:rFonts w:ascii="Calibri" w:hAnsi="Calibri"/>
                <w:lang w:val="en-US"/>
              </w:rPr>
              <w:t xml:space="preserve"> with such rights</w:t>
            </w:r>
            <w:r w:rsidRPr="00445DD8">
              <w:rPr>
                <w:rFonts w:ascii="Calibri" w:hAnsi="Calibri"/>
                <w:lang w:val="en-US"/>
              </w:rPr>
              <w:t>.</w:t>
            </w:r>
          </w:p>
          <w:p w14:paraId="29EE64E3" w14:textId="77777777" w:rsidR="00B43327" w:rsidRPr="00445DD8" w:rsidRDefault="00B43327" w:rsidP="00B43327">
            <w:pPr>
              <w:pStyle w:val="MText"/>
              <w:rPr>
                <w:rFonts w:ascii="Calibri" w:hAnsi="Calibri"/>
                <w:lang w:val="en-US"/>
              </w:rPr>
            </w:pPr>
          </w:p>
          <w:p w14:paraId="39A1202C" w14:textId="77777777" w:rsidR="00B43327" w:rsidRPr="00445DD8" w:rsidRDefault="00B43327" w:rsidP="00B43327">
            <w:pPr>
              <w:pStyle w:val="MText"/>
              <w:rPr>
                <w:rFonts w:ascii="Calibri" w:hAnsi="Calibri"/>
                <w:lang w:val="en-US"/>
              </w:rPr>
            </w:pPr>
            <w:r w:rsidRPr="00445DD8">
              <w:rPr>
                <w:rFonts w:ascii="Calibri" w:hAnsi="Calibri"/>
                <w:lang w:val="en-US"/>
              </w:rPr>
              <w:t xml:space="preserve">Therefore, it is sufficient to have: </w:t>
            </w:r>
          </w:p>
          <w:p w14:paraId="755C0B4D" w14:textId="77777777" w:rsidR="00B43327" w:rsidRPr="00445DD8" w:rsidRDefault="00B43327" w:rsidP="00B43327">
            <w:pPr>
              <w:pStyle w:val="MText"/>
              <w:numPr>
                <w:ilvl w:val="0"/>
                <w:numId w:val="5"/>
              </w:numPr>
              <w:rPr>
                <w:rFonts w:ascii="Calibri" w:hAnsi="Calibri"/>
              </w:rPr>
            </w:pPr>
            <w:r w:rsidRPr="00445DD8">
              <w:rPr>
                <w:rFonts w:ascii="Calibri" w:hAnsi="Calibri"/>
              </w:rPr>
              <w:t xml:space="preserve">The </w:t>
            </w:r>
            <w:r>
              <w:rPr>
                <w:rFonts w:ascii="Calibri" w:hAnsi="Calibri"/>
              </w:rPr>
              <w:t xml:space="preserve">total </w:t>
            </w:r>
            <w:r w:rsidRPr="00445DD8">
              <w:rPr>
                <w:rFonts w:ascii="Calibri" w:hAnsi="Calibri"/>
              </w:rPr>
              <w:t xml:space="preserve">number </w:t>
            </w:r>
            <w:r>
              <w:rPr>
                <w:rFonts w:ascii="Calibri" w:hAnsi="Calibri"/>
              </w:rPr>
              <w:t xml:space="preserve">of women involved in </w:t>
            </w:r>
            <w:r w:rsidRPr="1D0320F5">
              <w:rPr>
                <w:rFonts w:ascii="Calibri" w:hAnsi="Calibri" w:cs="Calibri"/>
              </w:rPr>
              <w:t>agricultur</w:t>
            </w:r>
            <w:r>
              <w:rPr>
                <w:rFonts w:ascii="Calibri" w:hAnsi="Calibri" w:cs="Calibri"/>
              </w:rPr>
              <w:t>e</w:t>
            </w:r>
            <w:r w:rsidRPr="1D0320F5">
              <w:rPr>
                <w:rFonts w:ascii="Calibri" w:hAnsi="Calibri" w:cs="Calibri"/>
              </w:rPr>
              <w:t xml:space="preserve"> </w:t>
            </w:r>
            <w:r w:rsidRPr="00445DD8">
              <w:rPr>
                <w:rFonts w:ascii="Calibri" w:hAnsi="Calibri"/>
              </w:rPr>
              <w:t xml:space="preserve">with ownership or </w:t>
            </w:r>
            <w:r w:rsidRPr="1D0320F5">
              <w:rPr>
                <w:rFonts w:ascii="Calibri" w:hAnsi="Calibri" w:cs="Calibri"/>
              </w:rPr>
              <w:t>secure</w:t>
            </w:r>
            <w:r w:rsidRPr="00445DD8">
              <w:rPr>
                <w:rFonts w:ascii="Calibri" w:hAnsi="Calibri"/>
              </w:rPr>
              <w:t xml:space="preserve"> rights over agricultural land , and</w:t>
            </w:r>
          </w:p>
          <w:p w14:paraId="2E3517AC" w14:textId="672A8893" w:rsidR="007F2D9F" w:rsidRPr="009F305C" w:rsidRDefault="00B43327" w:rsidP="00B43327">
            <w:pPr>
              <w:autoSpaceDE w:val="0"/>
              <w:autoSpaceDN w:val="0"/>
              <w:adjustRightInd w:val="0"/>
              <w:spacing w:after="0" w:line="240" w:lineRule="auto"/>
              <w:jc w:val="both"/>
            </w:pPr>
            <w:r w:rsidRPr="00445DD8">
              <w:rPr>
                <w:rFonts w:ascii="Calibri" w:hAnsi="Calibri"/>
              </w:rPr>
              <w:t xml:space="preserve">The total agricultural </w:t>
            </w:r>
            <w:r>
              <w:rPr>
                <w:rFonts w:ascii="Calibri" w:hAnsi="Calibri"/>
              </w:rPr>
              <w:t xml:space="preserve">women </w:t>
            </w:r>
            <w:r w:rsidRPr="00445DD8">
              <w:rPr>
                <w:rFonts w:ascii="Calibri" w:hAnsi="Calibri"/>
              </w:rPr>
              <w:t>population</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1DEB2014" w:rsidR="007F2D9F" w:rsidRPr="009F305C" w:rsidRDefault="007D696B" w:rsidP="00B43327">
            <w:pPr>
              <w:jc w:val="both"/>
            </w:pPr>
            <w:r>
              <w:t>KDHS is normally done after every 5 years due to resource constraints. This leads to lack of timely data for policy formulation</w:t>
            </w:r>
            <w:r w:rsidR="00B43327">
              <w:t>, for 2022 KCHS, data available for women, no data on men therefore the indicator is only computed for adult women, in future surveys information on land ownership and secure rights ownership should be collected for both Men and Women</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3B110D4" w14:textId="77777777" w:rsidR="00B43327" w:rsidRPr="00445DD8" w:rsidRDefault="007D696B" w:rsidP="00B43327">
            <w:pPr>
              <w:pStyle w:val="MText"/>
              <w:jc w:val="both"/>
              <w:rPr>
                <w:rFonts w:ascii="Calibri" w:hAnsi="Calibri"/>
              </w:rPr>
            </w:pPr>
            <w:r>
              <w:rPr>
                <w:rFonts w:ascii="Calibri" w:hAnsi="Calibri" w:cs="Calibri"/>
              </w:rPr>
              <w:t xml:space="preserve">This indicator is </w:t>
            </w:r>
            <w:r w:rsidR="008B3CB0">
              <w:rPr>
                <w:rFonts w:ascii="Calibri" w:hAnsi="Calibri" w:cs="Calibri"/>
              </w:rPr>
              <w:t>produced through a methodology discussed widely in the methodology part of the KDHS report referenced in the reference section</w:t>
            </w:r>
            <w:r w:rsidR="00B43327">
              <w:rPr>
                <w:rFonts w:ascii="Calibri" w:hAnsi="Calibri" w:cs="Calibri"/>
              </w:rPr>
              <w:t xml:space="preserve">, </w:t>
            </w:r>
            <w:r w:rsidR="00B43327" w:rsidRPr="00445DD8">
              <w:rPr>
                <w:rFonts w:ascii="Calibri" w:hAnsi="Calibri"/>
              </w:rPr>
              <w:t xml:space="preserve">The </w:t>
            </w:r>
            <w:r w:rsidR="00B43327">
              <w:rPr>
                <w:rFonts w:ascii="Calibri" w:hAnsi="Calibri"/>
              </w:rPr>
              <w:t xml:space="preserve">computation of this indicator </w:t>
            </w:r>
            <w:r w:rsidR="00B43327" w:rsidRPr="00445DD8">
              <w:rPr>
                <w:rFonts w:ascii="Calibri" w:hAnsi="Calibri"/>
              </w:rPr>
              <w:t>in</w:t>
            </w:r>
            <w:r w:rsidR="00B43327">
              <w:rPr>
                <w:rFonts w:ascii="Calibri" w:hAnsi="Calibri"/>
              </w:rPr>
              <w:t xml:space="preserve">volved  women </w:t>
            </w:r>
            <w:r w:rsidR="00B43327" w:rsidRPr="00445DD8">
              <w:rPr>
                <w:rFonts w:ascii="Calibri" w:hAnsi="Calibri"/>
              </w:rPr>
              <w:t>consider</w:t>
            </w:r>
            <w:r w:rsidR="00B43327">
              <w:rPr>
                <w:rFonts w:ascii="Calibri" w:hAnsi="Calibri"/>
              </w:rPr>
              <w:t>ed</w:t>
            </w:r>
            <w:r w:rsidR="00B43327" w:rsidRPr="00445DD8">
              <w:rPr>
                <w:rFonts w:ascii="Calibri" w:hAnsi="Calibri"/>
              </w:rPr>
              <w:t xml:space="preserve"> as owners or holders of secure rights to agricultural land all the </w:t>
            </w:r>
            <w:r w:rsidR="00B43327">
              <w:rPr>
                <w:rFonts w:ascii="Calibri" w:hAnsi="Calibri"/>
              </w:rPr>
              <w:t>women</w:t>
            </w:r>
            <w:r w:rsidR="00B43327" w:rsidRPr="00445DD8">
              <w:rPr>
                <w:rFonts w:ascii="Calibri" w:hAnsi="Calibri"/>
              </w:rPr>
              <w:t xml:space="preserve"> in the reference population who:</w:t>
            </w:r>
          </w:p>
          <w:p w14:paraId="4ADF70A7" w14:textId="77777777" w:rsidR="00B43327" w:rsidRPr="00445DD8" w:rsidRDefault="00B43327" w:rsidP="00B43327">
            <w:pPr>
              <w:pStyle w:val="MText"/>
              <w:numPr>
                <w:ilvl w:val="0"/>
                <w:numId w:val="6"/>
              </w:numPr>
              <w:spacing w:after="120"/>
              <w:jc w:val="both"/>
              <w:rPr>
                <w:rFonts w:ascii="Calibri" w:hAnsi="Calibri"/>
              </w:rPr>
            </w:pPr>
            <w:r w:rsidRPr="00445DD8">
              <w:rPr>
                <w:rFonts w:ascii="Calibri" w:hAnsi="Calibri"/>
              </w:rPr>
              <w:t xml:space="preserve">Are listed as ‘owners’ or ‘holders’ on a written legal document that testifies security of </w:t>
            </w:r>
            <w:r>
              <w:rPr>
                <w:rFonts w:ascii="Calibri" w:hAnsi="Calibri" w:cs="Calibri"/>
              </w:rPr>
              <w:t>rights</w:t>
            </w:r>
            <w:r w:rsidRPr="00445DD8">
              <w:rPr>
                <w:rFonts w:ascii="Calibri" w:hAnsi="Calibri"/>
              </w:rPr>
              <w:t xml:space="preserve"> over agricultural land</w:t>
            </w:r>
          </w:p>
          <w:p w14:paraId="5A53B8A7" w14:textId="4B4A6884" w:rsidR="007F2D9F" w:rsidRPr="009F305C" w:rsidRDefault="007F2D9F" w:rsidP="008B3CB0">
            <w:pPr>
              <w:autoSpaceDE w:val="0"/>
              <w:autoSpaceDN w:val="0"/>
              <w:adjustRightInd w:val="0"/>
              <w:spacing w:after="0" w:line="240" w:lineRule="auto"/>
            </w:pP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1500693B" w14:textId="77777777" w:rsidR="007F2D9F" w:rsidRDefault="00F16EE7" w:rsidP="00F16EE7">
            <w:pPr>
              <w:jc w:val="both"/>
            </w:pPr>
            <w:r>
              <w:t>KDHS report v</w:t>
            </w:r>
            <w:r w:rsidR="00670E96">
              <w:t>alidation starts from survey planning, data collection, data cleaning and in the report writing. Through the use of Computer aided devices, various validation checks are put in place including error identification and correction.</w:t>
            </w:r>
          </w:p>
          <w:p w14:paraId="1176374C" w14:textId="7F342B8F" w:rsidR="004B322C" w:rsidRDefault="004B322C" w:rsidP="00F16EE7">
            <w:pPr>
              <w:jc w:val="both"/>
            </w:pPr>
            <w:r>
              <w:rPr>
                <w:rFonts w:ascii="Calibri" w:hAnsi="Calibri"/>
              </w:rPr>
              <w:t xml:space="preserve">KNBS </w:t>
            </w:r>
            <w:r w:rsidRPr="00445DD8">
              <w:rPr>
                <w:rFonts w:ascii="Calibri" w:hAnsi="Calibri"/>
              </w:rPr>
              <w:t>is responsible to check the syntaxes used in the computation of the indicator as well as the questions</w:t>
            </w:r>
            <w:r>
              <w:rPr>
                <w:rFonts w:ascii="Calibri" w:hAnsi="Calibri"/>
              </w:rPr>
              <w:t>, data quality checked and approved using KeSQAF</w:t>
            </w:r>
          </w:p>
          <w:p w14:paraId="59A9A85C" w14:textId="23357EF0" w:rsidR="004B322C" w:rsidRPr="009F305C" w:rsidRDefault="004B322C" w:rsidP="00F16EE7">
            <w:pPr>
              <w:jc w:val="both"/>
            </w:pP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0CDBA088" w:rsidR="007F2D9F" w:rsidRPr="009F305C" w:rsidRDefault="00E6260B" w:rsidP="009F305C">
            <w:r>
              <w:t>None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50502209" w:rsidR="007F2D9F" w:rsidRPr="009F305C" w:rsidRDefault="00E6260B" w:rsidP="009F305C">
            <w:r>
              <w:t>N/A</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5082131D" w:rsidR="007F2D9F" w:rsidRPr="009F305C" w:rsidRDefault="00E6260B" w:rsidP="009F305C">
            <w:r>
              <w:t>N/A</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1CAB79D0" w:rsidR="007F2D9F" w:rsidRPr="009F305C" w:rsidRDefault="00E6260B" w:rsidP="009F305C">
            <w:r>
              <w:t>N/A</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0FF3C7C0" w:rsidR="007F2D9F" w:rsidRPr="009F305C" w:rsidRDefault="00E6260B" w:rsidP="009F305C">
            <w:r>
              <w:t>The quality of the output is controlled by a series of steps put in place. This includes well designed data capture methods using Computer Aided Personal Interviews, proper training of data collectors, use of internationally accepted models by our knowledgeable data compilers and peer reviewing of reports before publication.</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06732BF2" w:rsidR="007F2D9F" w:rsidRPr="009F305C" w:rsidRDefault="00B81BA5" w:rsidP="00B81BA5">
            <w:pPr>
              <w:jc w:val="both"/>
            </w:pPr>
            <w:r>
              <w:t>The Bureau together with other stakeholders who include statistical units experts jointly carries out the aforementioned census and surveys guaranteeing a high quality publication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68B18F47" w:rsidR="007F2D9F" w:rsidRPr="009F305C" w:rsidRDefault="00B81BA5" w:rsidP="00B81BA5">
            <w:pPr>
              <w:jc w:val="both"/>
            </w:pPr>
            <w:r>
              <w:t xml:space="preserve">The report must meet the requirements of the Kenya Statistical Quality Assessment Framework, Data Quality Assessment Framework and ISO </w:t>
            </w:r>
            <w:r w:rsidR="008E3BE3">
              <w:t xml:space="preserve">9001:2015 </w:t>
            </w:r>
            <w:r>
              <w:t>standards before dissemination</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2A75549E" w:rsidR="00776312" w:rsidRPr="009F305C" w:rsidRDefault="004B322C" w:rsidP="009F305C">
            <w:r>
              <w:t>The microdata and the report is always available on KNBS Website, the data is disaggregated at National, Rural/Urban and County</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0454CC8C" w:rsidR="006A7EF1" w:rsidRPr="009F305C" w:rsidRDefault="008E3BE3" w:rsidP="009F305C">
            <w:r>
              <w:t>N/A</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49E7549" w14:textId="77777777" w:rsidR="008E3BE3" w:rsidRDefault="008E3BE3" w:rsidP="008E3BE3">
            <w:r>
              <w:t xml:space="preserve">Kenya Demographic and Health Survey Report </w:t>
            </w:r>
          </w:p>
          <w:p w14:paraId="0F77FBB2" w14:textId="67069FF8" w:rsidR="004B322C" w:rsidRDefault="004B322C" w:rsidP="008E3BE3">
            <w:r>
              <w:t xml:space="preserve">2022 Kenya Continuous Household Survey micro data </w:t>
            </w:r>
          </w:p>
          <w:p w14:paraId="127FB56F" w14:textId="7C4B2287" w:rsidR="006F104C" w:rsidRPr="009F305C" w:rsidRDefault="006260DC" w:rsidP="008E3BE3">
            <w:hyperlink r:id="rId21" w:history="1">
              <w:r w:rsidR="008E3BE3" w:rsidRPr="006B3E4F">
                <w:rPr>
                  <w:rStyle w:val="Hyperlink"/>
                </w:rPr>
                <w:t>https://www.knbs.or.ke/download/kenya-dhs-2022-main-report-volume-2/</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B43327" w:rsidRDefault="00B43327" w:rsidP="006B0512">
      <w:pPr>
        <w:spacing w:after="0" w:line="240" w:lineRule="auto"/>
      </w:pPr>
      <w:r>
        <w:separator/>
      </w:r>
    </w:p>
  </w:endnote>
  <w:endnote w:type="continuationSeparator" w:id="0">
    <w:p w14:paraId="0652DDFD" w14:textId="77777777" w:rsidR="00B43327" w:rsidRDefault="00B43327"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DengXian">
    <w:altName w:val="等线"/>
    <w:panose1 w:val="02010600030101010101"/>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2A03BB87" w:rsidR="00B43327" w:rsidRDefault="00B43327">
        <w:pPr>
          <w:pStyle w:val="Footer"/>
          <w:jc w:val="right"/>
        </w:pPr>
        <w:r>
          <w:fldChar w:fldCharType="begin"/>
        </w:r>
        <w:r>
          <w:instrText xml:space="preserve"> PAGE   \* MERGEFORMAT </w:instrText>
        </w:r>
        <w:r>
          <w:fldChar w:fldCharType="separate"/>
        </w:r>
        <w:r w:rsidR="006260DC">
          <w:rPr>
            <w:noProof/>
          </w:rPr>
          <w:t>3</w:t>
        </w:r>
        <w:r>
          <w:rPr>
            <w:noProof/>
          </w:rPr>
          <w:fldChar w:fldCharType="end"/>
        </w:r>
      </w:p>
    </w:sdtContent>
  </w:sdt>
  <w:p w14:paraId="232AF3D4" w14:textId="77777777" w:rsidR="00B43327" w:rsidRDefault="00B43327">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6E3C28A4" w:rsidR="00B43327" w:rsidRDefault="00B43327">
        <w:pPr>
          <w:pStyle w:val="Footer"/>
          <w:jc w:val="right"/>
        </w:pPr>
        <w:r>
          <w:fldChar w:fldCharType="begin"/>
        </w:r>
        <w:r>
          <w:instrText xml:space="preserve"> PAGE   \* MERGEFORMAT </w:instrText>
        </w:r>
        <w:r>
          <w:fldChar w:fldCharType="separate"/>
        </w:r>
        <w:r w:rsidR="006260DC">
          <w:rPr>
            <w:noProof/>
          </w:rPr>
          <w:t>1</w:t>
        </w:r>
        <w:r>
          <w:rPr>
            <w:noProof/>
          </w:rPr>
          <w:fldChar w:fldCharType="end"/>
        </w:r>
      </w:p>
    </w:sdtContent>
  </w:sdt>
  <w:p w14:paraId="52FF1B3E" w14:textId="77777777" w:rsidR="00B43327" w:rsidRDefault="00B43327">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B43327" w:rsidRDefault="00B43327" w:rsidP="006B0512">
      <w:pPr>
        <w:spacing w:after="0" w:line="240" w:lineRule="auto"/>
      </w:pPr>
      <w:r>
        <w:separator/>
      </w:r>
    </w:p>
  </w:footnote>
  <w:footnote w:type="continuationSeparator" w:id="0">
    <w:p w14:paraId="21AE062F" w14:textId="77777777" w:rsidR="00B43327" w:rsidRDefault="00B43327" w:rsidP="006B0512">
      <w:pPr>
        <w:spacing w:after="0" w:line="240" w:lineRule="auto"/>
      </w:pPr>
      <w:r>
        <w:continuationSeparator/>
      </w:r>
    </w:p>
  </w:footnote>
  <w:footnote w:id="1">
    <w:p w14:paraId="463C7A6C" w14:textId="3926C0D8" w:rsidR="00B43327" w:rsidRPr="00B8102F" w:rsidRDefault="00B43327">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C66217"/>
    <w:multiLevelType w:val="hybridMultilevel"/>
    <w:tmpl w:val="C670349C"/>
    <w:lvl w:ilvl="0" w:tplc="A87AFE6C">
      <w:start w:val="3"/>
      <w:numFmt w:val="bullet"/>
      <w:lvlText w:val="-"/>
      <w:lvlJc w:val="left"/>
      <w:pPr>
        <w:ind w:left="720" w:hanging="360"/>
      </w:pPr>
      <w:rPr>
        <w:rFonts w:ascii="Calibri" w:eastAsia="Times New Roman" w:hAnsi="Calibri" w:cs="Times New Roman" w:hint="default"/>
      </w:rPr>
    </w:lvl>
    <w:lvl w:ilvl="1" w:tplc="08090003">
      <w:start w:val="1"/>
      <w:numFmt w:val="bullet"/>
      <w:lvlText w:val="o"/>
      <w:lvlJc w:val="left"/>
      <w:pPr>
        <w:ind w:left="1440" w:hanging="360"/>
      </w:pPr>
      <w:rPr>
        <w:rFonts w:ascii="Courier New" w:hAnsi="Courier New" w:cs="Courier New" w:hint="default"/>
      </w:rPr>
    </w:lvl>
    <w:lvl w:ilvl="2" w:tplc="08090005">
      <w:start w:val="1"/>
      <w:numFmt w:val="bullet"/>
      <w:lvlText w:val=""/>
      <w:lvlJc w:val="left"/>
      <w:pPr>
        <w:ind w:left="2160" w:hanging="360"/>
      </w:pPr>
      <w:rPr>
        <w:rFonts w:ascii="Wingdings" w:hAnsi="Wingdings" w:hint="default"/>
      </w:rPr>
    </w:lvl>
    <w:lvl w:ilvl="3" w:tplc="08090001">
      <w:start w:val="1"/>
      <w:numFmt w:val="bullet"/>
      <w:lvlText w:val=""/>
      <w:lvlJc w:val="left"/>
      <w:pPr>
        <w:ind w:left="2880" w:hanging="360"/>
      </w:pPr>
      <w:rPr>
        <w:rFonts w:ascii="Symbol" w:hAnsi="Symbol" w:hint="default"/>
      </w:rPr>
    </w:lvl>
    <w:lvl w:ilvl="4" w:tplc="08090003">
      <w:start w:val="1"/>
      <w:numFmt w:val="bullet"/>
      <w:lvlText w:val="o"/>
      <w:lvlJc w:val="left"/>
      <w:pPr>
        <w:ind w:left="3600" w:hanging="360"/>
      </w:pPr>
      <w:rPr>
        <w:rFonts w:ascii="Courier New" w:hAnsi="Courier New" w:cs="Courier New" w:hint="default"/>
      </w:rPr>
    </w:lvl>
    <w:lvl w:ilvl="5" w:tplc="08090005">
      <w:start w:val="1"/>
      <w:numFmt w:val="bullet"/>
      <w:lvlText w:val=""/>
      <w:lvlJc w:val="left"/>
      <w:pPr>
        <w:ind w:left="4320" w:hanging="360"/>
      </w:pPr>
      <w:rPr>
        <w:rFonts w:ascii="Wingdings" w:hAnsi="Wingdings" w:hint="default"/>
      </w:rPr>
    </w:lvl>
    <w:lvl w:ilvl="6" w:tplc="08090001">
      <w:start w:val="1"/>
      <w:numFmt w:val="bullet"/>
      <w:lvlText w:val=""/>
      <w:lvlJc w:val="left"/>
      <w:pPr>
        <w:ind w:left="5040" w:hanging="360"/>
      </w:pPr>
      <w:rPr>
        <w:rFonts w:ascii="Symbol" w:hAnsi="Symbol" w:hint="default"/>
      </w:rPr>
    </w:lvl>
    <w:lvl w:ilvl="7" w:tplc="08090003">
      <w:start w:val="1"/>
      <w:numFmt w:val="bullet"/>
      <w:lvlText w:val="o"/>
      <w:lvlJc w:val="left"/>
      <w:pPr>
        <w:ind w:left="5760" w:hanging="360"/>
      </w:pPr>
      <w:rPr>
        <w:rFonts w:ascii="Courier New" w:hAnsi="Courier New" w:cs="Courier New" w:hint="default"/>
      </w:rPr>
    </w:lvl>
    <w:lvl w:ilvl="8" w:tplc="08090005">
      <w:start w:val="1"/>
      <w:numFmt w:val="bullet"/>
      <w:lvlText w:val=""/>
      <w:lvlJc w:val="left"/>
      <w:pPr>
        <w:ind w:left="6480" w:hanging="360"/>
      </w:pPr>
      <w:rPr>
        <w:rFonts w:ascii="Wingdings" w:hAnsi="Wingdings" w:hint="default"/>
      </w:rPr>
    </w:lvl>
  </w:abstractNum>
  <w:abstractNum w:abstractNumId="1" w15:restartNumberingAfterBreak="0">
    <w:nsid w:val="19575EE8"/>
    <w:multiLevelType w:val="hybridMultilevel"/>
    <w:tmpl w:val="4A586212"/>
    <w:lvl w:ilvl="0" w:tplc="08090015">
      <w:start w:val="1"/>
      <w:numFmt w:val="upperLetter"/>
      <w:lvlText w:val="%1."/>
      <w:lvlJc w:val="left"/>
      <w:pPr>
        <w:ind w:left="720" w:hanging="360"/>
      </w:pPr>
    </w:lvl>
    <w:lvl w:ilvl="1" w:tplc="08090019">
      <w:start w:val="1"/>
      <w:numFmt w:val="lowerLetter"/>
      <w:lvlText w:val="%2."/>
      <w:lvlJc w:val="left"/>
      <w:pPr>
        <w:ind w:left="1440" w:hanging="360"/>
      </w:pPr>
    </w:lvl>
    <w:lvl w:ilvl="2" w:tplc="0809001B">
      <w:start w:val="1"/>
      <w:numFmt w:val="lowerRoman"/>
      <w:lvlText w:val="%3."/>
      <w:lvlJc w:val="right"/>
      <w:pPr>
        <w:ind w:left="2160" w:hanging="180"/>
      </w:pPr>
    </w:lvl>
    <w:lvl w:ilvl="3" w:tplc="0809000F">
      <w:start w:val="1"/>
      <w:numFmt w:val="decimal"/>
      <w:lvlText w:val="%4."/>
      <w:lvlJc w:val="left"/>
      <w:pPr>
        <w:ind w:left="2880" w:hanging="360"/>
      </w:pPr>
    </w:lvl>
    <w:lvl w:ilvl="4" w:tplc="08090019">
      <w:start w:val="1"/>
      <w:numFmt w:val="lowerLetter"/>
      <w:lvlText w:val="%5."/>
      <w:lvlJc w:val="left"/>
      <w:pPr>
        <w:ind w:left="3600" w:hanging="360"/>
      </w:pPr>
    </w:lvl>
    <w:lvl w:ilvl="5" w:tplc="0809001B">
      <w:start w:val="1"/>
      <w:numFmt w:val="lowerRoman"/>
      <w:lvlText w:val="%6."/>
      <w:lvlJc w:val="right"/>
      <w:pPr>
        <w:ind w:left="4320" w:hanging="180"/>
      </w:pPr>
    </w:lvl>
    <w:lvl w:ilvl="6" w:tplc="0809000F">
      <w:start w:val="1"/>
      <w:numFmt w:val="decimal"/>
      <w:lvlText w:val="%7."/>
      <w:lvlJc w:val="left"/>
      <w:pPr>
        <w:ind w:left="5040" w:hanging="360"/>
      </w:pPr>
    </w:lvl>
    <w:lvl w:ilvl="7" w:tplc="08090019">
      <w:start w:val="1"/>
      <w:numFmt w:val="lowerLetter"/>
      <w:lvlText w:val="%8."/>
      <w:lvlJc w:val="left"/>
      <w:pPr>
        <w:ind w:left="5760" w:hanging="360"/>
      </w:pPr>
    </w:lvl>
    <w:lvl w:ilvl="8" w:tplc="0809001B">
      <w:start w:val="1"/>
      <w:numFmt w:val="lowerRoman"/>
      <w:lvlText w:val="%9."/>
      <w:lvlJc w:val="right"/>
      <w:pPr>
        <w:ind w:left="6480" w:hanging="180"/>
      </w:pPr>
    </w:lvl>
  </w:abstractNum>
  <w:abstractNum w:abstractNumId="2"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4"/>
  </w:num>
  <w:num w:numId="2">
    <w:abstractNumId w:val="2"/>
  </w:num>
  <w:num w:numId="3">
    <w:abstractNumId w:val="5"/>
  </w:num>
  <w:num w:numId="4">
    <w:abstractNumId w:val="3"/>
  </w:num>
  <w:num w:numId="5">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ocumentProtection w:edit="readOnly" w:enforcement="1"/>
  <w:defaultTabStop w:val="720"/>
  <w:characterSpacingControl w:val="doNotCompress"/>
  <w:hdrShapeDefaults>
    <o:shapedefaults v:ext="edit" spidmax="5120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34BA7"/>
    <w:rsid w:val="00042B85"/>
    <w:rsid w:val="000434EA"/>
    <w:rsid w:val="000639BB"/>
    <w:rsid w:val="000716CF"/>
    <w:rsid w:val="00073907"/>
    <w:rsid w:val="00091352"/>
    <w:rsid w:val="0009691A"/>
    <w:rsid w:val="00097108"/>
    <w:rsid w:val="000A24C4"/>
    <w:rsid w:val="000B1F92"/>
    <w:rsid w:val="000B6681"/>
    <w:rsid w:val="000C6D3A"/>
    <w:rsid w:val="000E4EFE"/>
    <w:rsid w:val="000F01D3"/>
    <w:rsid w:val="000F3B8E"/>
    <w:rsid w:val="001034ED"/>
    <w:rsid w:val="00106632"/>
    <w:rsid w:val="001127E6"/>
    <w:rsid w:val="0013388C"/>
    <w:rsid w:val="0014660A"/>
    <w:rsid w:val="0015178E"/>
    <w:rsid w:val="00151B76"/>
    <w:rsid w:val="00154283"/>
    <w:rsid w:val="0015690D"/>
    <w:rsid w:val="0015725E"/>
    <w:rsid w:val="001734AE"/>
    <w:rsid w:val="00180823"/>
    <w:rsid w:val="00183788"/>
    <w:rsid w:val="0018734D"/>
    <w:rsid w:val="001A0E35"/>
    <w:rsid w:val="001A230E"/>
    <w:rsid w:val="001A6F28"/>
    <w:rsid w:val="001B6829"/>
    <w:rsid w:val="001C1BC2"/>
    <w:rsid w:val="001C44A2"/>
    <w:rsid w:val="001D5B71"/>
    <w:rsid w:val="001E1E26"/>
    <w:rsid w:val="001F0C55"/>
    <w:rsid w:val="001F31C6"/>
    <w:rsid w:val="00202B2D"/>
    <w:rsid w:val="0020618B"/>
    <w:rsid w:val="00210A25"/>
    <w:rsid w:val="0022035F"/>
    <w:rsid w:val="00223B6C"/>
    <w:rsid w:val="002313D6"/>
    <w:rsid w:val="00235F8D"/>
    <w:rsid w:val="00241E90"/>
    <w:rsid w:val="002525CC"/>
    <w:rsid w:val="002607BA"/>
    <w:rsid w:val="00266557"/>
    <w:rsid w:val="002806B7"/>
    <w:rsid w:val="0029558C"/>
    <w:rsid w:val="002A592D"/>
    <w:rsid w:val="002A631A"/>
    <w:rsid w:val="002A6E7E"/>
    <w:rsid w:val="002C065D"/>
    <w:rsid w:val="002C550A"/>
    <w:rsid w:val="002E449E"/>
    <w:rsid w:val="002E6DA3"/>
    <w:rsid w:val="002F5D95"/>
    <w:rsid w:val="00316CFE"/>
    <w:rsid w:val="003218D9"/>
    <w:rsid w:val="00325D2B"/>
    <w:rsid w:val="00326DBF"/>
    <w:rsid w:val="00344199"/>
    <w:rsid w:val="003514F3"/>
    <w:rsid w:val="00352386"/>
    <w:rsid w:val="0035311B"/>
    <w:rsid w:val="00355460"/>
    <w:rsid w:val="00372D21"/>
    <w:rsid w:val="00380958"/>
    <w:rsid w:val="003812B1"/>
    <w:rsid w:val="0039535F"/>
    <w:rsid w:val="003A3746"/>
    <w:rsid w:val="003A6B30"/>
    <w:rsid w:val="003A7445"/>
    <w:rsid w:val="003B1388"/>
    <w:rsid w:val="003B3C76"/>
    <w:rsid w:val="003D3BD3"/>
    <w:rsid w:val="003E117E"/>
    <w:rsid w:val="003E7389"/>
    <w:rsid w:val="003E7F33"/>
    <w:rsid w:val="00406983"/>
    <w:rsid w:val="00413337"/>
    <w:rsid w:val="0041350B"/>
    <w:rsid w:val="00416A6D"/>
    <w:rsid w:val="0041779B"/>
    <w:rsid w:val="00417B9F"/>
    <w:rsid w:val="00430958"/>
    <w:rsid w:val="00431B2F"/>
    <w:rsid w:val="00433D18"/>
    <w:rsid w:val="00451CAD"/>
    <w:rsid w:val="00462DB8"/>
    <w:rsid w:val="00463306"/>
    <w:rsid w:val="00470BED"/>
    <w:rsid w:val="00474834"/>
    <w:rsid w:val="0048556F"/>
    <w:rsid w:val="00490C58"/>
    <w:rsid w:val="004962C5"/>
    <w:rsid w:val="004A31AD"/>
    <w:rsid w:val="004B322C"/>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2393F"/>
    <w:rsid w:val="0053509F"/>
    <w:rsid w:val="00535955"/>
    <w:rsid w:val="005370AC"/>
    <w:rsid w:val="00537550"/>
    <w:rsid w:val="005377B9"/>
    <w:rsid w:val="005479CE"/>
    <w:rsid w:val="00560EB1"/>
    <w:rsid w:val="00571DE4"/>
    <w:rsid w:val="005720E4"/>
    <w:rsid w:val="005803B3"/>
    <w:rsid w:val="00581C4A"/>
    <w:rsid w:val="00581D14"/>
    <w:rsid w:val="005966A8"/>
    <w:rsid w:val="005B293A"/>
    <w:rsid w:val="005B657A"/>
    <w:rsid w:val="005C091C"/>
    <w:rsid w:val="005C570B"/>
    <w:rsid w:val="005C76A1"/>
    <w:rsid w:val="005D44B5"/>
    <w:rsid w:val="005F46B1"/>
    <w:rsid w:val="005F5729"/>
    <w:rsid w:val="005F7B42"/>
    <w:rsid w:val="00604A6A"/>
    <w:rsid w:val="00611159"/>
    <w:rsid w:val="0061331D"/>
    <w:rsid w:val="006260DC"/>
    <w:rsid w:val="00633477"/>
    <w:rsid w:val="00643134"/>
    <w:rsid w:val="006459EE"/>
    <w:rsid w:val="006560A4"/>
    <w:rsid w:val="00670E96"/>
    <w:rsid w:val="0068379D"/>
    <w:rsid w:val="00693674"/>
    <w:rsid w:val="006A7EF1"/>
    <w:rsid w:val="006B00D7"/>
    <w:rsid w:val="006B0512"/>
    <w:rsid w:val="006B3527"/>
    <w:rsid w:val="006C075C"/>
    <w:rsid w:val="006C6768"/>
    <w:rsid w:val="006C783E"/>
    <w:rsid w:val="006E1A7D"/>
    <w:rsid w:val="006F104C"/>
    <w:rsid w:val="006F2038"/>
    <w:rsid w:val="006F23D7"/>
    <w:rsid w:val="006F50E8"/>
    <w:rsid w:val="007100BD"/>
    <w:rsid w:val="00736C17"/>
    <w:rsid w:val="00736C4F"/>
    <w:rsid w:val="00745C84"/>
    <w:rsid w:val="007472A9"/>
    <w:rsid w:val="00751373"/>
    <w:rsid w:val="00772DE4"/>
    <w:rsid w:val="0077584C"/>
    <w:rsid w:val="00776312"/>
    <w:rsid w:val="00791932"/>
    <w:rsid w:val="00795FBF"/>
    <w:rsid w:val="007A078A"/>
    <w:rsid w:val="007A2617"/>
    <w:rsid w:val="007A28BA"/>
    <w:rsid w:val="007B2E39"/>
    <w:rsid w:val="007C2733"/>
    <w:rsid w:val="007C63C4"/>
    <w:rsid w:val="007D696B"/>
    <w:rsid w:val="007E4EE0"/>
    <w:rsid w:val="007F2D9F"/>
    <w:rsid w:val="007F5448"/>
    <w:rsid w:val="007F6520"/>
    <w:rsid w:val="00806D18"/>
    <w:rsid w:val="00810C60"/>
    <w:rsid w:val="00851DF8"/>
    <w:rsid w:val="008521A2"/>
    <w:rsid w:val="008A7300"/>
    <w:rsid w:val="008B3CB0"/>
    <w:rsid w:val="008C141D"/>
    <w:rsid w:val="008C3695"/>
    <w:rsid w:val="008D775E"/>
    <w:rsid w:val="008E09AA"/>
    <w:rsid w:val="008E3BE3"/>
    <w:rsid w:val="008E4413"/>
    <w:rsid w:val="008E4D2D"/>
    <w:rsid w:val="008E6037"/>
    <w:rsid w:val="008F0F40"/>
    <w:rsid w:val="00911199"/>
    <w:rsid w:val="009165F2"/>
    <w:rsid w:val="00920139"/>
    <w:rsid w:val="009367AA"/>
    <w:rsid w:val="0094389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2EFE"/>
    <w:rsid w:val="009F305C"/>
    <w:rsid w:val="00A167C6"/>
    <w:rsid w:val="00A200D3"/>
    <w:rsid w:val="00A242D8"/>
    <w:rsid w:val="00A3532A"/>
    <w:rsid w:val="00A35656"/>
    <w:rsid w:val="00A36E8B"/>
    <w:rsid w:val="00A4314D"/>
    <w:rsid w:val="00A43B53"/>
    <w:rsid w:val="00A5114C"/>
    <w:rsid w:val="00A527E5"/>
    <w:rsid w:val="00A64C04"/>
    <w:rsid w:val="00A67357"/>
    <w:rsid w:val="00A804A0"/>
    <w:rsid w:val="00A91915"/>
    <w:rsid w:val="00A92C73"/>
    <w:rsid w:val="00AA38A9"/>
    <w:rsid w:val="00AB65AE"/>
    <w:rsid w:val="00AD26C4"/>
    <w:rsid w:val="00AD72FE"/>
    <w:rsid w:val="00AE7A74"/>
    <w:rsid w:val="00AF2FE1"/>
    <w:rsid w:val="00B137EE"/>
    <w:rsid w:val="00B13CEC"/>
    <w:rsid w:val="00B43327"/>
    <w:rsid w:val="00B53E92"/>
    <w:rsid w:val="00B6183A"/>
    <w:rsid w:val="00B66AF3"/>
    <w:rsid w:val="00B71AEA"/>
    <w:rsid w:val="00B74489"/>
    <w:rsid w:val="00B8102F"/>
    <w:rsid w:val="00B818CA"/>
    <w:rsid w:val="00B81BA5"/>
    <w:rsid w:val="00B8664E"/>
    <w:rsid w:val="00B97297"/>
    <w:rsid w:val="00B979B1"/>
    <w:rsid w:val="00BA71B8"/>
    <w:rsid w:val="00BB553B"/>
    <w:rsid w:val="00BB65D2"/>
    <w:rsid w:val="00BD7158"/>
    <w:rsid w:val="00BF6EBE"/>
    <w:rsid w:val="00C057EA"/>
    <w:rsid w:val="00C05B22"/>
    <w:rsid w:val="00C141AF"/>
    <w:rsid w:val="00C175B6"/>
    <w:rsid w:val="00C210B4"/>
    <w:rsid w:val="00C22A2E"/>
    <w:rsid w:val="00C25E70"/>
    <w:rsid w:val="00C37F96"/>
    <w:rsid w:val="00C47725"/>
    <w:rsid w:val="00C605D4"/>
    <w:rsid w:val="00C94E79"/>
    <w:rsid w:val="00CA6252"/>
    <w:rsid w:val="00CA7FA5"/>
    <w:rsid w:val="00CB7B0D"/>
    <w:rsid w:val="00CC5969"/>
    <w:rsid w:val="00CD4533"/>
    <w:rsid w:val="00CE7B64"/>
    <w:rsid w:val="00CF4468"/>
    <w:rsid w:val="00CF4869"/>
    <w:rsid w:val="00CF504E"/>
    <w:rsid w:val="00D12D35"/>
    <w:rsid w:val="00D12DA1"/>
    <w:rsid w:val="00D15AD5"/>
    <w:rsid w:val="00D165CA"/>
    <w:rsid w:val="00D17114"/>
    <w:rsid w:val="00D2485A"/>
    <w:rsid w:val="00D31F93"/>
    <w:rsid w:val="00D44269"/>
    <w:rsid w:val="00D51841"/>
    <w:rsid w:val="00D6461B"/>
    <w:rsid w:val="00D815D9"/>
    <w:rsid w:val="00D855E8"/>
    <w:rsid w:val="00D9444B"/>
    <w:rsid w:val="00DA69E7"/>
    <w:rsid w:val="00DB1DCD"/>
    <w:rsid w:val="00DB6A9A"/>
    <w:rsid w:val="00DC4AE7"/>
    <w:rsid w:val="00DD4950"/>
    <w:rsid w:val="00DE10A6"/>
    <w:rsid w:val="00DF11FA"/>
    <w:rsid w:val="00DF78A7"/>
    <w:rsid w:val="00E07CA1"/>
    <w:rsid w:val="00E263EC"/>
    <w:rsid w:val="00E27187"/>
    <w:rsid w:val="00E362E3"/>
    <w:rsid w:val="00E44F28"/>
    <w:rsid w:val="00E50AD6"/>
    <w:rsid w:val="00E51B2C"/>
    <w:rsid w:val="00E613BC"/>
    <w:rsid w:val="00E6260B"/>
    <w:rsid w:val="00E66CDC"/>
    <w:rsid w:val="00E67E00"/>
    <w:rsid w:val="00E7217A"/>
    <w:rsid w:val="00E74F47"/>
    <w:rsid w:val="00E842C7"/>
    <w:rsid w:val="00E90CFD"/>
    <w:rsid w:val="00E953F3"/>
    <w:rsid w:val="00EA6E73"/>
    <w:rsid w:val="00EB3760"/>
    <w:rsid w:val="00EC064B"/>
    <w:rsid w:val="00EC6024"/>
    <w:rsid w:val="00ED6A86"/>
    <w:rsid w:val="00EE3AAB"/>
    <w:rsid w:val="00EE4B9B"/>
    <w:rsid w:val="00EE4BB5"/>
    <w:rsid w:val="00EE79CF"/>
    <w:rsid w:val="00EF453F"/>
    <w:rsid w:val="00F00FDD"/>
    <w:rsid w:val="00F01713"/>
    <w:rsid w:val="00F02B1E"/>
    <w:rsid w:val="00F07040"/>
    <w:rsid w:val="00F16C31"/>
    <w:rsid w:val="00F16EE7"/>
    <w:rsid w:val="00F2310E"/>
    <w:rsid w:val="00F54570"/>
    <w:rsid w:val="00F75853"/>
    <w:rsid w:val="00F7784D"/>
    <w:rsid w:val="00F8144F"/>
    <w:rsid w:val="00F8462A"/>
    <w:rsid w:val="00F862A7"/>
    <w:rsid w:val="00F93763"/>
    <w:rsid w:val="00F939A2"/>
    <w:rsid w:val="00F96E8D"/>
    <w:rsid w:val="00FA20D9"/>
    <w:rsid w:val="00FB03D0"/>
    <w:rsid w:val="00FC0FB0"/>
    <w:rsid w:val="00FC5D76"/>
    <w:rsid w:val="00FD54D7"/>
    <w:rsid w:val="00FF3ECC"/>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120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rsid w:val="00B6183A"/>
    <w:pPr>
      <w:spacing w:before="100" w:beforeAutospacing="1" w:after="100" w:afterAutospacing="1" w:line="240" w:lineRule="auto"/>
    </w:pPr>
    <w:rPr>
      <w:rFonts w:ascii="Times New Roman" w:eastAsia="Times New Roman"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8724343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78027796">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www.knbs.or.ke/download/kenya-dhs-2022-main-report-volume-2/"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2A08CCBFAA0F4B7C8A03E73B6B2B9440"/>
        <w:category>
          <w:name w:val="General"/>
          <w:gallery w:val="placeholder"/>
        </w:category>
        <w:types>
          <w:type w:val="bbPlcHdr"/>
        </w:types>
        <w:behaviors>
          <w:behavior w:val="content"/>
        </w:behaviors>
        <w:guid w:val="{68AADD98-FD10-4899-B3FD-BCEF1D3D4E0A}"/>
      </w:docPartPr>
      <w:docPartBody>
        <w:p w:rsidR="0082658F" w:rsidRDefault="00AC6BDD" w:rsidP="00AC6BDD">
          <w:pPr>
            <w:pStyle w:val="2A08CCBFAA0F4B7C8A03E73B6B2B9440"/>
          </w:pPr>
          <w:r w:rsidRPr="00D2076D">
            <w:rPr>
              <w:rStyle w:val="PlaceholderText"/>
            </w:rPr>
            <w:t>Choose an item.</w:t>
          </w:r>
        </w:p>
      </w:docPartBody>
    </w:docPart>
    <w:docPart>
      <w:docPartPr>
        <w:name w:val="C6BDD154E87B468B88DEC505DED1F028"/>
        <w:category>
          <w:name w:val="General"/>
          <w:gallery w:val="placeholder"/>
        </w:category>
        <w:types>
          <w:type w:val="bbPlcHdr"/>
        </w:types>
        <w:behaviors>
          <w:behavior w:val="content"/>
        </w:behaviors>
        <w:guid w:val="{2EEFC8A2-10F9-4726-8FE4-24E3DF9A31A0}"/>
      </w:docPartPr>
      <w:docPartBody>
        <w:p w:rsidR="0082658F" w:rsidRDefault="00AC6BDD" w:rsidP="00AC6BDD">
          <w:pPr>
            <w:pStyle w:val="C6BDD154E87B468B88DEC505DED1F028"/>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DengXian">
    <w:altName w:val="等线"/>
    <w:panose1 w:val="02010600030101010101"/>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21A25"/>
    <w:rsid w:val="00296525"/>
    <w:rsid w:val="0036646D"/>
    <w:rsid w:val="006153AA"/>
    <w:rsid w:val="0064052E"/>
    <w:rsid w:val="00760A1F"/>
    <w:rsid w:val="0082658F"/>
    <w:rsid w:val="00AC6BDD"/>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AC6BD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059F2895C6FC41ADA6821ED3A2DCB289">
    <w:name w:val="059F2895C6FC41ADA6821ED3A2DCB289"/>
    <w:rsid w:val="00AC6BDD"/>
  </w:style>
  <w:style w:type="paragraph" w:customStyle="1" w:styleId="F402F8FDA6434623874C6A9279B35716">
    <w:name w:val="F402F8FDA6434623874C6A9279B35716"/>
    <w:rsid w:val="00AC6BDD"/>
  </w:style>
  <w:style w:type="paragraph" w:customStyle="1" w:styleId="E2EF4054419547A2A11245B28467F297">
    <w:name w:val="E2EF4054419547A2A11245B28467F297"/>
    <w:rsid w:val="00AC6BDD"/>
  </w:style>
  <w:style w:type="paragraph" w:customStyle="1" w:styleId="2A08CCBFAA0F4B7C8A03E73B6B2B9440">
    <w:name w:val="2A08CCBFAA0F4B7C8A03E73B6B2B9440"/>
    <w:rsid w:val="00AC6BDD"/>
  </w:style>
  <w:style w:type="paragraph" w:customStyle="1" w:styleId="C6BDD154E87B468B88DEC505DED1F028">
    <w:name w:val="C6BDD154E87B468B88DEC505DED1F028"/>
    <w:rsid w:val="00AC6BDD"/>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efb7f1d3-2f00-4f20-b7f7-b4cd1648c34e"/>
    <ds:schemaRef ds:uri="http://purl.org/dc/terms/"/>
    <ds:schemaRef ds:uri="http://schemas.openxmlformats.org/package/2006/metadata/core-properties"/>
    <ds:schemaRef ds:uri="331bc5fa-37a0-4eaf-92e6-e8f500860589"/>
    <ds:schemaRef ds:uri="http://schemas.microsoft.com/office/2006/documentManagement/types"/>
    <ds:schemaRef ds:uri="http://purl.org/dc/elements/1.1/"/>
    <ds:schemaRef ds:uri="http://schemas.microsoft.com/office/2006/metadata/properties"/>
    <ds:schemaRef ds:uri="http://schemas.microsoft.com/office/infopath/2007/PartnerControls"/>
    <ds:schemaRef ds:uri="http://www.w3.org/XML/1998/namespace"/>
    <ds:schemaRef ds:uri="http://purl.org/dc/dcmitype/"/>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DA4C34EC-A2F5-4F77-9EAE-D8548903624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14</Pages>
  <Words>216829</Words>
  <Characters>1235930</Characters>
  <Application>Microsoft Office Word</Application>
  <DocSecurity>8</DocSecurity>
  <Lines>10299</Lines>
  <Paragraphs>2899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1449860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ok</cp:lastModifiedBy>
  <cp:revision>5</cp:revision>
  <cp:lastPrinted>2020-04-16T14:23:00Z</cp:lastPrinted>
  <dcterms:created xsi:type="dcterms:W3CDTF">2024-05-07T13:00:00Z</dcterms:created>
  <dcterms:modified xsi:type="dcterms:W3CDTF">2024-05-07T13:05:00Z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