
<file path=[Content_Types].xml><?xml version="1.0" encoding="utf-8"?>
<Types xmlns="http://schemas.openxmlformats.org/package/2006/content-types">
  <Default Extension="bin" ContentType="application/vnd.ms-office.activeX"/>
  <Default Extension="wmf" ContentType="image/x-wmf"/>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2.xml" ContentType="application/vnd.ms-office.activeX+xml"/>
  <Override PartName="/word/activeX/activeX3.xml" ContentType="application/vnd.ms-office.activeX+xml"/>
  <Override PartName="/word/activeX/activeX4.xml" ContentType="application/vnd.ms-office.activeX+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332407">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332407">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332407">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332407">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332407">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332407">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332407">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332407">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332407">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332407">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332407">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332407">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332407"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15B9C98" w:rsidR="00355460" w:rsidRPr="00E263EC" w:rsidRDefault="0068033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FB37692" w:rsidR="00B66AF3" w:rsidRDefault="00680336" w:rsidP="00B66AF3">
          <w:r>
            <w:t>15.3.1 Proportion of land that is degraded over total land area [15.3.1] (AG_LND_DGRD)</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673AE10C"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1" o:title=""/>
          </v:shape>
          <w:control r:id="rId12"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3" o:title=""/>
          </v:shape>
          <w:control r:id="rId14"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75ACAB3" w:rsidR="0077584C" w:rsidRDefault="00680336"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1139E998" w:rsidR="00F7784D" w:rsidRDefault="00680336"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5"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0D634D51" w:rsidR="00F54570" w:rsidRDefault="00F54570" w:rsidP="00355460">
      <w:r>
        <w:object w:dxaOrig="225" w:dyaOrig="225" w14:anchorId="196EDF24">
          <v:shape id="_x0000_i1037" type="#_x0000_t75" style="width:140.25pt;height:24pt" o:ole="">
            <v:imagedata r:id="rId16" o:title=""/>
          </v:shape>
          <w:control r:id="rId17" w:name="ImportSdmxDsd" w:shapeid="_x0000_i1037"/>
        </w:object>
      </w:r>
      <w:r w:rsidR="003E117E">
        <w:t xml:space="preserve">             </w:t>
      </w:r>
      <w:r w:rsidR="003E117E">
        <w:object w:dxaOrig="225" w:dyaOrig="225" w14:anchorId="3CF05049">
          <v:shape id="_x0000_i1039" type="#_x0000_t75" style="width:200.25pt;height:24pt" o:ole="">
            <v:imagedata r:id="rId18" o:title=""/>
          </v:shape>
          <w:control r:id="rId19"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E35DD13" w:rsidR="005377B9" w:rsidRPr="00562EE8" w:rsidRDefault="002F51AD" w:rsidP="00562EE8">
            <w:pPr>
              <w:pStyle w:val="MGTHeader"/>
              <w:rPr>
                <w:lang w:val="en-US"/>
              </w:rPr>
            </w:pPr>
            <w:r w:rsidRPr="6719FAA6">
              <w:rPr>
                <w:rFonts w:ascii="Calibri" w:eastAsia="Calibri" w:hAnsi="Calibri" w:cs="Calibri"/>
                <w:color w:val="444444"/>
              </w:rPr>
              <w:t>Goal 15: Protect, restore and promote sustainable use of terrestrial ecosystems, sustainably manage forests, combat desertification, and halt and reverse land degradation and halt biodiversity loss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76D7D21B" w:rsidR="005377B9" w:rsidRPr="00562EE8" w:rsidRDefault="008824C8" w:rsidP="008824C8">
            <w:pPr>
              <w:pStyle w:val="MGTHeader"/>
              <w:rPr>
                <w:rFonts w:ascii="Calibri" w:hAnsi="Calibri"/>
              </w:rPr>
            </w:pPr>
            <w:r>
              <w:t>Target 15.3: By 2030, combat desertification, restore degraded land and soil, including land affected by desertification, drought and floods, and strive to achieve a land degradation-neutral world</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64E7F41B" w:rsidR="005377B9" w:rsidRPr="001746F2" w:rsidRDefault="008824C8" w:rsidP="001746F2">
            <w:pPr>
              <w:pStyle w:val="MGTHeader"/>
            </w:pPr>
            <w:r w:rsidRPr="009213B0">
              <w:t>Indicator 15.3.1: Proportion of land that is degraded over total land area</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157D5B44" w:rsidR="005377B9" w:rsidRPr="009F305C" w:rsidRDefault="005377B9" w:rsidP="00D87CA3">
            <w:pPr>
              <w:pStyle w:val="MGTHeader"/>
            </w:pPr>
            <w:bookmarkStart w:id="8" w:name="_GoBack"/>
            <w:bookmarkEnd w:id="8"/>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AB556D7" w:rsidR="005377B9" w:rsidRPr="009F305C" w:rsidRDefault="00680336" w:rsidP="009F305C">
            <w:r>
              <w:t>May 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19BFC99" w:rsidR="001746F2" w:rsidRPr="001746F2" w:rsidRDefault="008824C8" w:rsidP="00D87CA3">
            <w:pPr>
              <w:pStyle w:val="MGTHeader"/>
            </w:pPr>
            <w:r w:rsidRPr="00D15053">
              <w:t>2.4.1; 6.6.1; 11.3.1; 15.1.1; 15.2.1</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D2FDDC0" w:rsidR="005377B9" w:rsidRPr="008824C8" w:rsidRDefault="001746F2" w:rsidP="00D87CA3">
            <w:pPr>
              <w:pStyle w:val="MGTHeader"/>
            </w:pPr>
            <w:r>
              <w:rPr>
                <w:lang w:val="en-US"/>
              </w:rPr>
              <w:t xml:space="preserve"> </w:t>
            </w:r>
            <w:r w:rsidR="008824C8">
              <w:t xml:space="preserve">United Nations Convention to Combat Desertification (UNCCD) and partners, including: Conservation International (CI), </w:t>
            </w:r>
            <w:r w:rsidR="008824C8" w:rsidRPr="0047725C">
              <w:t>European Space Agency</w:t>
            </w:r>
            <w:r w:rsidR="008824C8">
              <w:t xml:space="preserve"> (ESA)</w:t>
            </w:r>
            <w:r w:rsidR="008824C8" w:rsidRPr="0047725C">
              <w:t xml:space="preserve">, </w:t>
            </w:r>
            <w:r w:rsidR="008824C8">
              <w:t xml:space="preserve">Food and Agriculture Organization of the United Nations (FAO), Group on Earth Observation Land Degradation Neutrality Initiative (GEO-LDN), </w:t>
            </w:r>
            <w:r w:rsidR="008824C8" w:rsidRPr="0047725C">
              <w:t>International Soil Reference and Information Centre</w:t>
            </w:r>
            <w:r w:rsidR="008824C8">
              <w:t xml:space="preserve"> (ISRIC)</w:t>
            </w:r>
            <w:r w:rsidR="008824C8" w:rsidRPr="0047725C">
              <w:t>, International Union for Conservation of Nature</w:t>
            </w:r>
            <w:r w:rsidR="008824C8">
              <w:t xml:space="preserve"> (IUCN)</w:t>
            </w:r>
            <w:r w:rsidR="008824C8" w:rsidRPr="0047725C">
              <w:t>, Joint Research Centre of the European Commission</w:t>
            </w:r>
            <w:r w:rsidR="008824C8">
              <w:t xml:space="preserve"> (JRC)</w:t>
            </w:r>
            <w:r w:rsidR="008824C8" w:rsidRPr="0047725C">
              <w:t xml:space="preserve">, </w:t>
            </w:r>
            <w:r w:rsidR="008824C8">
              <w:t>United Nations Statistics Division (UNSD), United Nations Development Programme (UNDP), United Nations Environment (UNEP), World Resources Institute (WRI), United Nations Framework Convention on Climate Change (UNFCCC) and Convention on Biological Diversity (CBD).</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0B4CAD61" w:rsidR="003E7389" w:rsidRPr="009F305C" w:rsidRDefault="008C0941" w:rsidP="009F305C">
            <w:r>
              <w:t>Kenya National Bureau of Statistics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079B09E" w:rsidR="003E7389" w:rsidRPr="00BF24EB" w:rsidRDefault="00BF24EB" w:rsidP="00D87CA3">
            <w:pPr>
              <w:pStyle w:val="MText"/>
              <w:rPr>
                <w:lang w:val="fr-FR"/>
              </w:rPr>
            </w:pPr>
            <w:r>
              <w:rPr>
                <w:lang w:val="fr-FR"/>
              </w:rPr>
              <w:t>K</w:t>
            </w:r>
            <w:r w:rsidR="00D87CA3">
              <w:rPr>
                <w:lang w:val="fr-FR"/>
              </w:rPr>
              <w:t xml:space="preserve">enya National Bureau of </w:t>
            </w:r>
            <w:proofErr w:type="spellStart"/>
            <w:r w:rsidR="00D87CA3">
              <w:rPr>
                <w:lang w:val="fr-FR"/>
              </w:rPr>
              <w:t>Statistics</w:t>
            </w:r>
            <w:proofErr w:type="spellEnd"/>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4DFB2FEE" w:rsidR="003E7389" w:rsidRPr="009F305C" w:rsidRDefault="008C0941" w:rsidP="009F305C">
            <w:r>
              <w:t>Senior Manager Food Monitoring, Nutrition and Environment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CA7E4F3" w:rsidR="003E7389" w:rsidRPr="009F305C" w:rsidRDefault="008C0941" w:rsidP="009F305C">
            <w:r>
              <w:t>Food Monitoring, Nutrition and Environment Statistics Division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3822C77B" w:rsidR="003E7389" w:rsidRPr="009F305C" w:rsidRDefault="008C0941" w:rsidP="009F305C">
            <w:r>
              <w:rPr>
                <w:rFonts w:ascii="Basic" w:hAnsi="Basic"/>
              </w:rPr>
              <w:t xml:space="preserve">Collect, compile, analyze and disseminate </w:t>
            </w:r>
            <w:r w:rsidRPr="007E758F">
              <w:rPr>
                <w:rFonts w:ascii="Basic" w:hAnsi="Basic"/>
              </w:rPr>
              <w:t>Environment and Natural Resources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4DCDD572" w:rsidR="003E7389" w:rsidRPr="009F305C" w:rsidRDefault="008C0941" w:rsidP="009F305C">
            <w:r w:rsidRPr="007E758F">
              <w:rPr>
                <w:rFonts w:ascii="Basic" w:hAnsi="Basic"/>
              </w:rPr>
              <w:t>+254-202-911-000</w:t>
            </w:r>
            <w:r>
              <w:rPr>
                <w:rFonts w:ascii="Basic" w:hAnsi="Basic"/>
              </w:rPr>
              <w:t xml:space="preserve"> |</w:t>
            </w:r>
            <w:r w:rsidRPr="007E758F">
              <w:rPr>
                <w:rFonts w:ascii="Basic" w:hAnsi="Basic"/>
              </w:rPr>
              <w:t>+254-202-911-00</w:t>
            </w:r>
            <w:r>
              <w:rPr>
                <w:rFonts w:ascii="Basic" w:hAnsi="Basic"/>
              </w:rPr>
              <w:t>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305330F4" w:rsidR="003E7389" w:rsidRPr="009F305C" w:rsidRDefault="008C0941" w:rsidP="009F305C">
            <w:r>
              <w:t>P. O BOX 30266-0100</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50CC8BCC" w:rsidR="003E7389" w:rsidRPr="009F305C" w:rsidRDefault="008C0941" w:rsidP="009F305C">
            <w:r>
              <w:t>DPS@KNBS.OR.KE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910DEF5" w14:textId="14333A3A" w:rsidR="008824C8" w:rsidRPr="00BB7878" w:rsidRDefault="00246C8C" w:rsidP="008824C8">
            <w:pPr>
              <w:pStyle w:val="MText"/>
              <w:rPr>
                <w:rFonts w:cstheme="minorHAnsi"/>
                <w:b/>
                <w:bCs/>
              </w:rPr>
            </w:pPr>
            <w:r>
              <w:rPr>
                <w:rFonts w:ascii="Calibri" w:hAnsi="Calibri"/>
                <w:b/>
              </w:rPr>
              <w:t xml:space="preserve"> </w:t>
            </w:r>
            <w:r w:rsidR="008824C8" w:rsidRPr="00BB7878">
              <w:rPr>
                <w:rFonts w:cstheme="minorHAnsi"/>
                <w:b/>
                <w:bCs/>
              </w:rPr>
              <w:t>Definitions:</w:t>
            </w:r>
          </w:p>
          <w:p w14:paraId="074627B6" w14:textId="57C90C94" w:rsidR="008824C8" w:rsidRPr="009213B0" w:rsidRDefault="008824C8" w:rsidP="008824C8">
            <w:pPr>
              <w:rPr>
                <w:rFonts w:ascii="Calibri" w:eastAsia="Calibri" w:hAnsi="Calibri" w:cs="Arial"/>
                <w:color w:val="404040" w:themeColor="text1" w:themeTint="BF"/>
                <w:sz w:val="21"/>
                <w:szCs w:val="21"/>
              </w:rPr>
            </w:pPr>
            <w:r w:rsidRPr="009213B0">
              <w:rPr>
                <w:rFonts w:ascii="Calibri" w:eastAsia="Calibri" w:hAnsi="Calibri" w:cs="Arial"/>
                <w:b/>
                <w:i/>
                <w:iCs/>
                <w:color w:val="404040" w:themeColor="text1" w:themeTint="BF"/>
                <w:sz w:val="21"/>
                <w:szCs w:val="21"/>
              </w:rPr>
              <w:t>Land degradation</w:t>
            </w:r>
            <w:r w:rsidRPr="009213B0">
              <w:rPr>
                <w:rFonts w:ascii="Calibri" w:eastAsia="Calibri" w:hAnsi="Calibri" w:cs="Arial"/>
                <w:color w:val="404040" w:themeColor="text1" w:themeTint="BF"/>
                <w:sz w:val="21"/>
                <w:szCs w:val="21"/>
              </w:rPr>
              <w:t xml:space="preserve"> is defined as the reduction or loss of the biological or economic productivity and complexity of rain fed cropland, irrigated cropland, or range, pasture, forest and woodlands resulting from a combination of pressures, including land use and management practices. </w:t>
            </w:r>
          </w:p>
          <w:p w14:paraId="296E2844" w14:textId="5DBEA5E6" w:rsidR="008824C8" w:rsidRPr="009213B0" w:rsidRDefault="008824C8" w:rsidP="008824C8">
            <w:pPr>
              <w:rPr>
                <w:rFonts w:ascii="Calibri" w:eastAsia="Calibri" w:hAnsi="Calibri" w:cs="Arial"/>
                <w:color w:val="404040" w:themeColor="text1" w:themeTint="BF"/>
                <w:sz w:val="21"/>
                <w:szCs w:val="21"/>
              </w:rPr>
            </w:pPr>
            <w:r w:rsidRPr="009213B0">
              <w:rPr>
                <w:rFonts w:ascii="Calibri" w:eastAsia="Calibri" w:hAnsi="Calibri" w:cs="Arial"/>
                <w:b/>
                <w:i/>
                <w:iCs/>
                <w:color w:val="404040" w:themeColor="text1" w:themeTint="BF"/>
                <w:sz w:val="21"/>
                <w:szCs w:val="21"/>
              </w:rPr>
              <w:t>Land Degradation Neutrality</w:t>
            </w:r>
            <w:r w:rsidRPr="009213B0">
              <w:rPr>
                <w:rFonts w:ascii="Calibri" w:eastAsia="Calibri" w:hAnsi="Calibri" w:cs="Arial"/>
                <w:color w:val="404040" w:themeColor="text1" w:themeTint="BF"/>
                <w:sz w:val="21"/>
                <w:szCs w:val="21"/>
              </w:rPr>
              <w:t xml:space="preserve"> (LDN) is defined as a state whereby the amount and quality of land resources necessary to support ecosystem functions and services and enhance food security remain stable or increase within specified temporal and spatial scales and ecosystems </w:t>
            </w:r>
          </w:p>
          <w:p w14:paraId="6C84E827" w14:textId="410DCEDA" w:rsidR="0015178E" w:rsidRPr="001746F2" w:rsidRDefault="008824C8" w:rsidP="008824C8">
            <w:pPr>
              <w:rPr>
                <w:rFonts w:eastAsia="Times New Roman" w:cs="Times New Roman"/>
                <w:color w:val="4A4A4A"/>
                <w:sz w:val="21"/>
                <w:szCs w:val="21"/>
                <w:lang w:val="en-GB" w:eastAsia="en-GB"/>
              </w:rPr>
            </w:pPr>
            <w:r w:rsidRPr="009213B0">
              <w:rPr>
                <w:rFonts w:ascii="Calibri" w:eastAsia="Calibri" w:hAnsi="Calibri" w:cs="Arial"/>
                <w:b/>
                <w:i/>
                <w:iCs/>
                <w:color w:val="404040" w:themeColor="text1" w:themeTint="BF"/>
                <w:sz w:val="21"/>
                <w:szCs w:val="21"/>
              </w:rPr>
              <w:t>Total land area</w:t>
            </w:r>
            <w:r w:rsidRPr="009213B0">
              <w:rPr>
                <w:rFonts w:ascii="Calibri" w:eastAsia="Calibri" w:hAnsi="Calibri" w:cs="Arial"/>
                <w:color w:val="404040" w:themeColor="text1" w:themeTint="BF"/>
                <w:sz w:val="21"/>
                <w:szCs w:val="21"/>
              </w:rPr>
              <w:t xml:space="preserve"> is the total surface area of a country excluding the area covered by inland waters, like major rivers and lakes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61C3FDCD" w:rsidR="0015178E" w:rsidRPr="00D87CA3" w:rsidRDefault="00D87CA3" w:rsidP="00D87CA3">
            <w:pPr>
              <w:shd w:val="clear" w:color="auto" w:fill="FFFFFF"/>
              <w:spacing w:after="0"/>
              <w:contextualSpacing/>
              <w:rPr>
                <w:rFonts w:ascii="Calibri" w:hAnsi="Calibri"/>
                <w:color w:val="4A4A4A"/>
                <w:sz w:val="21"/>
              </w:rPr>
            </w:pPr>
            <w:r>
              <w:t xml:space="preserve"> </w:t>
            </w:r>
            <w:r>
              <w:rPr>
                <w:rFonts w:ascii="Calibri" w:hAnsi="Calibri"/>
                <w:color w:val="4A4A4A"/>
                <w:sz w:val="21"/>
              </w:rPr>
              <w:t>Percent (%)</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4DD19D30" w:rsidR="0015178E" w:rsidRPr="009F305C" w:rsidRDefault="004F2EDE" w:rsidP="009F305C">
            <w:r>
              <w:t>Not Applicable</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7826FAC3" w14:textId="77777777" w:rsidR="00C25142" w:rsidRPr="000D5F8F" w:rsidRDefault="00C25142" w:rsidP="00C25142">
            <w:pPr>
              <w:shd w:val="clear" w:color="auto" w:fill="FFFFFF"/>
              <w:spacing w:after="0"/>
              <w:rPr>
                <w:rFonts w:eastAsia="Times New Roman" w:cstheme="minorHAnsi"/>
                <w:b/>
                <w:bCs/>
                <w:color w:val="404040" w:themeColor="text1" w:themeTint="BF"/>
                <w:sz w:val="21"/>
                <w:szCs w:val="21"/>
                <w:lang w:eastAsia="en-GB"/>
              </w:rPr>
            </w:pPr>
            <w:r w:rsidRPr="000D5F8F">
              <w:rPr>
                <w:rFonts w:eastAsia="Times New Roman" w:cstheme="minorHAnsi"/>
                <w:b/>
                <w:bCs/>
                <w:color w:val="404040" w:themeColor="text1" w:themeTint="BF"/>
                <w:sz w:val="21"/>
                <w:szCs w:val="21"/>
                <w:lang w:eastAsia="en-GB"/>
              </w:rPr>
              <w:t>Description:</w:t>
            </w:r>
          </w:p>
          <w:p w14:paraId="0A6F0880" w14:textId="77777777" w:rsidR="00C25142" w:rsidRPr="009213B0" w:rsidRDefault="00C25142" w:rsidP="00C25142">
            <w:pPr>
              <w:rPr>
                <w:rFonts w:ascii="Calibri" w:eastAsia="Calibri" w:hAnsi="Calibri" w:cs="Arial"/>
                <w:color w:val="404040" w:themeColor="text1" w:themeTint="BF"/>
                <w:sz w:val="21"/>
                <w:szCs w:val="21"/>
              </w:rPr>
            </w:pPr>
            <w:r w:rsidRPr="009213B0">
              <w:rPr>
                <w:rFonts w:ascii="Calibri" w:eastAsia="Calibri" w:hAnsi="Calibri" w:cs="Arial"/>
                <w:color w:val="404040" w:themeColor="text1" w:themeTint="BF"/>
                <w:sz w:val="21"/>
                <w:szCs w:val="21"/>
              </w:rPr>
              <w:t>National data on the three sub-indicators is and can be collected through existing sources (e.g., databases, maps, reports), including participatory inventories on land management systems as well as remote sensing data collected at the national level. Datasets that complement and support existing national indicators, data and information are likely to come from multiple sources, including statistics and estimated data for administrative or national boundaries, ground measurements, Earth observation and geospatial information. A comprehensive inventory of all data sources available for each sub-indicator is contained in the Good Practice Guidance for SDG Indicator 15.3.1.</w:t>
            </w:r>
            <w:r>
              <w:rPr>
                <w:rStyle w:val="FootnoteReference"/>
                <w:rFonts w:ascii="Calibri" w:eastAsia="Calibri" w:hAnsi="Calibri" w:cs="Arial"/>
                <w:color w:val="404040" w:themeColor="text1" w:themeTint="BF"/>
                <w:sz w:val="21"/>
                <w:szCs w:val="21"/>
              </w:rPr>
              <w:footnoteReference w:id="2"/>
            </w:r>
            <w:r w:rsidRPr="009213B0">
              <w:rPr>
                <w:rFonts w:ascii="Calibri" w:eastAsia="Calibri" w:hAnsi="Calibri" w:cs="Arial"/>
                <w:color w:val="404040" w:themeColor="text1" w:themeTint="BF"/>
                <w:sz w:val="21"/>
                <w:szCs w:val="21"/>
              </w:rPr>
              <w:t xml:space="preserve"> </w:t>
            </w:r>
          </w:p>
          <w:p w14:paraId="60A5BB23" w14:textId="77777777" w:rsidR="00C25142" w:rsidRPr="009213B0" w:rsidRDefault="00C25142" w:rsidP="00C25142">
            <w:pPr>
              <w:rPr>
                <w:rFonts w:ascii="Calibri" w:eastAsia="Calibri" w:hAnsi="Calibri" w:cs="Arial"/>
                <w:color w:val="404040" w:themeColor="text1" w:themeTint="BF"/>
                <w:sz w:val="21"/>
                <w:szCs w:val="21"/>
              </w:rPr>
            </w:pPr>
            <w:r w:rsidRPr="009213B0">
              <w:rPr>
                <w:rFonts w:ascii="Calibri" w:eastAsia="Calibri" w:hAnsi="Calibri" w:cs="Arial"/>
                <w:color w:val="404040" w:themeColor="text1" w:themeTint="BF"/>
                <w:sz w:val="21"/>
                <w:szCs w:val="21"/>
              </w:rPr>
              <w:t>The most accessible and widely used regional and global data sources for each of the sub-indicators are briefly described here.</w:t>
            </w:r>
          </w:p>
          <w:p w14:paraId="51092719" w14:textId="77777777" w:rsidR="00C25142" w:rsidRPr="009213B0" w:rsidRDefault="00C25142" w:rsidP="00C25142">
            <w:pPr>
              <w:rPr>
                <w:rFonts w:ascii="Calibri" w:eastAsia="Calibri" w:hAnsi="Calibri" w:cs="Arial"/>
                <w:color w:val="404040" w:themeColor="text1" w:themeTint="BF"/>
                <w:sz w:val="21"/>
                <w:szCs w:val="21"/>
              </w:rPr>
            </w:pPr>
            <w:r w:rsidRPr="009213B0">
              <w:rPr>
                <w:rFonts w:ascii="Calibri" w:eastAsia="Calibri" w:hAnsi="Calibri" w:cs="Arial"/>
                <w:b/>
                <w:color w:val="404040" w:themeColor="text1" w:themeTint="BF"/>
                <w:sz w:val="21"/>
                <w:szCs w:val="21"/>
              </w:rPr>
              <w:t>1) Land cover and land cover change data</w:t>
            </w:r>
            <w:r w:rsidRPr="009213B0">
              <w:rPr>
                <w:rFonts w:ascii="Calibri" w:eastAsia="Calibri" w:hAnsi="Calibri" w:cs="Arial"/>
                <w:color w:val="404040" w:themeColor="text1" w:themeTint="BF"/>
                <w:sz w:val="21"/>
                <w:szCs w:val="21"/>
              </w:rPr>
              <w:t xml:space="preserve"> are available in the: </w:t>
            </w:r>
          </w:p>
          <w:p w14:paraId="672DCDCF" w14:textId="77777777" w:rsidR="00C25142" w:rsidRPr="009213B0" w:rsidRDefault="00C25142" w:rsidP="00C25142">
            <w:pPr>
              <w:ind w:left="720"/>
              <w:rPr>
                <w:rFonts w:ascii="Calibri" w:eastAsia="Calibri" w:hAnsi="Calibri" w:cs="Arial"/>
                <w:color w:val="404040" w:themeColor="text1" w:themeTint="BF"/>
                <w:sz w:val="21"/>
                <w:szCs w:val="21"/>
              </w:rPr>
            </w:pPr>
            <w:r w:rsidRPr="009213B0">
              <w:rPr>
                <w:rFonts w:ascii="Calibri" w:eastAsia="Calibri" w:hAnsi="Calibri" w:cs="Arial"/>
                <w:b/>
                <w:color w:val="404040" w:themeColor="text1" w:themeTint="BF"/>
                <w:sz w:val="21"/>
                <w:szCs w:val="21"/>
              </w:rPr>
              <w:t>(1) ESA-CCI-LC,</w:t>
            </w:r>
            <w:r w:rsidRPr="009213B0">
              <w:rPr>
                <w:rFonts w:ascii="Calibri" w:eastAsia="Calibri" w:hAnsi="Calibri" w:cs="Arial"/>
                <w:color w:val="404040" w:themeColor="text1" w:themeTint="BF"/>
                <w:vertAlign w:val="superscript"/>
              </w:rPr>
              <w:footnoteReference w:id="3"/>
            </w:r>
            <w:r w:rsidRPr="009213B0">
              <w:rPr>
                <w:rFonts w:ascii="Calibri" w:eastAsia="Calibri" w:hAnsi="Calibri" w:cs="Arial"/>
                <w:color w:val="404040" w:themeColor="text1" w:themeTint="BF"/>
                <w:sz w:val="21"/>
                <w:szCs w:val="21"/>
              </w:rPr>
              <w:t xml:space="preserve"> containing annual land cover area data </w:t>
            </w:r>
            <w:r>
              <w:rPr>
                <w:rFonts w:ascii="Calibri" w:eastAsia="Calibri" w:hAnsi="Calibri" w:cs="Arial"/>
                <w:color w:val="404040" w:themeColor="text1" w:themeTint="BF"/>
                <w:sz w:val="21"/>
                <w:szCs w:val="21"/>
              </w:rPr>
              <w:t xml:space="preserve">at 300 m spatial resolution </w:t>
            </w:r>
            <w:r w:rsidRPr="009213B0">
              <w:rPr>
                <w:rFonts w:ascii="Calibri" w:eastAsia="Calibri" w:hAnsi="Calibri" w:cs="Arial"/>
                <w:color w:val="404040" w:themeColor="text1" w:themeTint="BF"/>
                <w:sz w:val="21"/>
                <w:szCs w:val="21"/>
              </w:rPr>
              <w:t xml:space="preserve">for the period </w:t>
            </w:r>
            <w:r>
              <w:rPr>
                <w:rFonts w:ascii="Calibri" w:eastAsia="Calibri" w:hAnsi="Calibri" w:cs="Arial"/>
                <w:color w:val="404040" w:themeColor="text1" w:themeTint="BF"/>
                <w:sz w:val="21"/>
                <w:szCs w:val="21"/>
              </w:rPr>
              <w:t xml:space="preserve">from </w:t>
            </w:r>
            <w:r w:rsidRPr="009213B0">
              <w:rPr>
                <w:rFonts w:ascii="Calibri" w:eastAsia="Calibri" w:hAnsi="Calibri" w:cs="Arial"/>
                <w:color w:val="404040" w:themeColor="text1" w:themeTint="BF"/>
                <w:sz w:val="21"/>
                <w:szCs w:val="21"/>
              </w:rPr>
              <w:t>1992</w:t>
            </w:r>
            <w:r>
              <w:rPr>
                <w:rFonts w:ascii="Calibri" w:eastAsia="Calibri" w:hAnsi="Calibri" w:cs="Arial"/>
                <w:color w:val="404040" w:themeColor="text1" w:themeTint="BF"/>
                <w:sz w:val="21"/>
                <w:szCs w:val="21"/>
              </w:rPr>
              <w:t xml:space="preserve"> to present</w:t>
            </w:r>
            <w:r w:rsidRPr="009213B0">
              <w:rPr>
                <w:rFonts w:ascii="Calibri" w:eastAsia="Calibri" w:hAnsi="Calibri" w:cs="Arial"/>
                <w:color w:val="404040" w:themeColor="text1" w:themeTint="BF"/>
                <w:sz w:val="21"/>
                <w:szCs w:val="21"/>
              </w:rPr>
              <w:t xml:space="preserve">, produced by the Catholic University of Louvain Geomatics as part of the Climate Change Initiative of the European Space Agency (ESA); or </w:t>
            </w:r>
          </w:p>
          <w:p w14:paraId="633D7555" w14:textId="77777777" w:rsidR="00C25142" w:rsidRPr="009213B0" w:rsidRDefault="00C25142" w:rsidP="00C25142">
            <w:pPr>
              <w:ind w:left="720"/>
              <w:rPr>
                <w:rFonts w:ascii="Calibri" w:eastAsia="Calibri" w:hAnsi="Calibri" w:cs="Arial"/>
                <w:color w:val="404040" w:themeColor="text1" w:themeTint="BF"/>
                <w:sz w:val="21"/>
                <w:szCs w:val="21"/>
              </w:rPr>
            </w:pPr>
            <w:r w:rsidRPr="009213B0">
              <w:rPr>
                <w:rFonts w:ascii="Calibri" w:eastAsia="Calibri" w:hAnsi="Calibri" w:cs="Arial"/>
                <w:b/>
                <w:color w:val="404040" w:themeColor="text1" w:themeTint="BF"/>
                <w:sz w:val="21"/>
                <w:szCs w:val="21"/>
              </w:rPr>
              <w:t>(2) SEEA-MODIS,</w:t>
            </w:r>
            <w:r w:rsidRPr="009213B0">
              <w:rPr>
                <w:rFonts w:ascii="Calibri" w:eastAsia="Calibri" w:hAnsi="Calibri" w:cs="Arial"/>
                <w:color w:val="404040" w:themeColor="text1" w:themeTint="BF"/>
                <w:vertAlign w:val="superscript"/>
              </w:rPr>
              <w:footnoteReference w:id="4"/>
            </w:r>
            <w:r w:rsidRPr="009213B0">
              <w:rPr>
                <w:rFonts w:ascii="Calibri" w:eastAsia="Calibri" w:hAnsi="Calibri" w:cs="Arial"/>
                <w:color w:val="404040" w:themeColor="text1" w:themeTint="BF"/>
                <w:sz w:val="21"/>
                <w:szCs w:val="21"/>
              </w:rPr>
              <w:t xml:space="preserve"> containing annual land cover area data </w:t>
            </w:r>
            <w:r>
              <w:rPr>
                <w:rFonts w:ascii="Calibri" w:eastAsia="Calibri" w:hAnsi="Calibri" w:cs="Arial"/>
                <w:color w:val="404040" w:themeColor="text1" w:themeTint="BF"/>
                <w:sz w:val="21"/>
                <w:szCs w:val="21"/>
              </w:rPr>
              <w:t xml:space="preserve">at 500 m spatial resolution </w:t>
            </w:r>
            <w:r w:rsidRPr="009213B0">
              <w:rPr>
                <w:rFonts w:ascii="Calibri" w:eastAsia="Calibri" w:hAnsi="Calibri" w:cs="Arial"/>
                <w:color w:val="404040" w:themeColor="text1" w:themeTint="BF"/>
                <w:sz w:val="21"/>
                <w:szCs w:val="21"/>
              </w:rPr>
              <w:t>for the period 2001-201</w:t>
            </w:r>
            <w:r>
              <w:rPr>
                <w:rFonts w:ascii="Calibri" w:eastAsia="Calibri" w:hAnsi="Calibri" w:cs="Arial"/>
                <w:color w:val="404040" w:themeColor="text1" w:themeTint="BF"/>
                <w:sz w:val="21"/>
                <w:szCs w:val="21"/>
              </w:rPr>
              <w:t>9</w:t>
            </w:r>
            <w:r w:rsidRPr="009213B0">
              <w:rPr>
                <w:rFonts w:ascii="Calibri" w:eastAsia="Calibri" w:hAnsi="Calibri" w:cs="Arial"/>
                <w:color w:val="404040" w:themeColor="text1" w:themeTint="BF"/>
                <w:sz w:val="21"/>
                <w:szCs w:val="21"/>
              </w:rPr>
              <w:t xml:space="preserve">, derived from the International Geosphere-Biosphere </w:t>
            </w:r>
            <w:proofErr w:type="spellStart"/>
            <w:r w:rsidRPr="009213B0">
              <w:rPr>
                <w:rFonts w:ascii="Calibri" w:eastAsia="Calibri" w:hAnsi="Calibri" w:cs="Arial"/>
                <w:color w:val="404040" w:themeColor="text1" w:themeTint="BF"/>
                <w:sz w:val="21"/>
                <w:szCs w:val="21"/>
              </w:rPr>
              <w:t>Programme</w:t>
            </w:r>
            <w:proofErr w:type="spellEnd"/>
            <w:r w:rsidRPr="009213B0">
              <w:rPr>
                <w:rFonts w:ascii="Calibri" w:eastAsia="Calibri" w:hAnsi="Calibri" w:cs="Arial"/>
                <w:color w:val="404040" w:themeColor="text1" w:themeTint="BF"/>
                <w:sz w:val="21"/>
                <w:szCs w:val="21"/>
              </w:rPr>
              <w:t xml:space="preserve"> (IGBP) type of the MODIS land cover dataset (MCD12Q1).</w:t>
            </w:r>
          </w:p>
          <w:p w14:paraId="47CB36BD" w14:textId="77777777" w:rsidR="00C25142" w:rsidRPr="009213B0" w:rsidRDefault="00C25142" w:rsidP="00C25142">
            <w:pPr>
              <w:rPr>
                <w:rFonts w:ascii="Calibri" w:eastAsia="Calibri" w:hAnsi="Calibri" w:cs="Arial"/>
                <w:color w:val="404040" w:themeColor="text1" w:themeTint="BF"/>
                <w:sz w:val="21"/>
                <w:szCs w:val="21"/>
              </w:rPr>
            </w:pPr>
            <w:r w:rsidRPr="009213B0">
              <w:rPr>
                <w:rFonts w:ascii="Calibri" w:eastAsia="Calibri" w:hAnsi="Calibri" w:cs="Arial"/>
                <w:b/>
                <w:color w:val="404040" w:themeColor="text1" w:themeTint="BF"/>
                <w:sz w:val="21"/>
                <w:szCs w:val="21"/>
              </w:rPr>
              <w:t>2) Land productivity data</w:t>
            </w:r>
            <w:r w:rsidRPr="009213B0">
              <w:rPr>
                <w:rFonts w:ascii="Calibri" w:eastAsia="Calibri" w:hAnsi="Calibri" w:cs="Arial"/>
                <w:color w:val="404040" w:themeColor="text1" w:themeTint="BF"/>
                <w:sz w:val="21"/>
                <w:szCs w:val="21"/>
              </w:rPr>
              <w:t xml:space="preserve"> represented as vegetation indices (i.e., direct observations), and their derived products are considered the most independent and robust option for the analyses of land productivity, offering the longest consolidated time series and a broad range of operational data sets at different spatial scales. The most accurate and reliable datasets are available in the: </w:t>
            </w:r>
          </w:p>
          <w:p w14:paraId="59FFC9F9" w14:textId="77777777" w:rsidR="00C25142" w:rsidRPr="009213B0" w:rsidRDefault="00C25142" w:rsidP="00C25142">
            <w:pPr>
              <w:ind w:left="720"/>
              <w:rPr>
                <w:rFonts w:ascii="Calibri" w:eastAsia="Calibri" w:hAnsi="Calibri" w:cs="Arial"/>
                <w:color w:val="404040" w:themeColor="text1" w:themeTint="BF"/>
                <w:sz w:val="21"/>
                <w:szCs w:val="21"/>
              </w:rPr>
            </w:pPr>
            <w:r w:rsidRPr="009213B0">
              <w:rPr>
                <w:rFonts w:ascii="Calibri" w:eastAsia="Calibri" w:hAnsi="Calibri" w:cs="Arial"/>
                <w:b/>
                <w:color w:val="404040" w:themeColor="text1" w:themeTint="BF"/>
                <w:sz w:val="21"/>
                <w:szCs w:val="21"/>
              </w:rPr>
              <w:t>(1) MODIS data products,</w:t>
            </w:r>
            <w:r w:rsidRPr="009213B0">
              <w:rPr>
                <w:rFonts w:ascii="Calibri" w:eastAsia="Calibri" w:hAnsi="Calibri" w:cs="Arial"/>
                <w:color w:val="404040" w:themeColor="text1" w:themeTint="BF"/>
                <w:vertAlign w:val="superscript"/>
              </w:rPr>
              <w:footnoteReference w:id="5"/>
            </w:r>
            <w:r w:rsidRPr="009213B0">
              <w:rPr>
                <w:rFonts w:ascii="Calibri" w:eastAsia="Calibri" w:hAnsi="Calibri" w:cs="Arial"/>
                <w:b/>
                <w:color w:val="404040" w:themeColor="text1" w:themeTint="BF"/>
                <w:sz w:val="21"/>
                <w:szCs w:val="21"/>
              </w:rPr>
              <w:t xml:space="preserve"> </w:t>
            </w:r>
            <w:r w:rsidRPr="009213B0">
              <w:rPr>
                <w:rFonts w:ascii="Calibri" w:eastAsia="Calibri" w:hAnsi="Calibri" w:cs="Arial"/>
                <w:color w:val="404040" w:themeColor="text1" w:themeTint="BF"/>
                <w:sz w:val="21"/>
                <w:szCs w:val="21"/>
              </w:rPr>
              <w:t xml:space="preserve">averaged at </w:t>
            </w:r>
            <w:r>
              <w:rPr>
                <w:rFonts w:ascii="Calibri" w:eastAsia="Calibri" w:hAnsi="Calibri" w:cs="Arial"/>
                <w:color w:val="404040" w:themeColor="text1" w:themeTint="BF"/>
                <w:sz w:val="21"/>
                <w:szCs w:val="21"/>
              </w:rPr>
              <w:t>250 m</w:t>
            </w:r>
            <w:r w:rsidRPr="009213B0">
              <w:rPr>
                <w:rFonts w:ascii="Calibri" w:eastAsia="Calibri" w:hAnsi="Calibri" w:cs="Arial"/>
                <w:color w:val="404040" w:themeColor="text1" w:themeTint="BF"/>
                <w:sz w:val="21"/>
                <w:szCs w:val="21"/>
              </w:rPr>
              <w:t xml:space="preserve"> pixel resolution, integrated over each calendar year since 2000; and </w:t>
            </w:r>
          </w:p>
          <w:p w14:paraId="44F44314" w14:textId="77777777" w:rsidR="00C25142" w:rsidRPr="009213B0" w:rsidRDefault="00C25142" w:rsidP="00C25142">
            <w:pPr>
              <w:ind w:left="720"/>
              <w:rPr>
                <w:rFonts w:ascii="Calibri" w:eastAsia="Calibri" w:hAnsi="Calibri" w:cs="Arial"/>
                <w:color w:val="404040" w:themeColor="text1" w:themeTint="BF"/>
                <w:sz w:val="21"/>
                <w:szCs w:val="21"/>
              </w:rPr>
            </w:pPr>
            <w:r w:rsidRPr="009213B0">
              <w:rPr>
                <w:rFonts w:ascii="Calibri" w:eastAsia="Calibri" w:hAnsi="Calibri" w:cs="Arial"/>
                <w:b/>
                <w:color w:val="404040" w:themeColor="text1" w:themeTint="BF"/>
                <w:sz w:val="21"/>
                <w:szCs w:val="21"/>
              </w:rPr>
              <w:t>(2) Copernicus Global Land Service products,</w:t>
            </w:r>
            <w:r w:rsidRPr="009213B0">
              <w:rPr>
                <w:rFonts w:ascii="Calibri" w:eastAsia="Calibri" w:hAnsi="Calibri" w:cs="Arial"/>
                <w:color w:val="404040" w:themeColor="text1" w:themeTint="BF"/>
                <w:vertAlign w:val="superscript"/>
              </w:rPr>
              <w:footnoteReference w:id="6"/>
            </w:r>
            <w:r w:rsidRPr="009213B0">
              <w:rPr>
                <w:rFonts w:ascii="Calibri" w:eastAsia="Calibri" w:hAnsi="Calibri" w:cs="Arial"/>
                <w:color w:val="404040" w:themeColor="text1" w:themeTint="BF"/>
                <w:sz w:val="21"/>
                <w:szCs w:val="21"/>
              </w:rPr>
              <w:t xml:space="preserve"> averaged at 1 km pixel resolution and integrated over each calendar year since 1998.</w:t>
            </w:r>
          </w:p>
          <w:p w14:paraId="69BE2623" w14:textId="77777777" w:rsidR="00C25142" w:rsidRPr="009213B0" w:rsidRDefault="00C25142" w:rsidP="00C25142">
            <w:pPr>
              <w:rPr>
                <w:rFonts w:ascii="Calibri" w:eastAsia="Calibri" w:hAnsi="Calibri" w:cs="Arial"/>
                <w:color w:val="404040" w:themeColor="text1" w:themeTint="BF"/>
                <w:sz w:val="21"/>
                <w:szCs w:val="21"/>
              </w:rPr>
            </w:pPr>
            <w:r w:rsidRPr="009213B0">
              <w:rPr>
                <w:rFonts w:ascii="Calibri" w:eastAsia="Calibri" w:hAnsi="Calibri" w:cs="Arial"/>
                <w:b/>
                <w:color w:val="404040" w:themeColor="text1" w:themeTint="BF"/>
                <w:sz w:val="21"/>
                <w:szCs w:val="21"/>
              </w:rPr>
              <w:t>3) Soil organic carbon stock data</w:t>
            </w:r>
            <w:r w:rsidRPr="009213B0">
              <w:rPr>
                <w:rFonts w:ascii="Calibri" w:eastAsia="Calibri" w:hAnsi="Calibri" w:cs="Arial"/>
                <w:color w:val="404040" w:themeColor="text1" w:themeTint="BF"/>
                <w:sz w:val="21"/>
                <w:szCs w:val="21"/>
              </w:rPr>
              <w:t xml:space="preserve"> are available in the: </w:t>
            </w:r>
          </w:p>
          <w:p w14:paraId="3EC9FEAE" w14:textId="77777777" w:rsidR="00C25142" w:rsidRPr="009213B0" w:rsidRDefault="00C25142" w:rsidP="00C25142">
            <w:pPr>
              <w:spacing w:after="0"/>
              <w:ind w:left="720"/>
              <w:rPr>
                <w:rFonts w:ascii="Calibri" w:eastAsia="Calibri" w:hAnsi="Calibri" w:cs="Arial"/>
                <w:color w:val="404040" w:themeColor="text1" w:themeTint="BF"/>
                <w:sz w:val="21"/>
                <w:szCs w:val="21"/>
              </w:rPr>
            </w:pPr>
            <w:r w:rsidRPr="009213B0">
              <w:rPr>
                <w:rFonts w:ascii="Calibri" w:eastAsia="Calibri" w:hAnsi="Calibri" w:cs="Arial"/>
                <w:b/>
                <w:color w:val="404040" w:themeColor="text1" w:themeTint="BF"/>
                <w:sz w:val="21"/>
                <w:szCs w:val="21"/>
              </w:rPr>
              <w:t>(1) Harmonized World Soil Database (HWSD), Version 1.2,</w:t>
            </w:r>
            <w:r w:rsidRPr="009213B0">
              <w:rPr>
                <w:rFonts w:ascii="Calibri" w:eastAsia="Calibri" w:hAnsi="Calibri" w:cs="Arial"/>
                <w:color w:val="404040" w:themeColor="text1" w:themeTint="BF"/>
                <w:vertAlign w:val="superscript"/>
              </w:rPr>
              <w:footnoteReference w:id="7"/>
            </w:r>
            <w:r w:rsidRPr="009213B0">
              <w:rPr>
                <w:rFonts w:ascii="Calibri" w:eastAsia="Calibri" w:hAnsi="Calibri" w:cs="Arial"/>
                <w:color w:val="404040" w:themeColor="text1" w:themeTint="BF"/>
                <w:sz w:val="21"/>
                <w:szCs w:val="21"/>
              </w:rPr>
              <w:t xml:space="preserve"> the latest update being the current de facto standard soil grid with a spatial resolution of about 1 km; </w:t>
            </w:r>
          </w:p>
          <w:p w14:paraId="663C3D9D" w14:textId="77777777" w:rsidR="00C25142" w:rsidRPr="009213B0" w:rsidRDefault="00C25142" w:rsidP="00C25142">
            <w:pPr>
              <w:spacing w:after="0"/>
              <w:ind w:left="720"/>
              <w:rPr>
                <w:rFonts w:ascii="Calibri" w:eastAsia="Calibri" w:hAnsi="Calibri" w:cs="Arial"/>
                <w:color w:val="404040" w:themeColor="text1" w:themeTint="BF"/>
                <w:sz w:val="21"/>
                <w:szCs w:val="21"/>
              </w:rPr>
            </w:pPr>
            <w:r w:rsidRPr="009213B0">
              <w:rPr>
                <w:rFonts w:ascii="Calibri" w:eastAsia="Calibri" w:hAnsi="Calibri" w:cs="Arial"/>
                <w:b/>
                <w:color w:val="404040" w:themeColor="text1" w:themeTint="BF"/>
                <w:sz w:val="21"/>
                <w:szCs w:val="21"/>
              </w:rPr>
              <w:t>(2) SoilGrids250m,</w:t>
            </w:r>
            <w:r w:rsidRPr="009213B0">
              <w:rPr>
                <w:rFonts w:ascii="Calibri" w:eastAsia="Calibri" w:hAnsi="Calibri" w:cs="Arial"/>
                <w:color w:val="404040" w:themeColor="text1" w:themeTint="BF"/>
                <w:vertAlign w:val="superscript"/>
              </w:rPr>
              <w:footnoteReference w:id="8"/>
            </w:r>
            <w:r w:rsidRPr="009213B0">
              <w:rPr>
                <w:rFonts w:ascii="Calibri" w:eastAsia="Calibri" w:hAnsi="Calibri" w:cs="Arial"/>
                <w:color w:val="404040" w:themeColor="text1" w:themeTint="BF"/>
                <w:sz w:val="21"/>
                <w:szCs w:val="21"/>
              </w:rPr>
              <w:t xml:space="preserve"> a global 3D soil information system at 250m resolution containing spatial predictions for a selection of soil properties (at six standard depths) including SOC stock (t ha</w:t>
            </w:r>
            <w:r w:rsidRPr="009213B0">
              <w:rPr>
                <w:rFonts w:ascii="Calibri" w:eastAsia="Calibri" w:hAnsi="Calibri" w:cs="Arial"/>
                <w:color w:val="404040" w:themeColor="text1" w:themeTint="BF"/>
                <w:sz w:val="21"/>
                <w:szCs w:val="21"/>
                <w:vertAlign w:val="superscript"/>
              </w:rPr>
              <w:t>-1</w:t>
            </w:r>
            <w:r w:rsidRPr="009213B0">
              <w:rPr>
                <w:rFonts w:ascii="Calibri" w:eastAsia="Calibri" w:hAnsi="Calibri" w:cs="Arial"/>
                <w:color w:val="404040" w:themeColor="text1" w:themeTint="BF"/>
                <w:sz w:val="21"/>
                <w:szCs w:val="21"/>
              </w:rPr>
              <w:t>);</w:t>
            </w:r>
          </w:p>
          <w:p w14:paraId="30149929" w14:textId="77777777" w:rsidR="00C25142" w:rsidRPr="009213B0" w:rsidRDefault="00C25142" w:rsidP="00C25142">
            <w:pPr>
              <w:ind w:left="720"/>
              <w:rPr>
                <w:rFonts w:ascii="Calibri" w:eastAsia="Calibri" w:hAnsi="Calibri" w:cs="Arial"/>
                <w:color w:val="404040" w:themeColor="text1" w:themeTint="BF"/>
                <w:sz w:val="21"/>
                <w:szCs w:val="21"/>
              </w:rPr>
            </w:pPr>
            <w:r w:rsidRPr="009213B0">
              <w:rPr>
                <w:rFonts w:ascii="Calibri" w:eastAsia="Calibri" w:hAnsi="Calibri" w:cs="Arial"/>
                <w:b/>
                <w:color w:val="404040" w:themeColor="text1" w:themeTint="BF"/>
                <w:sz w:val="21"/>
                <w:szCs w:val="21"/>
              </w:rPr>
              <w:t>(3) Global SOC Map, Version 1.0,</w:t>
            </w:r>
            <w:r w:rsidRPr="009213B0">
              <w:rPr>
                <w:rFonts w:ascii="Calibri" w:eastAsia="Calibri" w:hAnsi="Calibri" w:cs="Arial"/>
                <w:color w:val="404040" w:themeColor="text1" w:themeTint="BF"/>
                <w:vertAlign w:val="superscript"/>
              </w:rPr>
              <w:footnoteReference w:id="9"/>
            </w:r>
            <w:r w:rsidRPr="009213B0">
              <w:rPr>
                <w:rFonts w:ascii="Calibri" w:eastAsia="Calibri" w:hAnsi="Calibri" w:cs="Arial"/>
                <w:color w:val="404040" w:themeColor="text1" w:themeTint="BF"/>
                <w:sz w:val="21"/>
                <w:szCs w:val="21"/>
                <w:shd w:val="clear" w:color="auto" w:fill="FFFFFF"/>
              </w:rPr>
              <w:t xml:space="preserve"> which </w:t>
            </w:r>
            <w:r w:rsidRPr="009213B0">
              <w:rPr>
                <w:rFonts w:ascii="Calibri" w:eastAsia="Calibri" w:hAnsi="Calibri" w:cs="Arial"/>
                <w:color w:val="404040" w:themeColor="text1" w:themeTint="BF"/>
                <w:sz w:val="21"/>
                <w:szCs w:val="21"/>
              </w:rPr>
              <w:t>consists of national SOC maps, developed as 1 km soil grids, covering a depth of 0-30 cm.</w:t>
            </w:r>
          </w:p>
          <w:p w14:paraId="21448DAB" w14:textId="77777777" w:rsidR="00C25142" w:rsidRPr="009213B0" w:rsidRDefault="00C25142" w:rsidP="00C25142">
            <w:pPr>
              <w:spacing w:after="0"/>
              <w:rPr>
                <w:rFonts w:ascii="Calibri" w:eastAsia="Calibri" w:hAnsi="Calibri" w:cs="Arial"/>
                <w:color w:val="404040" w:themeColor="text1" w:themeTint="BF"/>
                <w:sz w:val="21"/>
                <w:szCs w:val="21"/>
              </w:rPr>
            </w:pPr>
            <w:r w:rsidRPr="009213B0">
              <w:rPr>
                <w:rFonts w:ascii="Calibri" w:eastAsia="Calibri" w:hAnsi="Calibri" w:cs="Arial"/>
                <w:color w:val="404040" w:themeColor="text1" w:themeTint="BF"/>
                <w:sz w:val="21"/>
                <w:szCs w:val="21"/>
              </w:rPr>
              <w:t>In the absence of, to enhance, or as a complement to national data sources, good practice suggests that the data and information derived from global and regional data sets should be interpreted and validated by national authorities. The most common validation approach involves the use of national, sub-national or site-based indicators, data and information to assess the accuracy of the sub-indicators derived from these regional and global data sources. This could include a mixed-methods approach which makes use of multiple sources of information or combines quantitative and qualitative data, including the ground</w:t>
            </w:r>
            <w:r>
              <w:rPr>
                <w:rFonts w:ascii="Calibri" w:eastAsia="Calibri" w:hAnsi="Calibri" w:cs="Arial"/>
                <w:color w:val="404040" w:themeColor="text1" w:themeTint="BF"/>
                <w:sz w:val="21"/>
                <w:szCs w:val="21"/>
              </w:rPr>
              <w:t xml:space="preserve"> </w:t>
            </w:r>
            <w:r w:rsidRPr="009213B0">
              <w:rPr>
                <w:rFonts w:ascii="Calibri" w:eastAsia="Calibri" w:hAnsi="Calibri" w:cs="Arial"/>
                <w:color w:val="404040" w:themeColor="text1" w:themeTint="BF"/>
                <w:sz w:val="21"/>
                <w:szCs w:val="21"/>
              </w:rPr>
              <w:t>truthing of remotely sensed data using Google Earth images, field surveys or a combination of both.</w:t>
            </w:r>
          </w:p>
          <w:p w14:paraId="5DFB8F71" w14:textId="77777777" w:rsidR="00C25142" w:rsidRPr="00A96255" w:rsidRDefault="00C25142" w:rsidP="00C25142">
            <w:pPr>
              <w:pStyle w:val="MText"/>
            </w:pPr>
          </w:p>
          <w:p w14:paraId="571CD33E" w14:textId="49AC26B9"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6D8A1400" w:rsidR="0035311B" w:rsidRPr="00456649" w:rsidRDefault="00456649" w:rsidP="00456649">
            <w:pPr>
              <w:spacing w:after="0"/>
              <w:rPr>
                <w:rFonts w:ascii="Calibri" w:eastAsia="Calibri" w:hAnsi="Calibri" w:cs="Arial"/>
                <w:color w:val="404040" w:themeColor="text1" w:themeTint="BF"/>
                <w:sz w:val="21"/>
                <w:szCs w:val="21"/>
              </w:rPr>
            </w:pPr>
            <w:r>
              <w:rPr>
                <w:rFonts w:ascii="Calibri" w:eastAsia="Calibri" w:hAnsi="Calibri" w:cs="Arial"/>
                <w:color w:val="404040" w:themeColor="text1" w:themeTint="BF"/>
                <w:sz w:val="21"/>
                <w:szCs w:val="21"/>
              </w:rPr>
              <w:t>Questionnare administered to the relevant Government bodies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15718FE" w:rsidR="0035311B" w:rsidRPr="007C3922" w:rsidRDefault="007C3922" w:rsidP="007C3922">
            <w:pPr>
              <w:spacing w:after="0"/>
              <w:rPr>
                <w:rFonts w:ascii="Calibri" w:eastAsia="Calibri" w:hAnsi="Calibri" w:cs="Arial"/>
                <w:color w:val="404040" w:themeColor="text1" w:themeTint="BF"/>
                <w:sz w:val="21"/>
                <w:szCs w:val="21"/>
              </w:rPr>
            </w:pPr>
            <w:r>
              <w:rPr>
                <w:rFonts w:ascii="Calibri" w:eastAsia="Calibri" w:hAnsi="Calibri" w:cs="Arial"/>
                <w:color w:val="404040" w:themeColor="text1" w:themeTint="BF"/>
                <w:sz w:val="21"/>
                <w:szCs w:val="21"/>
              </w:rPr>
              <w:t>Every 4 years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CB4AACA" w:rsidR="0035311B" w:rsidRPr="00AE74DE" w:rsidRDefault="00A81BE1" w:rsidP="009F305C">
            <w:pPr>
              <w:rPr>
                <w:rFonts w:ascii="Calibri" w:eastAsia="Calibri" w:hAnsi="Calibri" w:cs="Arial"/>
                <w:color w:val="404040" w:themeColor="text1" w:themeTint="BF"/>
                <w:sz w:val="21"/>
                <w:szCs w:val="21"/>
              </w:rPr>
            </w:pPr>
            <w:r w:rsidRPr="009213B0">
              <w:rPr>
                <w:rFonts w:ascii="Calibri" w:eastAsia="Calibri" w:hAnsi="Calibri" w:cs="Arial"/>
                <w:color w:val="404040" w:themeColor="text1" w:themeTint="BF"/>
                <w:sz w:val="21"/>
                <w:szCs w:val="21"/>
              </w:rPr>
              <w:t>Data from the 2018 reporting period will be released by February 2019</w:t>
            </w:r>
            <w:r>
              <w:rPr>
                <w:rFonts w:ascii="Calibri" w:eastAsia="Calibri" w:hAnsi="Calibri" w:cs="Arial"/>
                <w:color w:val="404040" w:themeColor="text1" w:themeTint="BF"/>
                <w:sz w:val="21"/>
                <w:szCs w:val="21"/>
              </w:rPr>
              <w:t xml:space="preserve"> and every four years thereafter</w:t>
            </w:r>
            <w:r w:rsidR="00AE74DE">
              <w:rPr>
                <w:rFonts w:ascii="Calibri" w:eastAsia="Calibri" w:hAnsi="Calibri" w:cs="Arial"/>
                <w:color w:val="404040" w:themeColor="text1" w:themeTint="BF"/>
                <w:sz w:val="21"/>
                <w:szCs w:val="21"/>
              </w:rPr>
              <w:t>.</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306CF5F" w:rsidR="0035311B" w:rsidRPr="009F305C" w:rsidRDefault="00EA00AA" w:rsidP="009F305C">
            <w:r>
              <w:t>Directorate of Resource Survey and Remote Sensing, Ministry of Agriculture</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DD63B66" w:rsidR="0035311B" w:rsidRPr="009F305C" w:rsidRDefault="00832DBF"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F9783D9" w:rsidR="0035311B" w:rsidRPr="009F305C" w:rsidRDefault="00B61682" w:rsidP="00832DBF">
            <w:r>
              <w:t>Kenya National Bureau of Statistics is mandated to collect,</w:t>
            </w:r>
            <w:r w:rsidR="008C31BC">
              <w:t xml:space="preserve"> </w:t>
            </w:r>
            <w:r>
              <w:t>compile,</w:t>
            </w:r>
            <w:r w:rsidR="008C31BC">
              <w:t xml:space="preserve"> </w:t>
            </w:r>
            <w:r>
              <w:t>analyze,</w:t>
            </w:r>
            <w:r w:rsidR="008C31BC">
              <w:t xml:space="preserve"> </w:t>
            </w:r>
            <w:r>
              <w:t>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77220AF4" w14:textId="77777777" w:rsidR="00107FF1" w:rsidRPr="000D5F8F" w:rsidRDefault="00107FF1" w:rsidP="00107FF1">
            <w:pPr>
              <w:rPr>
                <w:rFonts w:ascii="Calibri" w:eastAsia="Calibri" w:hAnsi="Calibri" w:cs="Arial"/>
                <w:color w:val="404040" w:themeColor="text1" w:themeTint="BF"/>
                <w:sz w:val="21"/>
                <w:szCs w:val="21"/>
              </w:rPr>
            </w:pPr>
            <w:r w:rsidRPr="000D5F8F">
              <w:rPr>
                <w:rFonts w:ascii="Calibri" w:eastAsia="Calibri" w:hAnsi="Calibri" w:cs="Arial"/>
                <w:color w:val="404040" w:themeColor="text1" w:themeTint="BF"/>
                <w:sz w:val="21"/>
                <w:szCs w:val="21"/>
              </w:rPr>
              <w:t xml:space="preserve">In the last decade, there have been a number of global/regional targets and initiatives to halt and reverse land degradation and restore degraded land. Starting in 2010, these include the Aichi Biodiversity Targets, one of which aims to restore at least 15% of degraded ecosystems; the Bonn Challenge and its regional initiatives to restore more than 150 million hectares; and most recently the Sustainable Development Goals (SDGs), in particular SDG target 15.3. </w:t>
            </w:r>
          </w:p>
          <w:p w14:paraId="700B2C52" w14:textId="77777777" w:rsidR="00107FF1" w:rsidRPr="000D5F8F" w:rsidRDefault="00107FF1" w:rsidP="00107FF1">
            <w:pPr>
              <w:rPr>
                <w:rFonts w:ascii="Calibri" w:eastAsia="Calibri" w:hAnsi="Calibri" w:cs="Arial"/>
                <w:color w:val="404040" w:themeColor="text1" w:themeTint="BF"/>
                <w:sz w:val="21"/>
                <w:szCs w:val="21"/>
              </w:rPr>
            </w:pPr>
            <w:r w:rsidRPr="000D5F8F">
              <w:rPr>
                <w:rFonts w:ascii="Calibri" w:eastAsia="Calibri" w:hAnsi="Calibri" w:cs="Arial"/>
                <w:color w:val="404040" w:themeColor="text1" w:themeTint="BF"/>
                <w:sz w:val="21"/>
                <w:szCs w:val="21"/>
              </w:rPr>
              <w:t>For each of the sub-indicators, countries can access a wide range of data sources, including Earth observation and geospatial information, while at the same time ensuring national ownership.</w:t>
            </w:r>
            <w:r w:rsidRPr="000D5F8F">
              <w:rPr>
                <w:rFonts w:ascii="Calibri" w:eastAsia="Calibri" w:hAnsi="Calibri" w:cs="Arial"/>
                <w:color w:val="404040" w:themeColor="text1" w:themeTint="BF"/>
                <w:sz w:val="21"/>
                <w:szCs w:val="21"/>
                <w:vertAlign w:val="superscript"/>
              </w:rPr>
              <w:footnoteReference w:id="10"/>
            </w:r>
            <w:r w:rsidRPr="000D5F8F">
              <w:rPr>
                <w:rFonts w:ascii="Calibri" w:eastAsia="Calibri" w:hAnsi="Calibri" w:cs="Arial"/>
                <w:color w:val="404040" w:themeColor="text1" w:themeTint="BF"/>
                <w:sz w:val="21"/>
                <w:szCs w:val="21"/>
              </w:rPr>
              <w:t xml:space="preserve"> The use of the existing national reporting templates of the UNCCD,</w:t>
            </w:r>
            <w:r w:rsidRPr="000D5F8F">
              <w:rPr>
                <w:rFonts w:ascii="Calibri" w:eastAsia="Calibri" w:hAnsi="Calibri" w:cs="Arial"/>
                <w:color w:val="404040" w:themeColor="text1" w:themeTint="BF"/>
                <w:sz w:val="21"/>
                <w:szCs w:val="21"/>
                <w:vertAlign w:val="superscript"/>
              </w:rPr>
              <w:footnoteReference w:id="11"/>
            </w:r>
            <w:r w:rsidRPr="000D5F8F">
              <w:rPr>
                <w:rFonts w:ascii="Calibri" w:eastAsia="Calibri" w:hAnsi="Calibri" w:cs="Arial"/>
                <w:color w:val="404040" w:themeColor="text1" w:themeTint="BF"/>
                <w:sz w:val="21"/>
                <w:szCs w:val="21"/>
              </w:rPr>
              <w:t xml:space="preserve"> which include the indicator and sub-indicators, provides a practical and harmonized approach to reporting on this indicator beginning in 2018 and every four years thereafter.</w:t>
            </w:r>
            <w:r w:rsidRPr="000D5F8F">
              <w:rPr>
                <w:rFonts w:ascii="Calibri" w:eastAsia="Calibri" w:hAnsi="Calibri" w:cs="Arial"/>
                <w:color w:val="404040" w:themeColor="text1" w:themeTint="BF"/>
                <w:sz w:val="21"/>
                <w:szCs w:val="21"/>
                <w:vertAlign w:val="superscript"/>
              </w:rPr>
              <w:footnoteReference w:id="12"/>
            </w:r>
            <w:r w:rsidRPr="000D5F8F">
              <w:rPr>
                <w:rFonts w:ascii="Calibri" w:eastAsia="Calibri" w:hAnsi="Calibri" w:cs="Arial"/>
                <w:color w:val="404040" w:themeColor="text1" w:themeTint="BF"/>
                <w:sz w:val="21"/>
                <w:szCs w:val="21"/>
              </w:rPr>
              <w:t xml:space="preserve"> The quantitative assessments and corresponding mapping at the national level, as required by this indicator, would help countries to set policy and planning priorities among diverse land resource areas, in particular:</w:t>
            </w:r>
          </w:p>
          <w:p w14:paraId="77B04564" w14:textId="77777777" w:rsidR="00107FF1" w:rsidRPr="000D5F8F" w:rsidRDefault="00107FF1" w:rsidP="00107FF1">
            <w:pPr>
              <w:numPr>
                <w:ilvl w:val="0"/>
                <w:numId w:val="9"/>
              </w:numPr>
              <w:spacing w:after="200" w:line="276" w:lineRule="auto"/>
              <w:contextualSpacing/>
              <w:rPr>
                <w:rFonts w:ascii="Calibri" w:eastAsia="Calibri" w:hAnsi="Calibri" w:cs="Arial"/>
                <w:color w:val="404040" w:themeColor="text1" w:themeTint="BF"/>
                <w:sz w:val="21"/>
                <w:szCs w:val="21"/>
              </w:rPr>
            </w:pPr>
            <w:r w:rsidRPr="000D5F8F">
              <w:rPr>
                <w:rFonts w:ascii="Calibri" w:eastAsia="Calibri" w:hAnsi="Calibri" w:cs="Arial"/>
                <w:color w:val="404040" w:themeColor="text1" w:themeTint="BF"/>
                <w:sz w:val="21"/>
                <w:szCs w:val="21"/>
              </w:rPr>
              <w:t>to identify hotspots and plan actions of redress, including through the conservation, rehabilitation, restoration and sustainable management of land resources; and</w:t>
            </w:r>
          </w:p>
          <w:p w14:paraId="4062F40E" w14:textId="77777777" w:rsidR="00107FF1" w:rsidRPr="009213B0" w:rsidRDefault="00107FF1" w:rsidP="00107FF1">
            <w:pPr>
              <w:numPr>
                <w:ilvl w:val="0"/>
                <w:numId w:val="9"/>
              </w:numPr>
              <w:spacing w:after="0" w:line="276" w:lineRule="auto"/>
              <w:contextualSpacing/>
              <w:rPr>
                <w:rFonts w:ascii="Calibri" w:eastAsia="Calibri" w:hAnsi="Calibri" w:cs="Arial"/>
                <w:color w:val="404040" w:themeColor="text1" w:themeTint="BF"/>
              </w:rPr>
            </w:pPr>
            <w:r w:rsidRPr="000D5F8F">
              <w:rPr>
                <w:rFonts w:ascii="Calibri" w:eastAsia="Calibri" w:hAnsi="Calibri" w:cs="Arial"/>
                <w:color w:val="404040" w:themeColor="text1" w:themeTint="BF"/>
                <w:sz w:val="21"/>
                <w:szCs w:val="21"/>
              </w:rPr>
              <w:t>to address emerging pressures to help avoid future land degradation.</w:t>
            </w:r>
          </w:p>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3F458FC7" w14:textId="77777777" w:rsidR="00D95177" w:rsidRPr="000D5F8F" w:rsidRDefault="00D95177" w:rsidP="00D95177">
            <w:pPr>
              <w:shd w:val="clear" w:color="auto" w:fill="FFFFFF"/>
              <w:spacing w:after="0"/>
              <w:rPr>
                <w:rFonts w:eastAsia="Times New Roman" w:cstheme="minorHAnsi"/>
                <w:color w:val="4A4A4A"/>
                <w:sz w:val="21"/>
                <w:szCs w:val="21"/>
                <w:lang w:eastAsia="en-GB"/>
              </w:rPr>
            </w:pPr>
            <w:r w:rsidRPr="000D5F8F">
              <w:rPr>
                <w:rFonts w:eastAsia="Times New Roman" w:cstheme="minorHAnsi"/>
                <w:color w:val="4A4A4A"/>
                <w:sz w:val="21"/>
                <w:szCs w:val="21"/>
                <w:lang w:eastAsia="en-GB"/>
              </w:rPr>
              <w:t xml:space="preserve">SDG indicator 15.3.1 is a binary -- degraded/not degraded -- quantification based on the analysis of available data that is validated and reported by national authorities. Reporting on the sub-indicators should be based primarily, and to the largest extent possible, on comparable and standardized national official data sources. To a certain extent, national data on the three sub-indicators is and can be collected through existing sources (e.g., databases, maps, reports), including participatory inventories on land management systems as well as remote sensing data collected at the national level. </w:t>
            </w:r>
          </w:p>
          <w:p w14:paraId="6AA99AEF" w14:textId="77777777" w:rsidR="00D95177" w:rsidRPr="009213B0" w:rsidRDefault="00D95177" w:rsidP="00D95177">
            <w:pPr>
              <w:pStyle w:val="NoSpacing"/>
              <w:rPr>
                <w:lang w:eastAsia="en-GB"/>
              </w:rPr>
            </w:pPr>
          </w:p>
          <w:p w14:paraId="2D750632" w14:textId="77777777" w:rsidR="00D95177" w:rsidRPr="009213B0" w:rsidRDefault="00D95177" w:rsidP="00D95177">
            <w:pPr>
              <w:rPr>
                <w:rFonts w:ascii="Calibri" w:eastAsia="Calibri" w:hAnsi="Calibri" w:cs="Arial"/>
                <w:color w:val="404040" w:themeColor="text1" w:themeTint="BF"/>
                <w:sz w:val="21"/>
                <w:szCs w:val="21"/>
              </w:rPr>
            </w:pPr>
            <w:r w:rsidRPr="009213B0">
              <w:rPr>
                <w:rFonts w:ascii="Calibri" w:eastAsia="Calibri" w:hAnsi="Calibri" w:cs="Arial"/>
                <w:color w:val="404040" w:themeColor="text1" w:themeTint="BF"/>
                <w:sz w:val="21"/>
                <w:szCs w:val="21"/>
              </w:rPr>
              <w:t>Regional and global datasets derived from Earth observation and geospatial information can play an important role in the absence of, to complement, or to enhance national official data sources. These datasets can help validate and improve national statistics for greater accuracy by ensuring that the data</w:t>
            </w:r>
            <w:r>
              <w:rPr>
                <w:rFonts w:ascii="Calibri" w:eastAsia="Calibri" w:hAnsi="Calibri" w:cs="Arial"/>
                <w:color w:val="404040" w:themeColor="text1" w:themeTint="BF"/>
                <w:sz w:val="21"/>
                <w:szCs w:val="21"/>
              </w:rPr>
              <w:t xml:space="preserve"> </w:t>
            </w:r>
            <w:r w:rsidRPr="009213B0">
              <w:rPr>
                <w:rFonts w:ascii="Calibri" w:eastAsia="Calibri" w:hAnsi="Calibri" w:cs="Arial"/>
                <w:color w:val="404040" w:themeColor="text1" w:themeTint="BF"/>
                <w:sz w:val="21"/>
                <w:szCs w:val="21"/>
              </w:rPr>
              <w:t xml:space="preserve">are spatially-explicit. Recognizing that the sub-indicators cannot fully capture the complexity of land degradation (i.e., its degree and drivers), countries are strongly encouraged to use other relevant national or sub-national indicators, data and information to strengthen their interpretation. </w:t>
            </w:r>
          </w:p>
          <w:p w14:paraId="7D7B7358" w14:textId="77777777" w:rsidR="00D95177" w:rsidRPr="009213B0" w:rsidRDefault="00D95177" w:rsidP="00D95177">
            <w:pPr>
              <w:rPr>
                <w:rFonts w:ascii="Calibri" w:eastAsia="Calibri" w:hAnsi="Calibri" w:cs="Arial"/>
                <w:color w:val="404040" w:themeColor="text1" w:themeTint="BF"/>
                <w:sz w:val="21"/>
                <w:szCs w:val="21"/>
              </w:rPr>
            </w:pPr>
            <w:r w:rsidRPr="009213B0">
              <w:rPr>
                <w:rFonts w:ascii="Calibri" w:eastAsia="Calibri" w:hAnsi="Calibri" w:cs="Arial"/>
                <w:color w:val="404040" w:themeColor="text1" w:themeTint="BF"/>
                <w:sz w:val="21"/>
                <w:szCs w:val="21"/>
              </w:rPr>
              <w:t>As regards slow changing variables, such as soil organic carbon stocks, reporting every four years may not be practical or offer reliable change detection for many countries. Nevertheless, this sub-indicator captures important data and information that will become more available in the future via improved measurements at the national level, such as those being facilitated by the FAO’s Global Soil Partnership and others.</w:t>
            </w:r>
          </w:p>
          <w:p w14:paraId="0404E63E" w14:textId="77777777" w:rsidR="00D95177" w:rsidRPr="009213B0" w:rsidRDefault="00D95177" w:rsidP="00D95177">
            <w:pPr>
              <w:spacing w:after="0"/>
              <w:rPr>
                <w:rFonts w:ascii="Calibri" w:eastAsia="Calibri" w:hAnsi="Calibri" w:cs="Arial"/>
                <w:color w:val="404040" w:themeColor="text1" w:themeTint="BF"/>
                <w:sz w:val="21"/>
                <w:szCs w:val="21"/>
              </w:rPr>
            </w:pPr>
            <w:r w:rsidRPr="009213B0">
              <w:rPr>
                <w:rFonts w:ascii="Calibri" w:eastAsia="Calibri" w:hAnsi="Calibri" w:cs="Arial"/>
                <w:color w:val="404040" w:themeColor="text1" w:themeTint="BF"/>
                <w:sz w:val="21"/>
                <w:szCs w:val="21"/>
              </w:rPr>
              <w:t xml:space="preserve">While access to remote sensing imagery has improved dramatically in recent years, there is still a need for essential historical time series that is currently only available at coarse to medium resolution. The expectation is that the availability of high-resolution, locally-calibrated datasets will increase rapidly in the near future. National capacities to process, interpret and validate geospatial data still need to be enhanced in many countries; good practice guidance for the monitoring and the reporting of the sub-indicators in other processes will assist in this regard. </w:t>
            </w:r>
          </w:p>
          <w:p w14:paraId="48EF8537" w14:textId="45F844E7" w:rsidR="007F2D9F" w:rsidRPr="009F305C" w:rsidRDefault="007F2D9F" w:rsidP="00D95177"/>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5C63A61" w14:textId="77777777" w:rsidR="00EC6FA6" w:rsidRPr="009213B0" w:rsidRDefault="00EC6FA6" w:rsidP="00EC6FA6">
            <w:pPr>
              <w:spacing w:before="120" w:after="120"/>
              <w:rPr>
                <w:rFonts w:ascii="Calibri" w:eastAsia="Arial" w:hAnsi="Calibri" w:cs="Times New Roman"/>
                <w:color w:val="404040" w:themeColor="text1" w:themeTint="BF"/>
                <w:sz w:val="21"/>
                <w:szCs w:val="21"/>
                <w:lang w:val="en-AU"/>
              </w:rPr>
            </w:pPr>
            <w:r w:rsidRPr="009213B0">
              <w:rPr>
                <w:rFonts w:ascii="Calibri" w:eastAsia="Arial" w:hAnsi="Calibri" w:cs="Times New Roman"/>
                <w:color w:val="404040" w:themeColor="text1" w:themeTint="BF"/>
                <w:sz w:val="21"/>
                <w:szCs w:val="21"/>
                <w:lang w:val="en-AU"/>
              </w:rPr>
              <w:t xml:space="preserve">By analysing changes in the sub-indicators in the context of local assessments of climate, soil, land use and any other factors influencing land conditions, national authorities can determine which land units are to be classified as degraded, sum the total, and report on the indicator. </w:t>
            </w:r>
            <w:r w:rsidRPr="009213B0">
              <w:rPr>
                <w:rFonts w:ascii="Calibri" w:eastAsia="SimSun" w:hAnsi="Calibri" w:cs="TimesNewRomanPS-BoldMT"/>
                <w:bCs/>
                <w:color w:val="404040" w:themeColor="text1" w:themeTint="BF"/>
                <w:sz w:val="21"/>
                <w:szCs w:val="21"/>
              </w:rPr>
              <w:t>A conceptual framework, endorsed by the UNCCD’s governing body in September 2017,</w:t>
            </w:r>
            <w:r w:rsidRPr="009213B0">
              <w:rPr>
                <w:rFonts w:ascii="Calibri" w:eastAsia="SimSun" w:hAnsi="Calibri" w:cs="TimesNewRomanPS-BoldMT"/>
                <w:bCs/>
                <w:color w:val="404040" w:themeColor="text1" w:themeTint="BF"/>
                <w:sz w:val="21"/>
                <w:szCs w:val="21"/>
                <w:vertAlign w:val="superscript"/>
              </w:rPr>
              <w:footnoteReference w:id="13"/>
            </w:r>
            <w:r w:rsidRPr="009213B0">
              <w:rPr>
                <w:rFonts w:ascii="Calibri" w:eastAsia="SimSun" w:hAnsi="Calibri" w:cs="TimesNewRomanPS-BoldMT"/>
                <w:bCs/>
                <w:color w:val="404040" w:themeColor="text1" w:themeTint="BF"/>
                <w:sz w:val="21"/>
                <w:szCs w:val="21"/>
              </w:rPr>
              <w:t xml:space="preserve"> underpins a universal methodology for deriving the indicator. </w:t>
            </w:r>
            <w:r w:rsidRPr="009213B0">
              <w:rPr>
                <w:rFonts w:ascii="Calibri" w:eastAsia="Arial" w:hAnsi="Calibri" w:cs="Times New Roman"/>
                <w:color w:val="404040" w:themeColor="text1" w:themeTint="BF"/>
                <w:sz w:val="21"/>
                <w:szCs w:val="21"/>
                <w:lang w:val="en-AU"/>
              </w:rPr>
              <w:t>The methodology helps countries to select the most appropriate datasets for the sub-indicators and determine national methods for estimating the indicator. In order to assist countries with monitoring and reporting, Good Practice Guidance for SDG Indicator 15.3.1</w:t>
            </w:r>
            <w:r w:rsidRPr="009213B0">
              <w:rPr>
                <w:rFonts w:ascii="Calibri" w:eastAsia="Arial" w:hAnsi="Calibri" w:cs="Times New Roman"/>
                <w:color w:val="404040" w:themeColor="text1" w:themeTint="BF"/>
                <w:sz w:val="21"/>
                <w:szCs w:val="21"/>
                <w:vertAlign w:val="superscript"/>
                <w:lang w:val="en-AU"/>
              </w:rPr>
              <w:footnoteReference w:id="14"/>
            </w:r>
            <w:r w:rsidRPr="009213B0">
              <w:rPr>
                <w:rFonts w:ascii="Calibri" w:eastAsia="Arial" w:hAnsi="Calibri" w:cs="Times New Roman"/>
                <w:color w:val="404040" w:themeColor="text1" w:themeTint="BF"/>
                <w:sz w:val="21"/>
                <w:szCs w:val="21"/>
                <w:lang w:val="en-AU"/>
              </w:rPr>
              <w:t xml:space="preserve"> has been developed by the UNCCD and its partners. </w:t>
            </w:r>
          </w:p>
          <w:p w14:paraId="60BA8842" w14:textId="77777777" w:rsidR="00EC6FA6" w:rsidRPr="009213B0" w:rsidRDefault="00EC6FA6" w:rsidP="00EC6FA6">
            <w:pPr>
              <w:spacing w:before="120" w:after="120"/>
              <w:rPr>
                <w:rFonts w:ascii="Calibri" w:eastAsia="Arial" w:hAnsi="Calibri" w:cs="Times New Roman"/>
                <w:color w:val="404040" w:themeColor="text1" w:themeTint="BF"/>
                <w:sz w:val="21"/>
                <w:szCs w:val="21"/>
                <w:lang w:val="en-AU"/>
              </w:rPr>
            </w:pPr>
            <w:r w:rsidRPr="009213B0">
              <w:rPr>
                <w:rFonts w:ascii="Calibri" w:eastAsia="Arial" w:hAnsi="Calibri" w:cs="Times New Roman"/>
                <w:color w:val="404040" w:themeColor="text1" w:themeTint="BF"/>
                <w:sz w:val="21"/>
                <w:szCs w:val="21"/>
                <w:lang w:val="en-AU"/>
              </w:rPr>
              <w:t xml:space="preserve">The indicator is derived from a binary classification of land condition (i.e., degraded or not degraded) based primarily, and to the largest extent possible, on comparable and standardized national official data sources. However, due to the nature of the indicator, Earth observation and geospatial information from regional and global data sources can play an important role in its derivation, subject to validation by national authorities. </w:t>
            </w:r>
          </w:p>
          <w:p w14:paraId="6F0A30D4" w14:textId="77777777" w:rsidR="00EC6FA6" w:rsidRPr="009213B0" w:rsidRDefault="00EC6FA6" w:rsidP="00EC6FA6">
            <w:pPr>
              <w:spacing w:before="120" w:after="120"/>
              <w:rPr>
                <w:rFonts w:ascii="Calibri" w:eastAsia="Arial" w:hAnsi="Calibri" w:cs="Times New Roman"/>
                <w:color w:val="404040" w:themeColor="text1" w:themeTint="BF"/>
                <w:sz w:val="21"/>
                <w:szCs w:val="21"/>
                <w:lang w:val="en-AU"/>
              </w:rPr>
            </w:pPr>
            <w:r w:rsidRPr="009213B0">
              <w:rPr>
                <w:rFonts w:ascii="Calibri" w:eastAsia="Arial" w:hAnsi="Calibri" w:cs="Times New Roman"/>
                <w:color w:val="404040" w:themeColor="text1" w:themeTint="BF"/>
                <w:sz w:val="21"/>
                <w:szCs w:val="21"/>
                <w:lang w:val="en-AU"/>
              </w:rPr>
              <w:t>Quantifying the indicator is based on the evaluation of changes in the sub-indicators</w:t>
            </w:r>
            <w:r w:rsidRPr="009213B0">
              <w:rPr>
                <w:rFonts w:ascii="Calibri" w:eastAsia="Calibri" w:hAnsi="Calibri" w:cs="Arial"/>
                <w:color w:val="404040" w:themeColor="text1" w:themeTint="BF"/>
                <w:sz w:val="21"/>
                <w:szCs w:val="21"/>
                <w:lang w:val="en-AU"/>
              </w:rPr>
              <w:t xml:space="preserve"> </w:t>
            </w:r>
            <w:r w:rsidRPr="009213B0">
              <w:rPr>
                <w:rFonts w:ascii="Calibri" w:eastAsia="Calibri" w:hAnsi="Calibri" w:cs="Arial"/>
                <w:color w:val="404040" w:themeColor="text1" w:themeTint="BF"/>
                <w:sz w:val="21"/>
                <w:szCs w:val="21"/>
              </w:rPr>
              <w:t xml:space="preserve">in order to determine </w:t>
            </w:r>
            <w:r w:rsidRPr="009213B0">
              <w:rPr>
                <w:rFonts w:ascii="Calibri" w:eastAsia="Arial" w:hAnsi="Calibri" w:cs="Times New Roman"/>
                <w:color w:val="404040" w:themeColor="text1" w:themeTint="BF"/>
                <w:sz w:val="21"/>
                <w:szCs w:val="21"/>
                <w:lang w:val="en-AU"/>
              </w:rPr>
              <w:t>the extent of land that is degraded over total land area. The sub-indicators are few in number, complementary and non-additive components of land-based natural capital and sensitive to different degradation factors. As a result, the 1OAO principle is applied in the method of computation where changes in the sub-indicators are depicted as (</w:t>
            </w:r>
            <w:proofErr w:type="spellStart"/>
            <w:r w:rsidRPr="009213B0">
              <w:rPr>
                <w:rFonts w:ascii="Calibri" w:eastAsia="Arial" w:hAnsi="Calibri" w:cs="Times New Roman"/>
                <w:color w:val="404040" w:themeColor="text1" w:themeTint="BF"/>
                <w:sz w:val="21"/>
                <w:szCs w:val="21"/>
                <w:lang w:val="en-AU"/>
              </w:rPr>
              <w:t>i</w:t>
            </w:r>
            <w:proofErr w:type="spellEnd"/>
            <w:r w:rsidRPr="009213B0">
              <w:rPr>
                <w:rFonts w:ascii="Calibri" w:eastAsia="Arial" w:hAnsi="Calibri" w:cs="Times New Roman"/>
                <w:color w:val="404040" w:themeColor="text1" w:themeTint="BF"/>
                <w:sz w:val="21"/>
                <w:szCs w:val="21"/>
                <w:lang w:val="en-AU"/>
              </w:rPr>
              <w:t xml:space="preserve">) positive or improving, (ii) negative or declining, or (iii) stable or unchanging. If one of the sub-indicators is negative (or stable when degraded in the baseline or previous monitoring year) for a particular land unit, then normally it would be considered as degraded subject to validation by national authorities. </w:t>
            </w:r>
          </w:p>
          <w:p w14:paraId="00839ECF" w14:textId="32C00693" w:rsidR="00EC6FA6" w:rsidRPr="009213B0" w:rsidRDefault="00EC6FA6" w:rsidP="00EC6FA6">
            <w:pPr>
              <w:spacing w:before="120" w:after="120"/>
              <w:rPr>
                <w:rFonts w:ascii="Calibri" w:eastAsia="Arial" w:hAnsi="Calibri" w:cs="Times New Roman"/>
                <w:color w:val="404040" w:themeColor="text1" w:themeTint="BF"/>
                <w:sz w:val="21"/>
                <w:szCs w:val="21"/>
                <w:lang w:val="en-AU"/>
              </w:rPr>
            </w:pPr>
            <w:r w:rsidRPr="009213B0">
              <w:rPr>
                <w:rFonts w:ascii="Calibri" w:eastAsia="Arial" w:hAnsi="Calibri" w:cs="Times New Roman"/>
                <w:color w:val="404040" w:themeColor="text1" w:themeTint="BF"/>
                <w:sz w:val="21"/>
                <w:szCs w:val="21"/>
                <w:lang w:val="en-AU"/>
              </w:rPr>
              <w:t>The baseline year for the indicator is 2015 and its value (t</w:t>
            </w:r>
            <w:r w:rsidRPr="009213B0">
              <w:rPr>
                <w:rFonts w:ascii="Calibri" w:eastAsia="Arial" w:hAnsi="Calibri" w:cs="Times New Roman"/>
                <w:color w:val="404040" w:themeColor="text1" w:themeTint="BF"/>
                <w:sz w:val="21"/>
                <w:szCs w:val="21"/>
                <w:vertAlign w:val="subscript"/>
                <w:lang w:val="en-AU"/>
              </w:rPr>
              <w:t>0</w:t>
            </w:r>
            <w:r w:rsidRPr="009213B0">
              <w:rPr>
                <w:rFonts w:ascii="Calibri" w:eastAsia="Arial" w:hAnsi="Calibri" w:cs="Times New Roman"/>
                <w:color w:val="404040" w:themeColor="text1" w:themeTint="BF"/>
                <w:sz w:val="21"/>
                <w:szCs w:val="21"/>
                <w:lang w:val="en-AU"/>
              </w:rPr>
              <w:t>) is derived from an initial quantification and assessment of time series data for the sub-indicators for each land unit during the period 2000-2015. Subsequent values for the indicator during each monitoring period (t</w:t>
            </w:r>
            <w:r w:rsidRPr="009213B0">
              <w:rPr>
                <w:rFonts w:ascii="Calibri" w:eastAsia="Arial" w:hAnsi="Calibri" w:cs="Times New Roman"/>
                <w:color w:val="404040" w:themeColor="text1" w:themeTint="BF"/>
                <w:sz w:val="21"/>
                <w:szCs w:val="21"/>
                <w:vertAlign w:val="subscript"/>
                <w:lang w:val="en-AU"/>
              </w:rPr>
              <w:t>1-n</w:t>
            </w:r>
            <w:r w:rsidRPr="009213B0">
              <w:rPr>
                <w:rFonts w:ascii="Calibri" w:eastAsia="Arial" w:hAnsi="Calibri" w:cs="Times New Roman"/>
                <w:color w:val="404040" w:themeColor="text1" w:themeTint="BF"/>
                <w:sz w:val="21"/>
                <w:szCs w:val="21"/>
                <w:lang w:val="en-AU"/>
              </w:rPr>
              <w:t>) are derived from the quantification and assessment of changes in the sub-indicators as to whether there has been positive, negative or no change for each land unit relative to the baseline value. Although the indicator will be reported as a single figure quantifying the area of land that is degraded as a proportion of land area, it can be spatially disaggregated by land cover class or other policy‐relevant units.</w:t>
            </w:r>
          </w:p>
          <w:p w14:paraId="54700ABE" w14:textId="77777777" w:rsidR="00EC6FA6" w:rsidRPr="009213B0" w:rsidRDefault="00EC6FA6" w:rsidP="00EC6FA6">
            <w:pPr>
              <w:spacing w:before="120" w:after="120"/>
              <w:rPr>
                <w:rFonts w:ascii="Calibri" w:eastAsia="Arial" w:hAnsi="Calibri" w:cs="Times New Roman"/>
                <w:color w:val="404040" w:themeColor="text1" w:themeTint="BF"/>
                <w:sz w:val="21"/>
                <w:szCs w:val="21"/>
                <w:lang w:val="en-AU"/>
              </w:rPr>
            </w:pPr>
            <w:r w:rsidRPr="009213B0">
              <w:rPr>
                <w:rFonts w:ascii="Calibri" w:eastAsia="Arial" w:hAnsi="Calibri" w:cs="Times New Roman"/>
                <w:color w:val="404040" w:themeColor="text1" w:themeTint="BF"/>
                <w:sz w:val="21"/>
                <w:szCs w:val="21"/>
                <w:lang w:val="en-AU"/>
              </w:rPr>
              <w:t>As detailed in the Good Practice Guidance for SDG indicator 15.3.1, deriving the indicator for the baseline and subsequent monitoring years is done by summing all those areas where any changes in the sub-indicators are considered negative (or stable when degraded in the baseline or previous monitoring year) by national authorities. This involves the:</w:t>
            </w:r>
          </w:p>
          <w:p w14:paraId="695906EB" w14:textId="77777777" w:rsidR="00EC6FA6" w:rsidRPr="009213B0" w:rsidRDefault="00EC6FA6" w:rsidP="00EC6FA6">
            <w:pPr>
              <w:spacing w:before="120" w:after="120"/>
              <w:ind w:left="720"/>
              <w:rPr>
                <w:rFonts w:ascii="Calibri" w:eastAsia="Arial" w:hAnsi="Calibri" w:cs="Times New Roman"/>
                <w:color w:val="404040" w:themeColor="text1" w:themeTint="BF"/>
                <w:sz w:val="21"/>
                <w:szCs w:val="21"/>
                <w:lang w:val="en-AU"/>
              </w:rPr>
            </w:pPr>
            <w:r w:rsidRPr="009213B0">
              <w:rPr>
                <w:rFonts w:ascii="Calibri" w:eastAsia="Arial" w:hAnsi="Calibri" w:cs="Times New Roman"/>
                <w:color w:val="404040" w:themeColor="text1" w:themeTint="BF"/>
                <w:sz w:val="21"/>
                <w:szCs w:val="21"/>
                <w:lang w:val="en-AU"/>
              </w:rPr>
              <w:t xml:space="preserve">(1) assessment and evaluation of </w:t>
            </w:r>
            <w:r w:rsidRPr="009213B0">
              <w:rPr>
                <w:rFonts w:ascii="Calibri" w:eastAsia="Arial" w:hAnsi="Calibri" w:cs="Times New Roman"/>
                <w:b/>
                <w:color w:val="404040" w:themeColor="text1" w:themeTint="BF"/>
                <w:sz w:val="21"/>
                <w:szCs w:val="21"/>
                <w:lang w:val="en-AU"/>
              </w:rPr>
              <w:t>land cover and land cover changes</w:t>
            </w:r>
            <w:r w:rsidRPr="009213B0">
              <w:rPr>
                <w:rFonts w:ascii="Calibri" w:eastAsia="Arial" w:hAnsi="Calibri" w:cs="Times New Roman"/>
                <w:color w:val="404040" w:themeColor="text1" w:themeTint="BF"/>
                <w:sz w:val="21"/>
                <w:szCs w:val="21"/>
                <w:lang w:val="en-AU"/>
              </w:rPr>
              <w:t>;</w:t>
            </w:r>
            <w:r w:rsidRPr="009213B0">
              <w:rPr>
                <w:rFonts w:ascii="Calibri" w:eastAsia="Arial" w:hAnsi="Calibri" w:cs="Times New Roman"/>
                <w:color w:val="404040" w:themeColor="text1" w:themeTint="BF"/>
                <w:sz w:val="21"/>
                <w:szCs w:val="21"/>
                <w:lang w:val="en-AU"/>
              </w:rPr>
              <w:br/>
              <w:t xml:space="preserve">(2) analysis of </w:t>
            </w:r>
            <w:r w:rsidRPr="009213B0">
              <w:rPr>
                <w:rFonts w:ascii="Calibri" w:eastAsia="Arial" w:hAnsi="Calibri" w:cs="Times New Roman"/>
                <w:b/>
                <w:color w:val="404040" w:themeColor="text1" w:themeTint="BF"/>
                <w:sz w:val="21"/>
                <w:szCs w:val="21"/>
                <w:lang w:val="en-AU"/>
              </w:rPr>
              <w:t>land productivity</w:t>
            </w:r>
            <w:r w:rsidRPr="009213B0">
              <w:rPr>
                <w:rFonts w:ascii="Calibri" w:eastAsia="Arial" w:hAnsi="Calibri" w:cs="Times New Roman"/>
                <w:color w:val="404040" w:themeColor="text1" w:themeTint="BF"/>
                <w:sz w:val="21"/>
                <w:szCs w:val="21"/>
                <w:lang w:val="en-AU"/>
              </w:rPr>
              <w:t xml:space="preserve"> status and trends based on net primary production; and </w:t>
            </w:r>
            <w:r w:rsidRPr="009213B0">
              <w:rPr>
                <w:rFonts w:ascii="Calibri" w:eastAsia="Arial" w:hAnsi="Calibri" w:cs="Times New Roman"/>
                <w:color w:val="404040" w:themeColor="text1" w:themeTint="BF"/>
                <w:sz w:val="21"/>
                <w:szCs w:val="21"/>
                <w:lang w:val="en-AU"/>
              </w:rPr>
              <w:br/>
              <w:t xml:space="preserve">(3) determination of </w:t>
            </w:r>
            <w:r w:rsidRPr="009213B0">
              <w:rPr>
                <w:rFonts w:ascii="Calibri" w:eastAsia="Arial" w:hAnsi="Calibri" w:cs="Times New Roman"/>
                <w:b/>
                <w:color w:val="404040" w:themeColor="text1" w:themeTint="BF"/>
                <w:sz w:val="21"/>
                <w:szCs w:val="21"/>
                <w:lang w:val="en-AU"/>
              </w:rPr>
              <w:t>carbon stock</w:t>
            </w:r>
            <w:r w:rsidRPr="009213B0">
              <w:rPr>
                <w:rFonts w:ascii="Calibri" w:eastAsia="Arial" w:hAnsi="Calibri" w:cs="Times New Roman"/>
                <w:color w:val="404040" w:themeColor="text1" w:themeTint="BF"/>
                <w:sz w:val="21"/>
                <w:szCs w:val="21"/>
                <w:lang w:val="en-AU"/>
              </w:rPr>
              <w:t xml:space="preserve"> values and changes, with an initial assessment of soil organic carbon as the proxy.</w:t>
            </w:r>
          </w:p>
          <w:p w14:paraId="176B6042" w14:textId="77777777" w:rsidR="00EC6FA6" w:rsidRPr="009213B0" w:rsidRDefault="00EC6FA6" w:rsidP="00EC6FA6">
            <w:pPr>
              <w:spacing w:before="120" w:after="120"/>
              <w:rPr>
                <w:rFonts w:ascii="Calibri" w:eastAsia="Arial" w:hAnsi="Calibri" w:cs="Times New Roman"/>
                <w:color w:val="404040" w:themeColor="text1" w:themeTint="BF"/>
                <w:sz w:val="21"/>
                <w:szCs w:val="21"/>
                <w:lang w:val="en-AU"/>
              </w:rPr>
            </w:pPr>
            <w:r w:rsidRPr="009213B0">
              <w:rPr>
                <w:rFonts w:ascii="Calibri" w:eastAsia="Arial" w:hAnsi="Calibri" w:cs="Times New Roman"/>
                <w:color w:val="404040" w:themeColor="text1" w:themeTint="BF"/>
                <w:sz w:val="21"/>
                <w:szCs w:val="21"/>
                <w:lang w:val="en-AU"/>
              </w:rPr>
              <w:t xml:space="preserve">It is good practice to assess change for interim and final reporting years in relation to the baseline year for each sub-indicator and then the indicator. This facilitates the spatial aggregation of the results from the sub-indicators for each land unit to determine the proportion of land that is degraded for the baseline and each monitoring year. Furthermore, it ensures that land classified as degraded will retain that status unless it has improved relative to the baseline or previous monitoring year. </w:t>
            </w:r>
          </w:p>
          <w:p w14:paraId="0D587342" w14:textId="77777777" w:rsidR="00EC6FA6" w:rsidRPr="009213B0" w:rsidRDefault="00EC6FA6" w:rsidP="00EC6FA6">
            <w:pPr>
              <w:spacing w:before="120" w:after="120"/>
              <w:rPr>
                <w:rFonts w:ascii="Calibri" w:eastAsia="Arial" w:hAnsi="Calibri" w:cs="Times New Roman"/>
                <w:color w:val="404040" w:themeColor="text1" w:themeTint="BF"/>
                <w:sz w:val="21"/>
                <w:szCs w:val="21"/>
                <w:lang w:val="en-AU"/>
              </w:rPr>
            </w:pPr>
            <w:r w:rsidRPr="009213B0">
              <w:rPr>
                <w:rFonts w:ascii="Calibri" w:eastAsia="Arial" w:hAnsi="Calibri" w:cs="Times New Roman"/>
                <w:color w:val="404040" w:themeColor="text1" w:themeTint="BF"/>
                <w:sz w:val="21"/>
                <w:szCs w:val="21"/>
                <w:lang w:val="en-AU"/>
              </w:rPr>
              <w:t>Land degradation (or improvement) as compared to the baseline may be identified with reference to parameters describing the slope and confidence limits around the trends in the sub-indicators, or to the level or distribution of conditions in space and/or time as shown during the baseline period. The evaluation of changes in the sub-indicators may be determined using statistical significance tests or by interpretation of results in the context of local indicators, data and information. The method of computation for SDG indicator 15.3.1 is illustrated in Figure 2.</w:t>
            </w:r>
          </w:p>
          <w:p w14:paraId="154A760F" w14:textId="77777777" w:rsidR="00EC6FA6" w:rsidRDefault="00EC6FA6" w:rsidP="00EC6FA6">
            <w:pPr>
              <w:spacing w:before="120" w:after="120"/>
              <w:rPr>
                <w:rFonts w:ascii="Calibri" w:eastAsia="Arial" w:hAnsi="Calibri" w:cs="Times New Roman"/>
                <w:b/>
                <w:color w:val="404040" w:themeColor="text1" w:themeTint="BF"/>
                <w:sz w:val="21"/>
                <w:szCs w:val="21"/>
                <w:lang w:val="en-AU"/>
              </w:rPr>
            </w:pPr>
            <w:r w:rsidRPr="009213B0">
              <w:rPr>
                <w:rFonts w:ascii="Calibri" w:eastAsia="Arial" w:hAnsi="Calibri" w:cs="Times New Roman"/>
                <w:b/>
                <w:color w:val="404040" w:themeColor="text1" w:themeTint="BF"/>
                <w:sz w:val="21"/>
                <w:szCs w:val="21"/>
                <w:lang w:val="en-AU"/>
              </w:rPr>
              <w:t>Figure 2: Steps to derive the indicator from the sub-indicators, where ND is not degraded and D is degraded.</w:t>
            </w:r>
          </w:p>
          <w:p w14:paraId="649FD113" w14:textId="77777777" w:rsidR="00EC6FA6" w:rsidRPr="009213B0" w:rsidRDefault="00EC6FA6" w:rsidP="00EC6FA6">
            <w:pPr>
              <w:spacing w:before="120" w:after="120"/>
              <w:rPr>
                <w:rFonts w:ascii="Calibri" w:eastAsia="Arial" w:hAnsi="Calibri" w:cs="Times New Roman"/>
                <w:color w:val="404040" w:themeColor="text1" w:themeTint="BF"/>
                <w:sz w:val="21"/>
                <w:szCs w:val="21"/>
                <w:lang w:val="en-AU"/>
              </w:rPr>
            </w:pPr>
            <w:r>
              <w:rPr>
                <w:rFonts w:ascii="Calibri" w:eastAsia="Arial" w:hAnsi="Calibri" w:cs="Times New Roman"/>
                <w:b/>
                <w:noProof/>
                <w:color w:val="404040" w:themeColor="text1" w:themeTint="BF"/>
                <w:sz w:val="21"/>
                <w:szCs w:val="21"/>
              </w:rPr>
              <w:drawing>
                <wp:inline distT="0" distB="0" distL="0" distR="0" wp14:anchorId="5D2B22F4" wp14:editId="5AE8DF01">
                  <wp:extent cx="5731510" cy="4742815"/>
                  <wp:effectExtent l="0" t="0" r="2540" b="635"/>
                  <wp:docPr id="3" name="Picture 3" descr="Timeli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Timeline&#10;&#10;Description automatically generated"/>
                          <pic:cNvPicPr/>
                        </pic:nvPicPr>
                        <pic:blipFill>
                          <a:blip r:embed="rId20">
                            <a:extLst>
                              <a:ext uri="{28A0092B-C50C-407E-A947-70E740481C1C}">
                                <a14:useLocalDpi xmlns:a14="http://schemas.microsoft.com/office/drawing/2010/main" val="0"/>
                              </a:ext>
                            </a:extLst>
                          </a:blip>
                          <a:stretch>
                            <a:fillRect/>
                          </a:stretch>
                        </pic:blipFill>
                        <pic:spPr>
                          <a:xfrm>
                            <a:off x="0" y="0"/>
                            <a:ext cx="5731510" cy="4742815"/>
                          </a:xfrm>
                          <a:prstGeom prst="rect">
                            <a:avLst/>
                          </a:prstGeom>
                        </pic:spPr>
                      </pic:pic>
                    </a:graphicData>
                  </a:graphic>
                </wp:inline>
              </w:drawing>
            </w:r>
            <w:r w:rsidRPr="009213B0">
              <w:rPr>
                <w:rFonts w:ascii="Calibri" w:eastAsia="Arial" w:hAnsi="Calibri" w:cs="Times New Roman"/>
                <w:b/>
                <w:color w:val="404040" w:themeColor="text1" w:themeTint="BF"/>
                <w:sz w:val="21"/>
                <w:szCs w:val="21"/>
                <w:lang w:val="en-AU"/>
              </w:rPr>
              <w:br/>
            </w:r>
            <w:r w:rsidRPr="009213B0">
              <w:rPr>
                <w:rFonts w:ascii="Calibri" w:eastAsia="Arial" w:hAnsi="Calibri" w:cs="Times New Roman"/>
                <w:noProof/>
                <w:color w:val="404040" w:themeColor="text1" w:themeTint="BF"/>
                <w:sz w:val="21"/>
                <w:szCs w:val="21"/>
              </w:rPr>
              <w:br/>
            </w:r>
          </w:p>
          <w:p w14:paraId="6224A582" w14:textId="77777777" w:rsidR="00EC6FA6" w:rsidRPr="009213B0" w:rsidRDefault="00EC6FA6" w:rsidP="00EC6FA6">
            <w:pPr>
              <w:spacing w:before="120" w:after="120"/>
              <w:rPr>
                <w:rFonts w:ascii="Calibri" w:eastAsia="Arial" w:hAnsi="Calibri" w:cs="Times New Roman"/>
                <w:color w:val="404040" w:themeColor="text1" w:themeTint="BF"/>
                <w:sz w:val="21"/>
                <w:szCs w:val="21"/>
                <w:lang w:val="en-AU"/>
              </w:rPr>
            </w:pPr>
            <w:r w:rsidRPr="009213B0">
              <w:rPr>
                <w:rFonts w:ascii="Calibri" w:eastAsia="Arial" w:hAnsi="Calibri" w:cs="Times New Roman"/>
                <w:color w:val="404040" w:themeColor="text1" w:themeTint="BF"/>
                <w:sz w:val="21"/>
                <w:szCs w:val="21"/>
                <w:lang w:val="en-AU"/>
              </w:rPr>
              <w:t xml:space="preserve">The area degraded in the monitoring period </w:t>
            </w:r>
            <w:proofErr w:type="spellStart"/>
            <w:r w:rsidRPr="009213B0">
              <w:rPr>
                <w:rFonts w:ascii="Calibri" w:eastAsia="Arial" w:hAnsi="Calibri" w:cs="Times New Roman"/>
                <w:i/>
                <w:color w:val="404040" w:themeColor="text1" w:themeTint="BF"/>
                <w:sz w:val="21"/>
                <w:szCs w:val="21"/>
                <w:lang w:val="en-AU"/>
              </w:rPr>
              <w:t>t</w:t>
            </w:r>
            <w:r w:rsidRPr="009213B0">
              <w:rPr>
                <w:rFonts w:ascii="Calibri" w:eastAsia="Arial" w:hAnsi="Calibri" w:cs="Times New Roman"/>
                <w:i/>
                <w:color w:val="404040" w:themeColor="text1" w:themeTint="BF"/>
                <w:sz w:val="21"/>
                <w:szCs w:val="21"/>
                <w:vertAlign w:val="subscript"/>
                <w:lang w:val="en-AU"/>
              </w:rPr>
              <w:t>n</w:t>
            </w:r>
            <w:proofErr w:type="spellEnd"/>
            <w:r w:rsidRPr="009213B0">
              <w:rPr>
                <w:rFonts w:ascii="Calibri" w:eastAsia="Arial" w:hAnsi="Calibri" w:cs="Times New Roman"/>
                <w:color w:val="404040" w:themeColor="text1" w:themeTint="BF"/>
                <w:sz w:val="21"/>
                <w:szCs w:val="21"/>
                <w:lang w:val="en-AU"/>
              </w:rPr>
              <w:t xml:space="preserve"> within land cover class </w:t>
            </w:r>
            <w:proofErr w:type="spellStart"/>
            <w:r w:rsidRPr="009213B0">
              <w:rPr>
                <w:rFonts w:ascii="Calibri" w:eastAsia="Arial" w:hAnsi="Calibri" w:cs="Times New Roman"/>
                <w:i/>
                <w:color w:val="404040" w:themeColor="text1" w:themeTint="BF"/>
                <w:sz w:val="21"/>
                <w:szCs w:val="21"/>
                <w:lang w:val="en-AU"/>
              </w:rPr>
              <w:t>i</w:t>
            </w:r>
            <w:proofErr w:type="spellEnd"/>
            <w:r w:rsidRPr="009213B0">
              <w:rPr>
                <w:rFonts w:ascii="Calibri" w:eastAsia="Arial" w:hAnsi="Calibri" w:cs="Times New Roman"/>
                <w:color w:val="404040" w:themeColor="text1" w:themeTint="BF"/>
                <w:sz w:val="21"/>
                <w:szCs w:val="21"/>
                <w:lang w:val="en-AU"/>
              </w:rPr>
              <w:t xml:space="preserve"> is estimated by summing all the area units within the land cover class determined to be degraded plus all area units that had previously been defined as degraded and that remain degraded</w:t>
            </w:r>
            <w:r>
              <w:rPr>
                <w:rFonts w:ascii="Calibri" w:eastAsia="Arial" w:hAnsi="Calibri" w:cs="Times New Roman"/>
                <w:color w:val="404040" w:themeColor="text1" w:themeTint="BF"/>
                <w:sz w:val="21"/>
                <w:szCs w:val="21"/>
                <w:lang w:val="en-AU"/>
              </w:rPr>
              <w:t>, minus area units that have improved from a degraded to a non-degraded state</w:t>
            </w:r>
            <w:r w:rsidRPr="009213B0">
              <w:rPr>
                <w:rFonts w:ascii="Calibri" w:eastAsia="Arial" w:hAnsi="Calibri" w:cs="Times New Roman"/>
                <w:color w:val="404040" w:themeColor="text1" w:themeTint="BF"/>
                <w:sz w:val="21"/>
                <w:szCs w:val="21"/>
                <w:lang w:val="en-AU"/>
              </w:rPr>
              <w:t>:</w:t>
            </w:r>
          </w:p>
          <w:p w14:paraId="32EE63BD" w14:textId="77777777" w:rsidR="00EC6FA6" w:rsidRPr="009213B0" w:rsidRDefault="00EC6FA6" w:rsidP="00EC6FA6">
            <w:pPr>
              <w:tabs>
                <w:tab w:val="center" w:pos="4536"/>
                <w:tab w:val="right" w:pos="8505"/>
              </w:tabs>
              <w:spacing w:before="120" w:after="120"/>
              <w:rPr>
                <w:rFonts w:ascii="Calibri" w:eastAsia="Arial" w:hAnsi="Calibri" w:cs="Times New Roman"/>
                <w:color w:val="404040" w:themeColor="text1" w:themeTint="BF"/>
                <w:sz w:val="21"/>
                <w:szCs w:val="21"/>
                <w:lang w:val="en-AU"/>
              </w:rPr>
            </w:pPr>
            <w:r w:rsidRPr="009213B0">
              <w:rPr>
                <w:rFonts w:ascii="Calibri" w:eastAsia="Arial" w:hAnsi="Calibri" w:cs="Times New Roman"/>
                <w:color w:val="404040" w:themeColor="text1" w:themeTint="BF"/>
                <w:sz w:val="21"/>
                <w:szCs w:val="21"/>
                <w:lang w:val="en-AU"/>
              </w:rPr>
              <w:tab/>
            </w:r>
            <m:oMath>
              <m:sSub>
                <m:sSubPr>
                  <m:ctrlPr>
                    <w:rPr>
                      <w:rFonts w:ascii="Cambria Math" w:eastAsia="Arial" w:hAnsi="Cambria Math" w:cs="Times New Roman"/>
                      <w:color w:val="404040" w:themeColor="text1" w:themeTint="BF"/>
                      <w:sz w:val="21"/>
                      <w:szCs w:val="21"/>
                      <w:lang w:val="en-AU"/>
                    </w:rPr>
                  </m:ctrlPr>
                </m:sSubPr>
                <m:e>
                  <m:r>
                    <w:rPr>
                      <w:rFonts w:ascii="Cambria Math" w:eastAsia="Arial" w:hAnsi="Cambria Math" w:cs="Times New Roman"/>
                      <w:color w:val="404040" w:themeColor="text1" w:themeTint="BF"/>
                      <w:sz w:val="21"/>
                      <w:szCs w:val="21"/>
                      <w:lang w:val="en-AU"/>
                    </w:rPr>
                    <m:t>A(Degraded)</m:t>
                  </m:r>
                </m:e>
                <m:sub>
                  <m:r>
                    <w:rPr>
                      <w:rFonts w:ascii="Cambria Math" w:eastAsia="Arial" w:hAnsi="Cambria Math" w:cs="Times New Roman"/>
                      <w:color w:val="404040" w:themeColor="text1" w:themeTint="BF"/>
                      <w:sz w:val="21"/>
                      <w:szCs w:val="21"/>
                      <w:lang w:val="en-AU"/>
                    </w:rPr>
                    <m:t>i</m:t>
                  </m:r>
                  <m:r>
                    <m:rPr>
                      <m:sty m:val="p"/>
                    </m:rPr>
                    <w:rPr>
                      <w:rFonts w:ascii="Cambria Math" w:eastAsia="Arial" w:hAnsi="Cambria Math" w:cs="Times New Roman"/>
                      <w:color w:val="404040" w:themeColor="text1" w:themeTint="BF"/>
                      <w:sz w:val="21"/>
                      <w:szCs w:val="21"/>
                      <w:lang w:val="en-AU"/>
                    </w:rPr>
                    <m:t>,n</m:t>
                  </m:r>
                </m:sub>
              </m:sSub>
              <m:r>
                <m:rPr>
                  <m:sty m:val="p"/>
                </m:rPr>
                <w:rPr>
                  <w:rFonts w:ascii="Cambria Math" w:eastAsia="Arial" w:hAnsi="Cambria Math" w:cs="Times New Roman"/>
                  <w:color w:val="404040" w:themeColor="text1" w:themeTint="BF"/>
                  <w:sz w:val="21"/>
                  <w:szCs w:val="21"/>
                  <w:lang w:val="en-AU"/>
                </w:rPr>
                <m:t>=</m:t>
              </m:r>
              <m:sSub>
                <m:sSubPr>
                  <m:ctrlPr>
                    <w:rPr>
                      <w:rFonts w:ascii="Cambria Math" w:eastAsia="Arial" w:hAnsi="Cambria Math" w:cs="Times New Roman"/>
                      <w:i/>
                      <w:color w:val="404040" w:themeColor="text1" w:themeTint="BF"/>
                      <w:sz w:val="21"/>
                      <w:szCs w:val="21"/>
                      <w:lang w:val="en-AU"/>
                    </w:rPr>
                  </m:ctrlPr>
                </m:sSubPr>
                <m:e>
                  <m:r>
                    <w:rPr>
                      <w:rFonts w:ascii="Cambria Math" w:eastAsia="Arial" w:hAnsi="Cambria Math" w:cs="Times New Roman"/>
                      <w:color w:val="404040" w:themeColor="text1" w:themeTint="BF"/>
                      <w:sz w:val="21"/>
                      <w:szCs w:val="21"/>
                      <w:lang w:val="en-AU"/>
                    </w:rPr>
                    <m:t>A(recent)</m:t>
                  </m:r>
                </m:e>
                <m:sub>
                  <m:r>
                    <w:rPr>
                      <w:rFonts w:ascii="Cambria Math" w:eastAsia="Arial" w:hAnsi="Cambria Math" w:cs="Times New Roman"/>
                      <w:color w:val="404040" w:themeColor="text1" w:themeTint="BF"/>
                      <w:sz w:val="21"/>
                      <w:szCs w:val="21"/>
                      <w:lang w:val="en-AU"/>
                    </w:rPr>
                    <m:t>1,n</m:t>
                  </m:r>
                </m:sub>
              </m:sSub>
              <m:r>
                <w:rPr>
                  <w:rFonts w:ascii="Cambria Math" w:eastAsia="Arial" w:hAnsi="Cambria Math" w:cs="Times New Roman"/>
                  <w:color w:val="404040" w:themeColor="text1" w:themeTint="BF"/>
                  <w:sz w:val="21"/>
                  <w:szCs w:val="21"/>
                  <w:lang w:val="en-AU"/>
                </w:rPr>
                <m:t>+</m:t>
              </m:r>
              <m:sSub>
                <m:sSubPr>
                  <m:ctrlPr>
                    <w:rPr>
                      <w:rFonts w:ascii="Cambria Math" w:eastAsia="Arial" w:hAnsi="Cambria Math" w:cs="Times New Roman"/>
                      <w:color w:val="404040" w:themeColor="text1" w:themeTint="BF"/>
                      <w:sz w:val="21"/>
                      <w:szCs w:val="21"/>
                      <w:lang w:val="en-AU"/>
                    </w:rPr>
                  </m:ctrlPr>
                </m:sSubPr>
                <m:e>
                  <m:r>
                    <w:rPr>
                      <w:rFonts w:ascii="Cambria Math" w:eastAsia="Arial" w:hAnsi="Cambria Math" w:cs="Times New Roman"/>
                      <w:color w:val="404040" w:themeColor="text1" w:themeTint="BF"/>
                      <w:sz w:val="21"/>
                      <w:szCs w:val="21"/>
                      <w:lang w:val="en-AU"/>
                    </w:rPr>
                    <m:t>A(persistent)</m:t>
                  </m:r>
                </m:e>
                <m:sub>
                  <m:r>
                    <w:rPr>
                      <w:rFonts w:ascii="Cambria Math" w:eastAsia="Arial" w:hAnsi="Cambria Math" w:cs="Times New Roman"/>
                      <w:color w:val="404040" w:themeColor="text1" w:themeTint="BF"/>
                      <w:sz w:val="21"/>
                      <w:szCs w:val="21"/>
                      <w:lang w:val="en-AU"/>
                    </w:rPr>
                    <m:t>i</m:t>
                  </m:r>
                  <m:r>
                    <m:rPr>
                      <m:sty m:val="p"/>
                    </m:rPr>
                    <w:rPr>
                      <w:rFonts w:ascii="Cambria Math" w:eastAsia="Arial" w:hAnsi="Cambria Math" w:cs="Times New Roman"/>
                      <w:color w:val="404040" w:themeColor="text1" w:themeTint="BF"/>
                      <w:sz w:val="21"/>
                      <w:szCs w:val="21"/>
                      <w:lang w:val="en-AU"/>
                    </w:rPr>
                    <m:t>,</m:t>
                  </m:r>
                  <m:r>
                    <w:rPr>
                      <w:rFonts w:ascii="Cambria Math" w:eastAsia="Arial" w:hAnsi="Cambria Math" w:cs="Times New Roman"/>
                      <w:color w:val="404040" w:themeColor="text1" w:themeTint="BF"/>
                      <w:sz w:val="21"/>
                      <w:szCs w:val="21"/>
                      <w:lang w:val="en-AU"/>
                    </w:rPr>
                    <m:t>n</m:t>
                  </m:r>
                </m:sub>
              </m:sSub>
              <m:r>
                <w:rPr>
                  <w:rFonts w:ascii="Cambria Math" w:eastAsia="Arial" w:hAnsi="Cambria Math" w:cs="Times New Roman"/>
                  <w:color w:val="404040" w:themeColor="text1" w:themeTint="BF"/>
                  <w:sz w:val="21"/>
                  <w:szCs w:val="21"/>
                  <w:lang w:val="en-AU"/>
                </w:rPr>
                <m:t xml:space="preserve">- </m:t>
              </m:r>
              <m:sSub>
                <m:sSubPr>
                  <m:ctrlPr>
                    <w:rPr>
                      <w:rFonts w:ascii="Cambria Math" w:eastAsia="Arial" w:hAnsi="Cambria Math" w:cs="Times New Roman"/>
                      <w:i/>
                      <w:color w:val="404040" w:themeColor="text1" w:themeTint="BF"/>
                      <w:sz w:val="21"/>
                      <w:szCs w:val="21"/>
                      <w:lang w:val="en-AU"/>
                    </w:rPr>
                  </m:ctrlPr>
                </m:sSubPr>
                <m:e>
                  <m:r>
                    <w:rPr>
                      <w:rFonts w:ascii="Cambria Math" w:eastAsia="Arial" w:hAnsi="Cambria Math" w:cs="Times New Roman"/>
                      <w:color w:val="404040" w:themeColor="text1" w:themeTint="BF"/>
                      <w:sz w:val="21"/>
                      <w:szCs w:val="21"/>
                      <w:lang w:val="en-AU"/>
                    </w:rPr>
                    <m:t>A(improved)</m:t>
                  </m:r>
                </m:e>
                <m:sub>
                  <m:r>
                    <w:rPr>
                      <w:rFonts w:ascii="Cambria Math" w:eastAsia="Arial" w:hAnsi="Cambria Math" w:cs="Times New Roman"/>
                      <w:color w:val="404040" w:themeColor="text1" w:themeTint="BF"/>
                      <w:sz w:val="21"/>
                      <w:szCs w:val="21"/>
                      <w:lang w:val="en-AU"/>
                    </w:rPr>
                    <m:t>1,n</m:t>
                  </m:r>
                </m:sub>
              </m:sSub>
            </m:oMath>
            <w:r w:rsidRPr="009213B0">
              <w:rPr>
                <w:rFonts w:ascii="Calibri" w:eastAsia="Arial" w:hAnsi="Calibri" w:cs="Times New Roman"/>
                <w:color w:val="404040" w:themeColor="text1" w:themeTint="BF"/>
                <w:sz w:val="21"/>
                <w:szCs w:val="21"/>
                <w:lang w:val="en-AU"/>
              </w:rPr>
              <w:tab/>
              <w:t>(1)</w:t>
            </w:r>
          </w:p>
          <w:p w14:paraId="7E7518A2" w14:textId="77777777" w:rsidR="00EC6FA6" w:rsidRPr="009213B0" w:rsidRDefault="00EC6FA6" w:rsidP="00EC6FA6">
            <w:pPr>
              <w:spacing w:before="120" w:after="120"/>
              <w:rPr>
                <w:rFonts w:ascii="Calibri" w:eastAsia="Arial" w:hAnsi="Calibri" w:cs="Times New Roman"/>
                <w:color w:val="404040" w:themeColor="text1" w:themeTint="BF"/>
                <w:sz w:val="21"/>
                <w:szCs w:val="21"/>
                <w:lang w:val="en-AU"/>
              </w:rPr>
            </w:pPr>
            <w:r w:rsidRPr="009213B0">
              <w:rPr>
                <w:rFonts w:ascii="Calibri" w:eastAsia="Arial" w:hAnsi="Calibri" w:cs="Times New Roman"/>
                <w:color w:val="404040" w:themeColor="text1" w:themeTint="BF"/>
                <w:sz w:val="21"/>
                <w:szCs w:val="21"/>
                <w:lang w:val="en-AU"/>
              </w:rPr>
              <w:t xml:space="preserve">Where: </w:t>
            </w:r>
          </w:p>
          <w:p w14:paraId="6D3EE9EC" w14:textId="77777777" w:rsidR="00EC6FA6" w:rsidRPr="009213B0" w:rsidRDefault="00332407" w:rsidP="00EC6FA6">
            <w:pPr>
              <w:spacing w:before="120" w:after="120"/>
              <w:ind w:left="720"/>
              <w:rPr>
                <w:rFonts w:ascii="Calibri" w:eastAsia="Arial" w:hAnsi="Calibri" w:cs="Times New Roman"/>
                <w:color w:val="404040" w:themeColor="text1" w:themeTint="BF"/>
                <w:sz w:val="21"/>
                <w:szCs w:val="21"/>
                <w:lang w:val="en-AU"/>
              </w:rPr>
            </w:pPr>
            <m:oMath>
              <m:sSub>
                <m:sSubPr>
                  <m:ctrlPr>
                    <w:rPr>
                      <w:rFonts w:ascii="Cambria Math" w:eastAsia="Arial" w:hAnsi="Cambria Math" w:cs="Times New Roman"/>
                      <w:color w:val="404040" w:themeColor="text1" w:themeTint="BF"/>
                      <w:sz w:val="21"/>
                      <w:szCs w:val="21"/>
                      <w:lang w:val="en-AU"/>
                    </w:rPr>
                  </m:ctrlPr>
                </m:sSubPr>
                <m:e>
                  <m:r>
                    <w:rPr>
                      <w:rFonts w:ascii="Cambria Math" w:eastAsia="Arial" w:hAnsi="Cambria Math" w:cs="Times New Roman"/>
                      <w:color w:val="404040" w:themeColor="text1" w:themeTint="BF"/>
                      <w:sz w:val="21"/>
                      <w:szCs w:val="21"/>
                      <w:lang w:val="en-AU"/>
                    </w:rPr>
                    <m:t>A(Degraded)</m:t>
                  </m:r>
                </m:e>
                <m:sub>
                  <m:r>
                    <w:rPr>
                      <w:rFonts w:ascii="Cambria Math" w:eastAsia="Arial" w:hAnsi="Cambria Math" w:cs="Times New Roman"/>
                      <w:color w:val="404040" w:themeColor="text1" w:themeTint="BF"/>
                      <w:sz w:val="21"/>
                      <w:szCs w:val="21"/>
                      <w:lang w:val="en-AU"/>
                    </w:rPr>
                    <m:t>i</m:t>
                  </m:r>
                  <m:r>
                    <m:rPr>
                      <m:sty m:val="p"/>
                    </m:rPr>
                    <w:rPr>
                      <w:rFonts w:ascii="Cambria Math" w:eastAsia="Arial" w:hAnsi="Cambria Math" w:cs="Times New Roman"/>
                      <w:color w:val="404040" w:themeColor="text1" w:themeTint="BF"/>
                      <w:sz w:val="21"/>
                      <w:szCs w:val="21"/>
                      <w:lang w:val="en-AU"/>
                    </w:rPr>
                    <m:t>,</m:t>
                  </m:r>
                  <m:r>
                    <w:rPr>
                      <w:rFonts w:ascii="Cambria Math" w:eastAsia="Arial" w:hAnsi="Cambria Math" w:cs="Times New Roman"/>
                      <w:color w:val="404040" w:themeColor="text1" w:themeTint="BF"/>
                      <w:sz w:val="21"/>
                      <w:szCs w:val="21"/>
                      <w:lang w:val="en-AU"/>
                    </w:rPr>
                    <m:t>n</m:t>
                  </m:r>
                </m:sub>
              </m:sSub>
            </m:oMath>
            <w:r w:rsidR="00EC6FA6" w:rsidRPr="009213B0">
              <w:rPr>
                <w:rFonts w:ascii="Calibri" w:eastAsia="Times New Roman" w:hAnsi="Calibri" w:cs="Times New Roman"/>
                <w:color w:val="404040" w:themeColor="text1" w:themeTint="BF"/>
                <w:sz w:val="21"/>
                <w:szCs w:val="21"/>
                <w:lang w:val="en-AU"/>
              </w:rPr>
              <w:t xml:space="preserve"> is the total area degraded in the land cover class </w:t>
            </w:r>
            <w:proofErr w:type="spellStart"/>
            <w:r w:rsidR="00EC6FA6" w:rsidRPr="009213B0">
              <w:rPr>
                <w:rFonts w:ascii="Calibri" w:eastAsia="Times New Roman" w:hAnsi="Calibri" w:cs="Times New Roman"/>
                <w:i/>
                <w:color w:val="404040" w:themeColor="text1" w:themeTint="BF"/>
                <w:sz w:val="21"/>
                <w:szCs w:val="21"/>
                <w:lang w:val="en-AU"/>
              </w:rPr>
              <w:t>i</w:t>
            </w:r>
            <w:proofErr w:type="spellEnd"/>
            <w:r w:rsidR="00EC6FA6" w:rsidRPr="009213B0">
              <w:rPr>
                <w:rFonts w:ascii="Calibri" w:eastAsia="Times New Roman" w:hAnsi="Calibri" w:cs="Times New Roman"/>
                <w:color w:val="404040" w:themeColor="text1" w:themeTint="BF"/>
                <w:sz w:val="21"/>
                <w:szCs w:val="21"/>
                <w:lang w:val="en-AU"/>
              </w:rPr>
              <w:t xml:space="preserve"> in the year of monitoring </w:t>
            </w:r>
            <w:r w:rsidR="00EC6FA6" w:rsidRPr="009213B0">
              <w:rPr>
                <w:rFonts w:ascii="Calibri" w:eastAsia="Times New Roman" w:hAnsi="Calibri" w:cs="Times New Roman"/>
                <w:i/>
                <w:color w:val="404040" w:themeColor="text1" w:themeTint="BF"/>
                <w:sz w:val="21"/>
                <w:szCs w:val="21"/>
                <w:lang w:val="en-AU"/>
              </w:rPr>
              <w:t>n</w:t>
            </w:r>
            <w:r w:rsidR="00EC6FA6" w:rsidRPr="009213B0">
              <w:rPr>
                <w:rFonts w:ascii="Calibri" w:eastAsia="Times New Roman" w:hAnsi="Calibri" w:cs="Times New Roman"/>
                <w:color w:val="404040" w:themeColor="text1" w:themeTint="BF"/>
                <w:sz w:val="21"/>
                <w:szCs w:val="21"/>
                <w:lang w:val="en-AU"/>
              </w:rPr>
              <w:t xml:space="preserve"> (ha);</w:t>
            </w:r>
          </w:p>
          <w:p w14:paraId="21A0F24E" w14:textId="77777777" w:rsidR="00EC6FA6" w:rsidRPr="009213B0" w:rsidRDefault="00332407" w:rsidP="00EC6FA6">
            <w:pPr>
              <w:spacing w:before="120" w:after="120"/>
              <w:ind w:left="720"/>
              <w:rPr>
                <w:rFonts w:ascii="Calibri" w:eastAsia="Times New Roman" w:hAnsi="Calibri" w:cs="Times New Roman"/>
                <w:color w:val="404040" w:themeColor="text1" w:themeTint="BF"/>
                <w:sz w:val="21"/>
                <w:szCs w:val="21"/>
                <w:lang w:val="en-AU"/>
              </w:rPr>
            </w:pPr>
            <m:oMath>
              <m:sSub>
                <m:sSubPr>
                  <m:ctrlPr>
                    <w:rPr>
                      <w:rFonts w:ascii="Cambria Math" w:eastAsia="Arial" w:hAnsi="Cambria Math" w:cs="Times New Roman"/>
                      <w:color w:val="404040" w:themeColor="text1" w:themeTint="BF"/>
                      <w:sz w:val="21"/>
                      <w:szCs w:val="21"/>
                      <w:lang w:val="en-AU"/>
                    </w:rPr>
                  </m:ctrlPr>
                </m:sSubPr>
                <m:e>
                  <m:r>
                    <w:rPr>
                      <w:rFonts w:ascii="Cambria Math" w:eastAsia="Arial" w:hAnsi="Cambria Math" w:cs="Times New Roman"/>
                      <w:color w:val="404040" w:themeColor="text1" w:themeTint="BF"/>
                      <w:sz w:val="21"/>
                      <w:szCs w:val="21"/>
                      <w:lang w:val="en-AU"/>
                    </w:rPr>
                    <m:t>A(recent)</m:t>
                  </m:r>
                </m:e>
                <m:sub>
                  <m:r>
                    <w:rPr>
                      <w:rFonts w:ascii="Cambria Math" w:eastAsia="Arial" w:hAnsi="Cambria Math" w:cs="Times New Roman"/>
                      <w:color w:val="404040" w:themeColor="text1" w:themeTint="BF"/>
                      <w:sz w:val="21"/>
                      <w:szCs w:val="21"/>
                      <w:lang w:val="en-AU"/>
                    </w:rPr>
                    <m:t>i,n</m:t>
                  </m:r>
                </m:sub>
              </m:sSub>
            </m:oMath>
            <w:r w:rsidR="00EC6FA6" w:rsidRPr="009213B0">
              <w:rPr>
                <w:rFonts w:ascii="Calibri" w:eastAsia="Times New Roman" w:hAnsi="Calibri" w:cs="Times New Roman"/>
                <w:color w:val="404040" w:themeColor="text1" w:themeTint="BF"/>
                <w:sz w:val="21"/>
                <w:szCs w:val="21"/>
                <w:lang w:val="en-AU"/>
              </w:rPr>
              <w:t xml:space="preserve"> is the area defined as degraded in the current monitoring year following 1OAO assessment of the sub-indicators (ha);</w:t>
            </w:r>
          </w:p>
          <w:p w14:paraId="367C5FA5" w14:textId="77777777" w:rsidR="00EC6FA6" w:rsidRDefault="00332407" w:rsidP="00EC6FA6">
            <w:pPr>
              <w:spacing w:before="120" w:after="120"/>
              <w:ind w:left="720"/>
              <w:rPr>
                <w:rFonts w:ascii="Calibri" w:eastAsia="Times New Roman" w:hAnsi="Calibri" w:cs="Times New Roman"/>
                <w:color w:val="404040" w:themeColor="text1" w:themeTint="BF"/>
                <w:sz w:val="21"/>
                <w:szCs w:val="21"/>
                <w:lang w:val="en-AU"/>
              </w:rPr>
            </w:pPr>
            <m:oMath>
              <m:sSub>
                <m:sSubPr>
                  <m:ctrlPr>
                    <w:rPr>
                      <w:rFonts w:ascii="Cambria Math" w:eastAsia="Arial" w:hAnsi="Cambria Math" w:cs="Times New Roman"/>
                      <w:color w:val="404040" w:themeColor="text1" w:themeTint="BF"/>
                      <w:sz w:val="21"/>
                      <w:szCs w:val="21"/>
                      <w:lang w:val="en-AU"/>
                    </w:rPr>
                  </m:ctrlPr>
                </m:sSubPr>
                <m:e>
                  <m:r>
                    <w:rPr>
                      <w:rFonts w:ascii="Cambria Math" w:eastAsia="Arial" w:hAnsi="Cambria Math" w:cs="Times New Roman"/>
                      <w:color w:val="404040" w:themeColor="text1" w:themeTint="BF"/>
                      <w:sz w:val="21"/>
                      <w:szCs w:val="21"/>
                      <w:lang w:val="en-AU"/>
                    </w:rPr>
                    <m:t>A(persistent)</m:t>
                  </m:r>
                </m:e>
                <m:sub>
                  <m:r>
                    <w:rPr>
                      <w:rFonts w:ascii="Cambria Math" w:eastAsia="Arial" w:hAnsi="Cambria Math" w:cs="Times New Roman"/>
                      <w:color w:val="404040" w:themeColor="text1" w:themeTint="BF"/>
                      <w:sz w:val="21"/>
                      <w:szCs w:val="21"/>
                      <w:lang w:val="en-AU"/>
                    </w:rPr>
                    <m:t>i,n</m:t>
                  </m:r>
                </m:sub>
              </m:sSub>
            </m:oMath>
            <w:r w:rsidR="00EC6FA6" w:rsidRPr="009213B0">
              <w:rPr>
                <w:rFonts w:ascii="Calibri" w:eastAsia="Times New Roman" w:hAnsi="Calibri" w:cs="Times New Roman"/>
                <w:color w:val="404040" w:themeColor="text1" w:themeTint="BF"/>
                <w:sz w:val="21"/>
                <w:szCs w:val="21"/>
                <w:lang w:val="en-AU"/>
              </w:rPr>
              <w:t xml:space="preserve"> is the area previously defined as degraded which remains degraded in the monitoring year following the 1OAO assessment of the sub-indicators (ha)</w:t>
            </w:r>
            <w:r w:rsidR="00EC6FA6">
              <w:rPr>
                <w:rFonts w:ascii="Calibri" w:eastAsia="Times New Roman" w:hAnsi="Calibri" w:cs="Times New Roman"/>
                <w:color w:val="404040" w:themeColor="text1" w:themeTint="BF"/>
                <w:sz w:val="21"/>
                <w:szCs w:val="21"/>
                <w:lang w:val="en-AU"/>
              </w:rPr>
              <w:t>;</w:t>
            </w:r>
          </w:p>
          <w:p w14:paraId="5C6E1774" w14:textId="77777777" w:rsidR="00EC6FA6" w:rsidRPr="00644D7C" w:rsidRDefault="00332407" w:rsidP="00EC6FA6">
            <w:pPr>
              <w:spacing w:before="120" w:after="120"/>
              <w:ind w:left="720"/>
              <w:rPr>
                <w:rFonts w:ascii="Calibri" w:eastAsia="Times New Roman" w:hAnsi="Calibri" w:cs="Times New Roman"/>
                <w:color w:val="404040" w:themeColor="text1" w:themeTint="BF"/>
                <w:sz w:val="21"/>
                <w:szCs w:val="21"/>
                <w:lang w:val="en-AU"/>
              </w:rPr>
            </w:pPr>
            <m:oMath>
              <m:sSub>
                <m:sSubPr>
                  <m:ctrlPr>
                    <w:rPr>
                      <w:rFonts w:ascii="Cambria Math" w:eastAsia="Arial" w:hAnsi="Cambria Math" w:cs="Times New Roman"/>
                      <w:i/>
                      <w:color w:val="404040" w:themeColor="text1" w:themeTint="BF"/>
                      <w:sz w:val="21"/>
                      <w:szCs w:val="21"/>
                      <w:lang w:val="en-AU"/>
                    </w:rPr>
                  </m:ctrlPr>
                </m:sSubPr>
                <m:e>
                  <m:r>
                    <w:rPr>
                      <w:rFonts w:ascii="Cambria Math" w:eastAsia="Arial" w:hAnsi="Cambria Math" w:cs="Times New Roman"/>
                      <w:color w:val="404040" w:themeColor="text1" w:themeTint="BF"/>
                      <w:sz w:val="21"/>
                      <w:szCs w:val="21"/>
                      <w:lang w:val="en-AU"/>
                    </w:rPr>
                    <m:t>A(improved)</m:t>
                  </m:r>
                </m:e>
                <m:sub>
                  <m:r>
                    <w:rPr>
                      <w:rFonts w:ascii="Cambria Math" w:eastAsia="Arial" w:hAnsi="Cambria Math" w:cs="Times New Roman"/>
                      <w:color w:val="404040" w:themeColor="text1" w:themeTint="BF"/>
                      <w:sz w:val="21"/>
                      <w:szCs w:val="21"/>
                      <w:lang w:val="en-AU"/>
                    </w:rPr>
                    <m:t>i,n</m:t>
                  </m:r>
                </m:sub>
              </m:sSub>
            </m:oMath>
            <w:r w:rsidR="00EC6FA6">
              <w:rPr>
                <w:rFonts w:ascii="Calibri" w:eastAsia="Times New Roman" w:hAnsi="Calibri" w:cs="Times New Roman"/>
                <w:color w:val="404040" w:themeColor="text1" w:themeTint="BF"/>
                <w:sz w:val="21"/>
                <w:szCs w:val="21"/>
                <w:lang w:val="en-AU"/>
              </w:rPr>
              <w:t xml:space="preserve">is the area that has improved from a degraded to a non-degraded state </w:t>
            </w:r>
            <w:r w:rsidR="00EC6FA6" w:rsidRPr="009213B0">
              <w:rPr>
                <w:rFonts w:ascii="Calibri" w:eastAsia="Times New Roman" w:hAnsi="Calibri" w:cs="Times New Roman"/>
                <w:color w:val="404040" w:themeColor="text1" w:themeTint="BF"/>
                <w:sz w:val="21"/>
                <w:szCs w:val="21"/>
                <w:lang w:val="en-AU"/>
              </w:rPr>
              <w:t>following the 1OAO assessment of the sub-indicators (ha)</w:t>
            </w:r>
            <w:r w:rsidR="00EC6FA6">
              <w:rPr>
                <w:rFonts w:ascii="Calibri" w:eastAsia="Times New Roman" w:hAnsi="Calibri" w:cs="Times New Roman"/>
                <w:color w:val="404040" w:themeColor="text1" w:themeTint="BF"/>
                <w:sz w:val="21"/>
                <w:szCs w:val="21"/>
                <w:lang w:val="en-AU"/>
              </w:rPr>
              <w:t>.</w:t>
            </w:r>
          </w:p>
          <w:p w14:paraId="0686A72B" w14:textId="77777777" w:rsidR="00EC6FA6" w:rsidRPr="009213B0" w:rsidRDefault="00EC6FA6" w:rsidP="00EC6FA6">
            <w:pPr>
              <w:spacing w:before="120" w:after="120"/>
              <w:rPr>
                <w:rFonts w:ascii="Calibri" w:eastAsia="Arial" w:hAnsi="Calibri" w:cs="Times New Roman"/>
                <w:color w:val="404040" w:themeColor="text1" w:themeTint="BF"/>
                <w:sz w:val="21"/>
                <w:szCs w:val="21"/>
                <w:lang w:val="en-AU"/>
              </w:rPr>
            </w:pPr>
          </w:p>
          <w:p w14:paraId="76C7D0EB" w14:textId="77777777" w:rsidR="00EC6FA6" w:rsidRPr="009213B0" w:rsidRDefault="00EC6FA6" w:rsidP="00EC6FA6">
            <w:pPr>
              <w:spacing w:before="120" w:after="120"/>
              <w:rPr>
                <w:rFonts w:ascii="Calibri" w:eastAsia="Arial" w:hAnsi="Calibri" w:cs="Times New Roman"/>
                <w:color w:val="404040" w:themeColor="text1" w:themeTint="BF"/>
                <w:sz w:val="21"/>
                <w:szCs w:val="21"/>
                <w:lang w:val="en-AU"/>
              </w:rPr>
            </w:pPr>
            <w:r w:rsidRPr="009213B0">
              <w:rPr>
                <w:rFonts w:ascii="Calibri" w:eastAsia="Arial" w:hAnsi="Calibri" w:cs="Times New Roman"/>
                <w:color w:val="404040" w:themeColor="text1" w:themeTint="BF"/>
                <w:sz w:val="21"/>
                <w:szCs w:val="21"/>
                <w:lang w:val="en-AU"/>
              </w:rPr>
              <w:t xml:space="preserve">The proportion of land cover type </w:t>
            </w:r>
            <w:proofErr w:type="spellStart"/>
            <w:r w:rsidRPr="009213B0">
              <w:rPr>
                <w:rFonts w:ascii="Calibri" w:eastAsia="Arial" w:hAnsi="Calibri" w:cs="Times New Roman"/>
                <w:i/>
                <w:color w:val="404040" w:themeColor="text1" w:themeTint="BF"/>
                <w:sz w:val="21"/>
                <w:szCs w:val="21"/>
                <w:lang w:val="en-AU"/>
              </w:rPr>
              <w:t>i</w:t>
            </w:r>
            <w:proofErr w:type="spellEnd"/>
            <w:r w:rsidRPr="009213B0">
              <w:rPr>
                <w:rFonts w:ascii="Calibri" w:eastAsia="Arial" w:hAnsi="Calibri" w:cs="Times New Roman"/>
                <w:color w:val="404040" w:themeColor="text1" w:themeTint="BF"/>
                <w:sz w:val="21"/>
                <w:szCs w:val="21"/>
                <w:lang w:val="en-AU"/>
              </w:rPr>
              <w:t xml:space="preserve"> that is degraded is then given by:</w:t>
            </w:r>
          </w:p>
          <w:p w14:paraId="6AA6BF54" w14:textId="77777777" w:rsidR="00EC6FA6" w:rsidRPr="009213B0" w:rsidRDefault="00EC6FA6" w:rsidP="00EC6FA6">
            <w:pPr>
              <w:tabs>
                <w:tab w:val="center" w:pos="4536"/>
                <w:tab w:val="right" w:pos="8505"/>
              </w:tabs>
              <w:spacing w:before="120" w:after="120"/>
              <w:rPr>
                <w:rFonts w:ascii="Calibri" w:eastAsia="Times New Roman" w:hAnsi="Calibri" w:cs="Times New Roman"/>
                <w:color w:val="404040" w:themeColor="text1" w:themeTint="BF"/>
                <w:sz w:val="21"/>
                <w:szCs w:val="21"/>
                <w:lang w:val="en-AU"/>
              </w:rPr>
            </w:pPr>
            <w:r w:rsidRPr="009213B0">
              <w:rPr>
                <w:rFonts w:ascii="Calibri" w:eastAsia="Arial" w:hAnsi="Calibri" w:cs="Times New Roman"/>
                <w:color w:val="404040" w:themeColor="text1" w:themeTint="BF"/>
                <w:sz w:val="21"/>
                <w:szCs w:val="21"/>
                <w:lang w:val="en-AU"/>
              </w:rPr>
              <w:tab/>
            </w:r>
            <m:oMath>
              <m:sSub>
                <m:sSubPr>
                  <m:ctrlPr>
                    <w:rPr>
                      <w:rFonts w:ascii="Cambria Math" w:eastAsia="Arial" w:hAnsi="Cambria Math" w:cs="Times New Roman"/>
                      <w:color w:val="404040" w:themeColor="text1" w:themeTint="BF"/>
                      <w:sz w:val="21"/>
                      <w:szCs w:val="21"/>
                      <w:lang w:val="en-AU"/>
                    </w:rPr>
                  </m:ctrlPr>
                </m:sSubPr>
                <m:e>
                  <m:r>
                    <w:rPr>
                      <w:rFonts w:ascii="Cambria Math" w:eastAsia="Arial" w:hAnsi="Cambria Math" w:cs="Times New Roman"/>
                      <w:color w:val="404040" w:themeColor="text1" w:themeTint="BF"/>
                      <w:sz w:val="21"/>
                      <w:szCs w:val="21"/>
                      <w:lang w:val="en-AU"/>
                    </w:rPr>
                    <m:t>P</m:t>
                  </m:r>
                </m:e>
                <m:sub>
                  <m:r>
                    <w:rPr>
                      <w:rFonts w:ascii="Cambria Math" w:eastAsia="Arial" w:hAnsi="Cambria Math" w:cs="Times New Roman"/>
                      <w:color w:val="404040" w:themeColor="text1" w:themeTint="BF"/>
                      <w:sz w:val="21"/>
                      <w:szCs w:val="21"/>
                      <w:lang w:val="en-AU"/>
                    </w:rPr>
                    <m:t>i</m:t>
                  </m:r>
                  <m:r>
                    <m:rPr>
                      <m:sty m:val="p"/>
                    </m:rPr>
                    <w:rPr>
                      <w:rFonts w:ascii="Cambria Math" w:eastAsia="Arial" w:hAnsi="Cambria Math" w:cs="Times New Roman"/>
                      <w:color w:val="404040" w:themeColor="text1" w:themeTint="BF"/>
                      <w:sz w:val="21"/>
                      <w:szCs w:val="21"/>
                      <w:lang w:val="en-AU"/>
                    </w:rPr>
                    <m:t>,</m:t>
                  </m:r>
                  <m:r>
                    <w:rPr>
                      <w:rFonts w:ascii="Cambria Math" w:eastAsia="Arial" w:hAnsi="Cambria Math" w:cs="Times New Roman"/>
                      <w:color w:val="404040" w:themeColor="text1" w:themeTint="BF"/>
                      <w:sz w:val="21"/>
                      <w:szCs w:val="21"/>
                      <w:lang w:val="en-AU"/>
                    </w:rPr>
                    <m:t>n</m:t>
                  </m:r>
                </m:sub>
              </m:sSub>
              <m:r>
                <m:rPr>
                  <m:sty m:val="p"/>
                </m:rPr>
                <w:rPr>
                  <w:rFonts w:ascii="Cambria Math" w:eastAsia="Arial" w:hAnsi="Cambria Math" w:cs="Times New Roman"/>
                  <w:color w:val="404040" w:themeColor="text1" w:themeTint="BF"/>
                  <w:sz w:val="21"/>
                  <w:szCs w:val="21"/>
                  <w:lang w:val="en-AU"/>
                </w:rPr>
                <m:t>=</m:t>
              </m:r>
              <m:f>
                <m:fPr>
                  <m:ctrlPr>
                    <w:rPr>
                      <w:rFonts w:ascii="Cambria Math" w:eastAsia="Arial" w:hAnsi="Cambria Math" w:cs="Times New Roman"/>
                      <w:color w:val="404040" w:themeColor="text1" w:themeTint="BF"/>
                      <w:sz w:val="21"/>
                      <w:szCs w:val="21"/>
                      <w:lang w:val="en-AU"/>
                    </w:rPr>
                  </m:ctrlPr>
                </m:fPr>
                <m:num>
                  <m:sSub>
                    <m:sSubPr>
                      <m:ctrlPr>
                        <w:rPr>
                          <w:rFonts w:ascii="Cambria Math" w:eastAsia="Arial" w:hAnsi="Cambria Math" w:cs="Times New Roman"/>
                          <w:color w:val="404040" w:themeColor="text1" w:themeTint="BF"/>
                          <w:sz w:val="21"/>
                          <w:szCs w:val="21"/>
                          <w:lang w:val="en-AU"/>
                        </w:rPr>
                      </m:ctrlPr>
                    </m:sSubPr>
                    <m:e>
                      <m:r>
                        <w:rPr>
                          <w:rFonts w:ascii="Cambria Math" w:eastAsia="Arial" w:hAnsi="Cambria Math" w:cs="Times New Roman"/>
                          <w:color w:val="404040" w:themeColor="text1" w:themeTint="BF"/>
                          <w:sz w:val="21"/>
                          <w:szCs w:val="21"/>
                          <w:lang w:val="en-AU"/>
                        </w:rPr>
                        <m:t>A</m:t>
                      </m:r>
                      <m:d>
                        <m:dPr>
                          <m:ctrlPr>
                            <w:rPr>
                              <w:rFonts w:ascii="Cambria Math" w:eastAsia="Arial" w:hAnsi="Cambria Math" w:cs="Times New Roman"/>
                              <w:i/>
                              <w:color w:val="404040" w:themeColor="text1" w:themeTint="BF"/>
                              <w:sz w:val="21"/>
                              <w:szCs w:val="21"/>
                              <w:lang w:val="en-AU"/>
                            </w:rPr>
                          </m:ctrlPr>
                        </m:dPr>
                        <m:e>
                          <m:r>
                            <w:rPr>
                              <w:rFonts w:ascii="Cambria Math" w:eastAsia="Arial" w:hAnsi="Cambria Math" w:cs="Times New Roman"/>
                              <w:color w:val="404040" w:themeColor="text1" w:themeTint="BF"/>
                              <w:sz w:val="21"/>
                              <w:szCs w:val="21"/>
                              <w:lang w:val="en-AU"/>
                            </w:rPr>
                            <m:t>Degraded</m:t>
                          </m:r>
                        </m:e>
                      </m:d>
                    </m:e>
                    <m:sub>
                      <m:r>
                        <w:rPr>
                          <w:rFonts w:ascii="Cambria Math" w:eastAsia="Arial" w:hAnsi="Cambria Math" w:cs="Times New Roman"/>
                          <w:color w:val="404040" w:themeColor="text1" w:themeTint="BF"/>
                          <w:sz w:val="21"/>
                          <w:szCs w:val="21"/>
                          <w:lang w:val="en-AU"/>
                        </w:rPr>
                        <m:t>i</m:t>
                      </m:r>
                      <m:r>
                        <m:rPr>
                          <m:sty m:val="p"/>
                        </m:rPr>
                        <w:rPr>
                          <w:rFonts w:ascii="Cambria Math" w:eastAsia="Arial" w:hAnsi="Cambria Math" w:cs="Times New Roman"/>
                          <w:color w:val="404040" w:themeColor="text1" w:themeTint="BF"/>
                          <w:sz w:val="21"/>
                          <w:szCs w:val="21"/>
                          <w:lang w:val="en-AU"/>
                        </w:rPr>
                        <m:t>,n</m:t>
                      </m:r>
                    </m:sub>
                  </m:sSub>
                </m:num>
                <m:den>
                  <m:sSub>
                    <m:sSubPr>
                      <m:ctrlPr>
                        <w:rPr>
                          <w:rFonts w:ascii="Cambria Math" w:eastAsia="Arial" w:hAnsi="Cambria Math" w:cs="Times New Roman"/>
                          <w:color w:val="404040" w:themeColor="text1" w:themeTint="BF"/>
                          <w:sz w:val="21"/>
                          <w:szCs w:val="21"/>
                          <w:lang w:val="en-AU"/>
                        </w:rPr>
                      </m:ctrlPr>
                    </m:sSubPr>
                    <m:e>
                      <m:r>
                        <w:rPr>
                          <w:rFonts w:ascii="Cambria Math" w:eastAsia="Arial" w:hAnsi="Cambria Math" w:cs="Times New Roman"/>
                          <w:color w:val="404040" w:themeColor="text1" w:themeTint="BF"/>
                          <w:sz w:val="21"/>
                          <w:szCs w:val="21"/>
                          <w:lang w:val="en-AU"/>
                        </w:rPr>
                        <m:t>A</m:t>
                      </m:r>
                      <m:d>
                        <m:dPr>
                          <m:ctrlPr>
                            <w:rPr>
                              <w:rFonts w:ascii="Cambria Math" w:eastAsia="Arial" w:hAnsi="Cambria Math" w:cs="Times New Roman"/>
                              <w:i/>
                              <w:color w:val="404040" w:themeColor="text1" w:themeTint="BF"/>
                              <w:sz w:val="21"/>
                              <w:szCs w:val="21"/>
                              <w:lang w:val="en-AU"/>
                            </w:rPr>
                          </m:ctrlPr>
                        </m:dPr>
                        <m:e>
                          <m:r>
                            <w:rPr>
                              <w:rFonts w:ascii="Cambria Math" w:eastAsia="Arial" w:hAnsi="Cambria Math" w:cs="Times New Roman"/>
                              <w:color w:val="404040" w:themeColor="text1" w:themeTint="BF"/>
                              <w:sz w:val="21"/>
                              <w:szCs w:val="21"/>
                              <w:lang w:val="en-AU"/>
                            </w:rPr>
                            <m:t>total</m:t>
                          </m:r>
                        </m:e>
                      </m:d>
                    </m:e>
                    <m:sub>
                      <m:r>
                        <w:rPr>
                          <w:rFonts w:ascii="Cambria Math" w:eastAsia="Arial" w:hAnsi="Cambria Math" w:cs="Times New Roman"/>
                          <w:color w:val="404040" w:themeColor="text1" w:themeTint="BF"/>
                          <w:sz w:val="21"/>
                          <w:szCs w:val="21"/>
                          <w:lang w:val="en-AU"/>
                        </w:rPr>
                        <m:t>i</m:t>
                      </m:r>
                      <m:r>
                        <m:rPr>
                          <m:sty m:val="p"/>
                        </m:rPr>
                        <w:rPr>
                          <w:rFonts w:ascii="Cambria Math" w:eastAsia="Arial" w:hAnsi="Cambria Math" w:cs="Times New Roman"/>
                          <w:color w:val="404040" w:themeColor="text1" w:themeTint="BF"/>
                          <w:sz w:val="21"/>
                          <w:szCs w:val="21"/>
                          <w:lang w:val="en-AU"/>
                        </w:rPr>
                        <m:t>,</m:t>
                      </m:r>
                      <m:r>
                        <w:rPr>
                          <w:rFonts w:ascii="Cambria Math" w:eastAsia="Arial" w:hAnsi="Cambria Math" w:cs="Times New Roman"/>
                          <w:color w:val="404040" w:themeColor="text1" w:themeTint="BF"/>
                          <w:sz w:val="21"/>
                          <w:szCs w:val="21"/>
                          <w:lang w:val="en-AU"/>
                        </w:rPr>
                        <m:t>0</m:t>
                      </m:r>
                    </m:sub>
                  </m:sSub>
                </m:den>
              </m:f>
            </m:oMath>
            <w:r w:rsidRPr="009213B0">
              <w:rPr>
                <w:rFonts w:ascii="Calibri" w:eastAsia="Arial" w:hAnsi="Calibri" w:cs="Times New Roman"/>
                <w:color w:val="404040" w:themeColor="text1" w:themeTint="BF"/>
                <w:sz w:val="21"/>
                <w:szCs w:val="21"/>
                <w:lang w:val="en-AU"/>
              </w:rPr>
              <w:tab/>
              <w:t>(2)</w:t>
            </w:r>
          </w:p>
          <w:p w14:paraId="1A06F261" w14:textId="77777777" w:rsidR="00EC6FA6" w:rsidRPr="009213B0" w:rsidRDefault="00EC6FA6" w:rsidP="00EC6FA6">
            <w:pPr>
              <w:spacing w:before="120" w:after="120"/>
              <w:rPr>
                <w:rFonts w:ascii="Calibri" w:eastAsia="Arial" w:hAnsi="Calibri" w:cs="Times New Roman"/>
                <w:color w:val="404040" w:themeColor="text1" w:themeTint="BF"/>
                <w:sz w:val="21"/>
                <w:szCs w:val="21"/>
                <w:lang w:val="en-AU"/>
              </w:rPr>
            </w:pPr>
            <w:r w:rsidRPr="009213B0">
              <w:rPr>
                <w:rFonts w:ascii="Calibri" w:eastAsia="Arial" w:hAnsi="Calibri" w:cs="Times New Roman"/>
                <w:color w:val="404040" w:themeColor="text1" w:themeTint="BF"/>
                <w:sz w:val="21"/>
                <w:szCs w:val="21"/>
                <w:lang w:val="en-AU"/>
              </w:rPr>
              <w:t>Where</w:t>
            </w:r>
          </w:p>
          <w:p w14:paraId="178D2631" w14:textId="77777777" w:rsidR="00EC6FA6" w:rsidRPr="009213B0" w:rsidRDefault="00332407" w:rsidP="00EC6FA6">
            <w:pPr>
              <w:spacing w:before="120" w:after="120"/>
              <w:ind w:left="720"/>
              <w:rPr>
                <w:rFonts w:ascii="Calibri" w:eastAsia="Times New Roman" w:hAnsi="Calibri" w:cs="Times New Roman"/>
                <w:color w:val="404040" w:themeColor="text1" w:themeTint="BF"/>
                <w:sz w:val="21"/>
                <w:szCs w:val="21"/>
                <w:lang w:val="en-AU"/>
              </w:rPr>
            </w:pPr>
            <m:oMath>
              <m:sSub>
                <m:sSubPr>
                  <m:ctrlPr>
                    <w:rPr>
                      <w:rFonts w:ascii="Cambria Math" w:eastAsia="Arial" w:hAnsi="Cambria Math" w:cs="Times New Roman"/>
                      <w:color w:val="404040" w:themeColor="text1" w:themeTint="BF"/>
                      <w:sz w:val="21"/>
                      <w:szCs w:val="21"/>
                      <w:lang w:val="en-AU"/>
                    </w:rPr>
                  </m:ctrlPr>
                </m:sSubPr>
                <m:e>
                  <m:r>
                    <w:rPr>
                      <w:rFonts w:ascii="Cambria Math" w:eastAsia="Arial" w:hAnsi="Cambria Math" w:cs="Times New Roman"/>
                      <w:color w:val="404040" w:themeColor="text1" w:themeTint="BF"/>
                      <w:sz w:val="21"/>
                      <w:szCs w:val="21"/>
                      <w:lang w:val="en-AU"/>
                    </w:rPr>
                    <m:t>P</m:t>
                  </m:r>
                </m:e>
                <m:sub>
                  <m:r>
                    <w:rPr>
                      <w:rFonts w:ascii="Cambria Math" w:eastAsia="Arial" w:hAnsi="Cambria Math" w:cs="Times New Roman"/>
                      <w:color w:val="404040" w:themeColor="text1" w:themeTint="BF"/>
                      <w:sz w:val="21"/>
                      <w:szCs w:val="21"/>
                      <w:lang w:val="en-AU"/>
                    </w:rPr>
                    <m:t>i</m:t>
                  </m:r>
                  <m:r>
                    <m:rPr>
                      <m:sty m:val="p"/>
                    </m:rPr>
                    <w:rPr>
                      <w:rFonts w:ascii="Cambria Math" w:eastAsia="Arial" w:hAnsi="Cambria Math" w:cs="Times New Roman"/>
                      <w:color w:val="404040" w:themeColor="text1" w:themeTint="BF"/>
                      <w:sz w:val="21"/>
                      <w:szCs w:val="21"/>
                      <w:lang w:val="en-AU"/>
                    </w:rPr>
                    <m:t>,n</m:t>
                  </m:r>
                </m:sub>
              </m:sSub>
              <m:r>
                <w:rPr>
                  <w:rFonts w:ascii="Cambria Math" w:eastAsia="Arial" w:hAnsi="Cambria Math" w:cs="Times New Roman"/>
                  <w:color w:val="404040" w:themeColor="text1" w:themeTint="BF"/>
                  <w:sz w:val="21"/>
                  <w:szCs w:val="21"/>
                  <w:lang w:val="en-AU"/>
                </w:rPr>
                <m:t xml:space="preserve"> </m:t>
              </m:r>
            </m:oMath>
            <w:r w:rsidR="00EC6FA6" w:rsidRPr="009213B0">
              <w:rPr>
                <w:rFonts w:ascii="Calibri" w:eastAsia="Times New Roman" w:hAnsi="Calibri" w:cs="Times New Roman"/>
                <w:color w:val="404040" w:themeColor="text1" w:themeTint="BF"/>
                <w:sz w:val="21"/>
                <w:szCs w:val="21"/>
                <w:lang w:val="en-AU"/>
              </w:rPr>
              <w:t xml:space="preserve">is the proportion of degraded land in that land cover type </w:t>
            </w:r>
            <w:proofErr w:type="spellStart"/>
            <w:r w:rsidR="00EC6FA6" w:rsidRPr="009213B0">
              <w:rPr>
                <w:rFonts w:ascii="Calibri" w:eastAsia="Times New Roman" w:hAnsi="Calibri" w:cs="Times New Roman"/>
                <w:i/>
                <w:color w:val="404040" w:themeColor="text1" w:themeTint="BF"/>
                <w:sz w:val="21"/>
                <w:szCs w:val="21"/>
                <w:lang w:val="en-AU"/>
              </w:rPr>
              <w:t>i</w:t>
            </w:r>
            <w:proofErr w:type="spellEnd"/>
            <w:r w:rsidR="00EC6FA6" w:rsidRPr="009213B0">
              <w:rPr>
                <w:rFonts w:ascii="Calibri" w:eastAsia="Times New Roman" w:hAnsi="Calibri" w:cs="Times New Roman"/>
                <w:color w:val="404040" w:themeColor="text1" w:themeTint="BF"/>
                <w:sz w:val="21"/>
                <w:szCs w:val="21"/>
                <w:lang w:val="en-AU"/>
              </w:rPr>
              <w:t xml:space="preserve"> in the monitoring period </w:t>
            </w:r>
            <w:r w:rsidR="00EC6FA6" w:rsidRPr="009213B0">
              <w:rPr>
                <w:rFonts w:ascii="Calibri" w:eastAsia="Times New Roman" w:hAnsi="Calibri" w:cs="Times New Roman"/>
                <w:i/>
                <w:color w:val="404040" w:themeColor="text1" w:themeTint="BF"/>
                <w:sz w:val="21"/>
                <w:szCs w:val="21"/>
                <w:lang w:val="en-AU"/>
              </w:rPr>
              <w:t>n</w:t>
            </w:r>
            <w:r w:rsidR="00EC6FA6" w:rsidRPr="009213B0">
              <w:rPr>
                <w:rFonts w:ascii="Calibri" w:eastAsia="Times New Roman" w:hAnsi="Calibri" w:cs="Times New Roman"/>
                <w:color w:val="404040" w:themeColor="text1" w:themeTint="BF"/>
                <w:sz w:val="21"/>
                <w:szCs w:val="21"/>
                <w:lang w:val="en-AU"/>
              </w:rPr>
              <w:t>;</w:t>
            </w:r>
            <w:r w:rsidR="00EC6FA6" w:rsidRPr="009213B0">
              <w:rPr>
                <w:rFonts w:ascii="Calibri" w:eastAsia="Times New Roman" w:hAnsi="Calibri" w:cs="Times New Roman"/>
                <w:i/>
                <w:color w:val="404040" w:themeColor="text1" w:themeTint="BF"/>
                <w:sz w:val="21"/>
                <w:szCs w:val="21"/>
                <w:lang w:val="en-AU"/>
              </w:rPr>
              <w:t xml:space="preserve"> </w:t>
            </w:r>
          </w:p>
          <w:p w14:paraId="1CFEED0F" w14:textId="77777777" w:rsidR="00EC6FA6" w:rsidRPr="009213B0" w:rsidRDefault="00EC6FA6" w:rsidP="00EC6FA6">
            <w:pPr>
              <w:spacing w:before="120" w:after="120"/>
              <w:ind w:left="720"/>
              <w:rPr>
                <w:rFonts w:ascii="Calibri" w:eastAsia="Arial" w:hAnsi="Calibri" w:cs="Times New Roman"/>
                <w:color w:val="404040" w:themeColor="text1" w:themeTint="BF"/>
                <w:sz w:val="21"/>
                <w:szCs w:val="21"/>
                <w:lang w:val="en-AU"/>
              </w:rPr>
            </w:pPr>
            <w:r w:rsidRPr="009213B0">
              <w:rPr>
                <w:rFonts w:ascii="Calibri" w:eastAsia="Times New Roman" w:hAnsi="Calibri" w:cs="Times New Roman"/>
                <w:color w:val="404040" w:themeColor="text1" w:themeTint="BF"/>
                <w:sz w:val="21"/>
                <w:szCs w:val="21"/>
                <w:lang w:val="en-AU"/>
              </w:rPr>
              <w:t xml:space="preserve"> </w:t>
            </w:r>
            <m:oMath>
              <m:sSub>
                <m:sSubPr>
                  <m:ctrlPr>
                    <w:rPr>
                      <w:rFonts w:ascii="Cambria Math" w:eastAsia="Arial" w:hAnsi="Cambria Math" w:cs="Times New Roman"/>
                      <w:color w:val="404040" w:themeColor="text1" w:themeTint="BF"/>
                      <w:sz w:val="21"/>
                      <w:szCs w:val="21"/>
                      <w:lang w:val="en-AU"/>
                    </w:rPr>
                  </m:ctrlPr>
                </m:sSubPr>
                <m:e>
                  <m:r>
                    <w:rPr>
                      <w:rFonts w:ascii="Cambria Math" w:eastAsia="Arial" w:hAnsi="Cambria Math" w:cs="Times New Roman"/>
                      <w:color w:val="404040" w:themeColor="text1" w:themeTint="BF"/>
                      <w:sz w:val="21"/>
                      <w:szCs w:val="21"/>
                      <w:lang w:val="en-AU"/>
                    </w:rPr>
                    <m:t>A(Degraded)</m:t>
                  </m:r>
                </m:e>
                <m:sub>
                  <m:r>
                    <w:rPr>
                      <w:rFonts w:ascii="Cambria Math" w:eastAsia="Arial" w:hAnsi="Cambria Math" w:cs="Times New Roman"/>
                      <w:color w:val="404040" w:themeColor="text1" w:themeTint="BF"/>
                      <w:sz w:val="21"/>
                      <w:szCs w:val="21"/>
                      <w:lang w:val="en-AU"/>
                    </w:rPr>
                    <m:t>i</m:t>
                  </m:r>
                  <m:r>
                    <m:rPr>
                      <m:sty m:val="p"/>
                    </m:rPr>
                    <w:rPr>
                      <w:rFonts w:ascii="Cambria Math" w:eastAsia="Arial" w:hAnsi="Cambria Math" w:cs="Times New Roman"/>
                      <w:color w:val="404040" w:themeColor="text1" w:themeTint="BF"/>
                      <w:sz w:val="21"/>
                      <w:szCs w:val="21"/>
                      <w:lang w:val="en-AU"/>
                    </w:rPr>
                    <m:t>,n</m:t>
                  </m:r>
                </m:sub>
              </m:sSub>
            </m:oMath>
            <w:r w:rsidRPr="009213B0">
              <w:rPr>
                <w:rFonts w:ascii="Calibri" w:eastAsia="Times New Roman" w:hAnsi="Calibri" w:cs="Times New Roman"/>
                <w:color w:val="404040" w:themeColor="text1" w:themeTint="BF"/>
                <w:sz w:val="21"/>
                <w:szCs w:val="21"/>
                <w:lang w:val="en-AU"/>
              </w:rPr>
              <w:t xml:space="preserve"> is the total area degraded in the land cover type </w:t>
            </w:r>
            <w:proofErr w:type="spellStart"/>
            <w:r w:rsidRPr="009213B0">
              <w:rPr>
                <w:rFonts w:ascii="Calibri" w:eastAsia="Times New Roman" w:hAnsi="Calibri" w:cs="Times New Roman"/>
                <w:i/>
                <w:color w:val="404040" w:themeColor="text1" w:themeTint="BF"/>
                <w:sz w:val="21"/>
                <w:szCs w:val="21"/>
                <w:lang w:val="en-AU"/>
              </w:rPr>
              <w:t>i</w:t>
            </w:r>
            <w:proofErr w:type="spellEnd"/>
            <w:r w:rsidRPr="009213B0">
              <w:rPr>
                <w:rFonts w:ascii="Calibri" w:eastAsia="Times New Roman" w:hAnsi="Calibri" w:cs="Times New Roman"/>
                <w:color w:val="404040" w:themeColor="text1" w:themeTint="BF"/>
                <w:sz w:val="21"/>
                <w:szCs w:val="21"/>
                <w:lang w:val="en-AU"/>
              </w:rPr>
              <w:t xml:space="preserve"> in the year of monitoring </w:t>
            </w:r>
            <w:r w:rsidRPr="009213B0">
              <w:rPr>
                <w:rFonts w:ascii="Calibri" w:eastAsia="Times New Roman" w:hAnsi="Calibri" w:cs="Times New Roman"/>
                <w:i/>
                <w:color w:val="404040" w:themeColor="text1" w:themeTint="BF"/>
                <w:sz w:val="21"/>
                <w:szCs w:val="21"/>
                <w:lang w:val="en-AU"/>
              </w:rPr>
              <w:t xml:space="preserve">n </w:t>
            </w:r>
            <w:r w:rsidRPr="009213B0">
              <w:rPr>
                <w:rFonts w:ascii="Calibri" w:eastAsia="Times New Roman" w:hAnsi="Calibri" w:cs="Times New Roman"/>
                <w:color w:val="404040" w:themeColor="text1" w:themeTint="BF"/>
                <w:sz w:val="21"/>
                <w:szCs w:val="21"/>
                <w:lang w:val="en-AU"/>
              </w:rPr>
              <w:t>(ha);</w:t>
            </w:r>
          </w:p>
          <w:p w14:paraId="7AD92852" w14:textId="77777777" w:rsidR="00EC6FA6" w:rsidRPr="009213B0" w:rsidRDefault="00332407" w:rsidP="00EC6FA6">
            <w:pPr>
              <w:spacing w:before="120" w:after="120"/>
              <w:ind w:left="720"/>
              <w:rPr>
                <w:rFonts w:ascii="Calibri" w:eastAsia="Times New Roman" w:hAnsi="Calibri" w:cs="Times New Roman"/>
                <w:color w:val="404040" w:themeColor="text1" w:themeTint="BF"/>
                <w:sz w:val="21"/>
                <w:szCs w:val="21"/>
                <w:lang w:val="en-AU"/>
              </w:rPr>
            </w:pPr>
            <m:oMath>
              <m:sSub>
                <m:sSubPr>
                  <m:ctrlPr>
                    <w:rPr>
                      <w:rFonts w:ascii="Cambria Math" w:eastAsia="Arial" w:hAnsi="Cambria Math" w:cs="Times New Roman"/>
                      <w:color w:val="404040" w:themeColor="text1" w:themeTint="BF"/>
                      <w:sz w:val="21"/>
                      <w:szCs w:val="21"/>
                      <w:lang w:val="en-AU"/>
                    </w:rPr>
                  </m:ctrlPr>
                </m:sSubPr>
                <m:e>
                  <m:r>
                    <w:rPr>
                      <w:rFonts w:ascii="Cambria Math" w:eastAsia="Arial" w:hAnsi="Cambria Math" w:cs="Times New Roman"/>
                      <w:color w:val="404040" w:themeColor="text1" w:themeTint="BF"/>
                      <w:sz w:val="21"/>
                      <w:szCs w:val="21"/>
                      <w:lang w:val="en-AU"/>
                    </w:rPr>
                    <m:t>A(total)</m:t>
                  </m:r>
                </m:e>
                <m:sub>
                  <m:r>
                    <w:rPr>
                      <w:rFonts w:ascii="Cambria Math" w:eastAsia="Arial" w:hAnsi="Cambria Math" w:cs="Times New Roman"/>
                      <w:color w:val="404040" w:themeColor="text1" w:themeTint="BF"/>
                      <w:sz w:val="21"/>
                      <w:szCs w:val="21"/>
                      <w:lang w:val="en-AU"/>
                    </w:rPr>
                    <m:t>i</m:t>
                  </m:r>
                  <m:r>
                    <m:rPr>
                      <m:sty m:val="p"/>
                    </m:rPr>
                    <w:rPr>
                      <w:rFonts w:ascii="Cambria Math" w:eastAsia="Arial" w:hAnsi="Cambria Math" w:cs="Times New Roman"/>
                      <w:color w:val="404040" w:themeColor="text1" w:themeTint="BF"/>
                      <w:sz w:val="21"/>
                      <w:szCs w:val="21"/>
                      <w:lang w:val="en-AU"/>
                    </w:rPr>
                    <m:t>,0</m:t>
                  </m:r>
                </m:sub>
              </m:sSub>
            </m:oMath>
            <w:r w:rsidR="00EC6FA6" w:rsidRPr="009213B0">
              <w:rPr>
                <w:rFonts w:ascii="Calibri" w:eastAsia="Times New Roman" w:hAnsi="Calibri" w:cs="Times New Roman"/>
                <w:color w:val="404040" w:themeColor="text1" w:themeTint="BF"/>
                <w:sz w:val="21"/>
                <w:szCs w:val="21"/>
                <w:lang w:val="en-AU"/>
              </w:rPr>
              <w:t xml:space="preserve"> is the total area of land cover type </w:t>
            </w:r>
            <w:proofErr w:type="spellStart"/>
            <w:r w:rsidR="00EC6FA6" w:rsidRPr="009213B0">
              <w:rPr>
                <w:rFonts w:ascii="Calibri" w:eastAsia="Times New Roman" w:hAnsi="Calibri" w:cs="Times New Roman"/>
                <w:i/>
                <w:color w:val="404040" w:themeColor="text1" w:themeTint="BF"/>
                <w:sz w:val="21"/>
                <w:szCs w:val="21"/>
                <w:lang w:val="en-AU"/>
              </w:rPr>
              <w:t>i</w:t>
            </w:r>
            <w:proofErr w:type="spellEnd"/>
            <w:r w:rsidR="00EC6FA6" w:rsidRPr="009213B0">
              <w:rPr>
                <w:rFonts w:ascii="Calibri" w:eastAsia="Times New Roman" w:hAnsi="Calibri" w:cs="Times New Roman"/>
                <w:color w:val="404040" w:themeColor="text1" w:themeTint="BF"/>
                <w:sz w:val="21"/>
                <w:szCs w:val="21"/>
                <w:lang w:val="en-AU"/>
              </w:rPr>
              <w:t xml:space="preserve"> within the national boundary (</w:t>
            </w:r>
            <w:proofErr w:type="gramStart"/>
            <w:r w:rsidR="00EC6FA6" w:rsidRPr="009213B0">
              <w:rPr>
                <w:rFonts w:ascii="Calibri" w:eastAsia="Times New Roman" w:hAnsi="Calibri" w:cs="Times New Roman"/>
                <w:color w:val="404040" w:themeColor="text1" w:themeTint="BF"/>
                <w:sz w:val="21"/>
                <w:szCs w:val="21"/>
                <w:lang w:val="en-AU"/>
              </w:rPr>
              <w:t>ha).</w:t>
            </w:r>
            <w:proofErr w:type="gramEnd"/>
            <w:r w:rsidR="00EC6FA6" w:rsidRPr="009213B0">
              <w:rPr>
                <w:rFonts w:ascii="Calibri" w:eastAsia="Times New Roman" w:hAnsi="Calibri" w:cs="Times New Roman"/>
                <w:color w:val="404040" w:themeColor="text1" w:themeTint="BF"/>
                <w:sz w:val="21"/>
                <w:szCs w:val="21"/>
                <w:lang w:val="en-AU"/>
              </w:rPr>
              <w:t xml:space="preserve"> </w:t>
            </w:r>
          </w:p>
          <w:p w14:paraId="77ECC3C0" w14:textId="77777777" w:rsidR="00EC6FA6" w:rsidRPr="009213B0" w:rsidRDefault="00EC6FA6" w:rsidP="00EC6FA6">
            <w:pPr>
              <w:keepNext/>
              <w:spacing w:after="0"/>
              <w:rPr>
                <w:rFonts w:ascii="Calibri" w:eastAsia="Arial" w:hAnsi="Calibri" w:cs="Times New Roman"/>
                <w:color w:val="404040" w:themeColor="text1" w:themeTint="BF"/>
                <w:sz w:val="21"/>
                <w:szCs w:val="21"/>
                <w:lang w:val="en-AU"/>
              </w:rPr>
            </w:pPr>
          </w:p>
          <w:p w14:paraId="511EA797" w14:textId="77777777" w:rsidR="00EC6FA6" w:rsidRPr="009213B0" w:rsidRDefault="00EC6FA6" w:rsidP="00EC6FA6">
            <w:pPr>
              <w:keepNext/>
              <w:spacing w:before="120" w:after="120"/>
              <w:rPr>
                <w:rFonts w:ascii="Calibri" w:eastAsia="Arial" w:hAnsi="Calibri" w:cs="Times New Roman"/>
                <w:color w:val="404040" w:themeColor="text1" w:themeTint="BF"/>
                <w:sz w:val="21"/>
                <w:szCs w:val="21"/>
                <w:lang w:val="en-AU"/>
              </w:rPr>
            </w:pPr>
            <w:r w:rsidRPr="009213B0">
              <w:rPr>
                <w:rFonts w:ascii="Calibri" w:eastAsia="Arial" w:hAnsi="Calibri" w:cs="Times New Roman"/>
                <w:color w:val="404040" w:themeColor="text1" w:themeTint="BF"/>
                <w:sz w:val="21"/>
                <w:szCs w:val="21"/>
                <w:lang w:val="en-AU"/>
              </w:rPr>
              <w:t xml:space="preserve">The total area of land that is degraded over total land area is the accumulation across </w:t>
            </w:r>
            <w:r>
              <w:rPr>
                <w:rFonts w:ascii="Calibri" w:eastAsia="Arial" w:hAnsi="Calibri" w:cs="Times New Roman"/>
                <w:color w:val="404040" w:themeColor="text1" w:themeTint="BF"/>
                <w:sz w:val="21"/>
                <w:szCs w:val="21"/>
                <w:lang w:val="en-AU"/>
              </w:rPr>
              <w:t>all</w:t>
            </w:r>
            <w:r w:rsidRPr="009213B0">
              <w:rPr>
                <w:rFonts w:ascii="Calibri" w:eastAsia="Arial" w:hAnsi="Calibri" w:cs="Times New Roman"/>
                <w:color w:val="404040" w:themeColor="text1" w:themeTint="BF"/>
                <w:sz w:val="21"/>
                <w:szCs w:val="21"/>
                <w:lang w:val="en-AU"/>
              </w:rPr>
              <w:t xml:space="preserve"> land cover classes within the monitoring period </w:t>
            </w:r>
            <w:r w:rsidRPr="009213B0">
              <w:rPr>
                <w:rFonts w:ascii="Calibri" w:eastAsia="Arial" w:hAnsi="Calibri" w:cs="Times New Roman"/>
                <w:i/>
                <w:color w:val="404040" w:themeColor="text1" w:themeTint="BF"/>
                <w:sz w:val="21"/>
                <w:szCs w:val="21"/>
                <w:lang w:val="en-AU"/>
              </w:rPr>
              <w:t xml:space="preserve">n </w:t>
            </w:r>
            <w:r w:rsidRPr="009213B0">
              <w:rPr>
                <w:rFonts w:ascii="Calibri" w:eastAsia="Arial" w:hAnsi="Calibri" w:cs="Times New Roman"/>
                <w:color w:val="404040" w:themeColor="text1" w:themeTint="BF"/>
                <w:sz w:val="21"/>
                <w:szCs w:val="21"/>
                <w:lang w:val="en-AU"/>
              </w:rPr>
              <w:t>is given by:</w:t>
            </w:r>
          </w:p>
          <w:p w14:paraId="20103C07" w14:textId="77777777" w:rsidR="00EC6FA6" w:rsidRPr="009213B0" w:rsidRDefault="00EC6FA6" w:rsidP="00EC6FA6">
            <w:pPr>
              <w:tabs>
                <w:tab w:val="center" w:pos="4536"/>
                <w:tab w:val="right" w:pos="8505"/>
              </w:tabs>
              <w:spacing w:before="120" w:after="120"/>
              <w:rPr>
                <w:rFonts w:ascii="Calibri" w:eastAsia="Arial" w:hAnsi="Calibri" w:cs="Times New Roman"/>
                <w:color w:val="404040" w:themeColor="text1" w:themeTint="BF"/>
                <w:sz w:val="21"/>
                <w:szCs w:val="21"/>
                <w:lang w:val="en-AU"/>
              </w:rPr>
            </w:pPr>
            <w:r w:rsidRPr="009213B0">
              <w:rPr>
                <w:rFonts w:ascii="Calibri" w:eastAsia="Arial" w:hAnsi="Calibri" w:cs="Times New Roman"/>
                <w:color w:val="404040" w:themeColor="text1" w:themeTint="BF"/>
                <w:sz w:val="21"/>
                <w:szCs w:val="21"/>
                <w:lang w:val="en-AU"/>
              </w:rPr>
              <w:tab/>
            </w:r>
            <m:oMath>
              <m:sSub>
                <m:sSubPr>
                  <m:ctrlPr>
                    <w:rPr>
                      <w:rFonts w:ascii="Cambria Math" w:eastAsia="Arial" w:hAnsi="Cambria Math" w:cs="Times New Roman"/>
                      <w:color w:val="404040" w:themeColor="text1" w:themeTint="BF"/>
                      <w:sz w:val="21"/>
                      <w:szCs w:val="21"/>
                      <w:lang w:val="en-AU"/>
                    </w:rPr>
                  </m:ctrlPr>
                </m:sSubPr>
                <m:e>
                  <m:r>
                    <w:rPr>
                      <w:rFonts w:ascii="Cambria Math" w:eastAsia="Arial" w:hAnsi="Cambria Math" w:cs="Times New Roman"/>
                      <w:color w:val="404040" w:themeColor="text1" w:themeTint="BF"/>
                      <w:sz w:val="21"/>
                      <w:szCs w:val="21"/>
                      <w:lang w:val="en-AU"/>
                    </w:rPr>
                    <m:t>A(Degraded)</m:t>
                  </m:r>
                </m:e>
                <m:sub>
                  <m:r>
                    <m:rPr>
                      <m:sty m:val="p"/>
                    </m:rPr>
                    <w:rPr>
                      <w:rFonts w:ascii="Cambria Math" w:eastAsia="Arial" w:hAnsi="Cambria Math" w:cs="Times New Roman"/>
                      <w:color w:val="404040" w:themeColor="text1" w:themeTint="BF"/>
                      <w:sz w:val="21"/>
                      <w:szCs w:val="21"/>
                      <w:lang w:val="en-AU"/>
                    </w:rPr>
                    <m:t>n</m:t>
                  </m:r>
                </m:sub>
              </m:sSub>
              <m:r>
                <m:rPr>
                  <m:sty m:val="p"/>
                </m:rPr>
                <w:rPr>
                  <w:rFonts w:ascii="Cambria Math" w:eastAsia="Arial" w:hAnsi="Cambria Math" w:cs="Times New Roman"/>
                  <w:color w:val="404040" w:themeColor="text1" w:themeTint="BF"/>
                  <w:sz w:val="21"/>
                  <w:szCs w:val="21"/>
                  <w:lang w:val="en-AU"/>
                </w:rPr>
                <m:t>=</m:t>
              </m:r>
              <m:nary>
                <m:naryPr>
                  <m:chr m:val="∑"/>
                  <m:limLoc m:val="undOvr"/>
                  <m:ctrlPr>
                    <w:rPr>
                      <w:rFonts w:ascii="Cambria Math" w:eastAsia="Arial" w:hAnsi="Cambria Math" w:cs="Times New Roman"/>
                      <w:color w:val="404040" w:themeColor="text1" w:themeTint="BF"/>
                      <w:sz w:val="21"/>
                      <w:szCs w:val="21"/>
                      <w:lang w:val="en-AU"/>
                    </w:rPr>
                  </m:ctrlPr>
                </m:naryPr>
                <m:sub>
                  <m:r>
                    <w:rPr>
                      <w:rFonts w:ascii="Cambria Math" w:eastAsia="Arial" w:hAnsi="Cambria Math" w:cs="Times New Roman"/>
                      <w:color w:val="404040" w:themeColor="text1" w:themeTint="BF"/>
                      <w:sz w:val="21"/>
                      <w:szCs w:val="21"/>
                      <w:lang w:val="en-AU"/>
                    </w:rPr>
                    <m:t>i</m:t>
                  </m:r>
                </m:sub>
                <m:sup/>
                <m:e>
                  <m:sSub>
                    <m:sSubPr>
                      <m:ctrlPr>
                        <w:rPr>
                          <w:rFonts w:ascii="Cambria Math" w:eastAsia="Arial" w:hAnsi="Cambria Math" w:cs="Times New Roman"/>
                          <w:color w:val="404040" w:themeColor="text1" w:themeTint="BF"/>
                          <w:sz w:val="21"/>
                          <w:szCs w:val="21"/>
                          <w:lang w:val="en-AU"/>
                        </w:rPr>
                      </m:ctrlPr>
                    </m:sSubPr>
                    <m:e>
                      <m:r>
                        <w:rPr>
                          <w:rFonts w:ascii="Cambria Math" w:eastAsia="Arial" w:hAnsi="Cambria Math" w:cs="Times New Roman"/>
                          <w:color w:val="404040" w:themeColor="text1" w:themeTint="BF"/>
                          <w:sz w:val="21"/>
                          <w:szCs w:val="21"/>
                          <w:lang w:val="en-AU"/>
                        </w:rPr>
                        <m:t>A(Degraded)</m:t>
                      </m:r>
                    </m:e>
                    <m:sub>
                      <m:r>
                        <w:rPr>
                          <w:rFonts w:ascii="Cambria Math" w:eastAsia="Arial" w:hAnsi="Cambria Math" w:cs="Times New Roman"/>
                          <w:color w:val="404040" w:themeColor="text1" w:themeTint="BF"/>
                          <w:sz w:val="21"/>
                          <w:szCs w:val="21"/>
                          <w:lang w:val="en-AU"/>
                        </w:rPr>
                        <m:t>i</m:t>
                      </m:r>
                      <m:r>
                        <m:rPr>
                          <m:sty m:val="p"/>
                        </m:rPr>
                        <w:rPr>
                          <w:rFonts w:ascii="Cambria Math" w:eastAsia="Arial" w:hAnsi="Cambria Math" w:cs="Times New Roman"/>
                          <w:color w:val="404040" w:themeColor="text1" w:themeTint="BF"/>
                          <w:sz w:val="21"/>
                          <w:szCs w:val="21"/>
                          <w:lang w:val="en-AU"/>
                        </w:rPr>
                        <m:t>,n</m:t>
                      </m:r>
                    </m:sub>
                  </m:sSub>
                </m:e>
              </m:nary>
            </m:oMath>
            <w:r w:rsidRPr="009213B0">
              <w:rPr>
                <w:rFonts w:ascii="Calibri" w:eastAsia="Arial" w:hAnsi="Calibri" w:cs="Times New Roman"/>
                <w:color w:val="404040" w:themeColor="text1" w:themeTint="BF"/>
                <w:sz w:val="21"/>
                <w:szCs w:val="21"/>
                <w:lang w:val="en-AU"/>
              </w:rPr>
              <w:tab/>
              <w:t>(3)</w:t>
            </w:r>
          </w:p>
          <w:p w14:paraId="29DB88CC" w14:textId="77777777" w:rsidR="00EC6FA6" w:rsidRPr="009213B0" w:rsidRDefault="00EC6FA6" w:rsidP="00EC6FA6">
            <w:pPr>
              <w:keepNext/>
              <w:tabs>
                <w:tab w:val="center" w:pos="4536"/>
                <w:tab w:val="right" w:pos="8505"/>
              </w:tabs>
              <w:spacing w:before="120" w:after="120"/>
              <w:rPr>
                <w:rFonts w:ascii="Calibri" w:eastAsia="Arial" w:hAnsi="Calibri" w:cs="Times New Roman"/>
                <w:color w:val="404040" w:themeColor="text1" w:themeTint="BF"/>
                <w:sz w:val="21"/>
                <w:szCs w:val="21"/>
                <w:lang w:val="en-AU"/>
              </w:rPr>
            </w:pPr>
            <w:r w:rsidRPr="009213B0">
              <w:rPr>
                <w:rFonts w:ascii="Calibri" w:eastAsia="Arial" w:hAnsi="Calibri" w:cs="Times New Roman"/>
                <w:color w:val="404040" w:themeColor="text1" w:themeTint="BF"/>
                <w:sz w:val="21"/>
                <w:szCs w:val="21"/>
                <w:lang w:val="en-AU"/>
              </w:rPr>
              <w:t>Where</w:t>
            </w:r>
          </w:p>
          <w:p w14:paraId="661BD30C" w14:textId="77777777" w:rsidR="00EC6FA6" w:rsidRPr="009213B0" w:rsidRDefault="00332407" w:rsidP="00EC6FA6">
            <w:pPr>
              <w:tabs>
                <w:tab w:val="center" w:pos="4536"/>
                <w:tab w:val="right" w:pos="8505"/>
              </w:tabs>
              <w:spacing w:before="120" w:after="120"/>
              <w:ind w:left="720"/>
              <w:rPr>
                <w:rFonts w:ascii="Calibri" w:eastAsia="Arial" w:hAnsi="Calibri" w:cs="Times New Roman"/>
                <w:color w:val="404040" w:themeColor="text1" w:themeTint="BF"/>
                <w:sz w:val="21"/>
                <w:szCs w:val="21"/>
                <w:lang w:val="en-AU"/>
              </w:rPr>
            </w:pPr>
            <m:oMath>
              <m:sSub>
                <m:sSubPr>
                  <m:ctrlPr>
                    <w:rPr>
                      <w:rFonts w:ascii="Cambria Math" w:eastAsia="Arial" w:hAnsi="Cambria Math" w:cs="Times New Roman"/>
                      <w:color w:val="404040" w:themeColor="text1" w:themeTint="BF"/>
                      <w:sz w:val="21"/>
                      <w:szCs w:val="21"/>
                      <w:lang w:val="en-AU"/>
                    </w:rPr>
                  </m:ctrlPr>
                </m:sSubPr>
                <m:e>
                  <m:r>
                    <w:rPr>
                      <w:rFonts w:ascii="Cambria Math" w:eastAsia="Arial" w:hAnsi="Cambria Math" w:cs="Times New Roman"/>
                      <w:color w:val="404040" w:themeColor="text1" w:themeTint="BF"/>
                      <w:sz w:val="21"/>
                      <w:szCs w:val="21"/>
                      <w:lang w:val="en-AU"/>
                    </w:rPr>
                    <m:t>A(Degraded)</m:t>
                  </m:r>
                </m:e>
                <m:sub>
                  <m:r>
                    <m:rPr>
                      <m:sty m:val="p"/>
                    </m:rPr>
                    <w:rPr>
                      <w:rFonts w:ascii="Cambria Math" w:eastAsia="Arial" w:hAnsi="Cambria Math" w:cs="Times New Roman"/>
                      <w:color w:val="404040" w:themeColor="text1" w:themeTint="BF"/>
                      <w:sz w:val="21"/>
                      <w:szCs w:val="21"/>
                      <w:lang w:val="en-AU"/>
                    </w:rPr>
                    <m:t>n</m:t>
                  </m:r>
                </m:sub>
              </m:sSub>
            </m:oMath>
            <w:r w:rsidR="00EC6FA6" w:rsidRPr="009213B0">
              <w:rPr>
                <w:rFonts w:ascii="Calibri" w:eastAsia="Times New Roman" w:hAnsi="Calibri" w:cs="Times New Roman"/>
                <w:color w:val="404040" w:themeColor="text1" w:themeTint="BF"/>
                <w:sz w:val="21"/>
                <w:szCs w:val="21"/>
                <w:lang w:val="en-AU"/>
              </w:rPr>
              <w:t xml:space="preserve"> is the total area degraded in the year of monitoring </w:t>
            </w:r>
            <w:r w:rsidR="00EC6FA6" w:rsidRPr="009213B0">
              <w:rPr>
                <w:rFonts w:ascii="Calibri" w:eastAsia="Times New Roman" w:hAnsi="Calibri" w:cs="Times New Roman"/>
                <w:i/>
                <w:color w:val="404040" w:themeColor="text1" w:themeTint="BF"/>
                <w:sz w:val="21"/>
                <w:szCs w:val="21"/>
                <w:lang w:val="en-AU"/>
              </w:rPr>
              <w:t xml:space="preserve">n </w:t>
            </w:r>
            <w:r w:rsidR="00EC6FA6" w:rsidRPr="009213B0">
              <w:rPr>
                <w:rFonts w:ascii="Calibri" w:eastAsia="Times New Roman" w:hAnsi="Calibri" w:cs="Times New Roman"/>
                <w:color w:val="404040" w:themeColor="text1" w:themeTint="BF"/>
                <w:sz w:val="21"/>
                <w:szCs w:val="21"/>
                <w:lang w:val="en-AU"/>
              </w:rPr>
              <w:t>(ha);</w:t>
            </w:r>
          </w:p>
          <w:p w14:paraId="547C6480" w14:textId="77777777" w:rsidR="00EC6FA6" w:rsidRPr="009213B0" w:rsidRDefault="00332407" w:rsidP="00EC6FA6">
            <w:pPr>
              <w:spacing w:before="120" w:after="120"/>
              <w:ind w:left="720"/>
              <w:rPr>
                <w:rFonts w:ascii="Calibri" w:eastAsia="Times New Roman" w:hAnsi="Calibri" w:cs="Times New Roman"/>
                <w:color w:val="404040" w:themeColor="text1" w:themeTint="BF"/>
                <w:sz w:val="21"/>
                <w:szCs w:val="21"/>
                <w:lang w:val="en-AU"/>
              </w:rPr>
            </w:pPr>
            <m:oMath>
              <m:sSub>
                <m:sSubPr>
                  <m:ctrlPr>
                    <w:rPr>
                      <w:rFonts w:ascii="Cambria Math" w:eastAsia="Arial" w:hAnsi="Cambria Math" w:cs="Times New Roman"/>
                      <w:color w:val="404040" w:themeColor="text1" w:themeTint="BF"/>
                      <w:sz w:val="21"/>
                      <w:szCs w:val="21"/>
                      <w:lang w:val="en-AU"/>
                    </w:rPr>
                  </m:ctrlPr>
                </m:sSubPr>
                <m:e>
                  <m:r>
                    <w:rPr>
                      <w:rFonts w:ascii="Cambria Math" w:eastAsia="Arial" w:hAnsi="Cambria Math" w:cs="Times New Roman"/>
                      <w:color w:val="404040" w:themeColor="text1" w:themeTint="BF"/>
                      <w:sz w:val="21"/>
                      <w:szCs w:val="21"/>
                      <w:lang w:val="en-AU"/>
                    </w:rPr>
                    <m:t>A(Degraded)</m:t>
                  </m:r>
                </m:e>
                <m:sub>
                  <m:r>
                    <w:rPr>
                      <w:rFonts w:ascii="Cambria Math" w:eastAsia="Arial" w:hAnsi="Cambria Math" w:cs="Times New Roman"/>
                      <w:color w:val="404040" w:themeColor="text1" w:themeTint="BF"/>
                      <w:sz w:val="21"/>
                      <w:szCs w:val="21"/>
                      <w:lang w:val="en-AU"/>
                    </w:rPr>
                    <m:t>i</m:t>
                  </m:r>
                  <m:r>
                    <m:rPr>
                      <m:sty m:val="p"/>
                    </m:rPr>
                    <w:rPr>
                      <w:rFonts w:ascii="Cambria Math" w:eastAsia="Arial" w:hAnsi="Cambria Math" w:cs="Times New Roman"/>
                      <w:color w:val="404040" w:themeColor="text1" w:themeTint="BF"/>
                      <w:sz w:val="21"/>
                      <w:szCs w:val="21"/>
                      <w:lang w:val="en-AU"/>
                    </w:rPr>
                    <m:t>,n</m:t>
                  </m:r>
                </m:sub>
              </m:sSub>
            </m:oMath>
            <w:r w:rsidR="00EC6FA6" w:rsidRPr="009213B0">
              <w:rPr>
                <w:rFonts w:ascii="Calibri" w:eastAsia="Times New Roman" w:hAnsi="Calibri" w:cs="Times New Roman"/>
                <w:color w:val="404040" w:themeColor="text1" w:themeTint="BF"/>
                <w:sz w:val="21"/>
                <w:szCs w:val="21"/>
                <w:lang w:val="en-AU"/>
              </w:rPr>
              <w:t xml:space="preserve"> is the total area degraded in the land cover type </w:t>
            </w:r>
            <w:proofErr w:type="spellStart"/>
            <w:r w:rsidR="00EC6FA6" w:rsidRPr="009213B0">
              <w:rPr>
                <w:rFonts w:ascii="Calibri" w:eastAsia="Times New Roman" w:hAnsi="Calibri" w:cs="Times New Roman"/>
                <w:i/>
                <w:color w:val="404040" w:themeColor="text1" w:themeTint="BF"/>
                <w:sz w:val="21"/>
                <w:szCs w:val="21"/>
                <w:lang w:val="en-AU"/>
              </w:rPr>
              <w:t>i</w:t>
            </w:r>
            <w:proofErr w:type="spellEnd"/>
            <w:r w:rsidR="00EC6FA6" w:rsidRPr="009213B0">
              <w:rPr>
                <w:rFonts w:ascii="Calibri" w:eastAsia="Times New Roman" w:hAnsi="Calibri" w:cs="Times New Roman"/>
                <w:color w:val="404040" w:themeColor="text1" w:themeTint="BF"/>
                <w:sz w:val="21"/>
                <w:szCs w:val="21"/>
                <w:lang w:val="en-AU"/>
              </w:rPr>
              <w:t xml:space="preserve"> in the year of monitoring </w:t>
            </w:r>
            <w:proofErr w:type="gramStart"/>
            <w:r w:rsidR="00EC6FA6" w:rsidRPr="009213B0">
              <w:rPr>
                <w:rFonts w:ascii="Calibri" w:eastAsia="Times New Roman" w:hAnsi="Calibri" w:cs="Times New Roman"/>
                <w:i/>
                <w:color w:val="404040" w:themeColor="text1" w:themeTint="BF"/>
                <w:sz w:val="21"/>
                <w:szCs w:val="21"/>
                <w:lang w:val="en-AU"/>
              </w:rPr>
              <w:t>n</w:t>
            </w:r>
            <w:r w:rsidR="00EC6FA6" w:rsidRPr="009213B0">
              <w:rPr>
                <w:rFonts w:ascii="Calibri" w:eastAsia="Times New Roman" w:hAnsi="Calibri" w:cs="Times New Roman"/>
                <w:color w:val="404040" w:themeColor="text1" w:themeTint="BF"/>
                <w:sz w:val="21"/>
                <w:szCs w:val="21"/>
                <w:lang w:val="en-AU"/>
              </w:rPr>
              <w:t>.</w:t>
            </w:r>
            <w:proofErr w:type="gramEnd"/>
          </w:p>
          <w:p w14:paraId="432866FB" w14:textId="77777777" w:rsidR="00EC6FA6" w:rsidRPr="009213B0" w:rsidRDefault="00EC6FA6" w:rsidP="00EC6FA6">
            <w:pPr>
              <w:spacing w:before="120" w:after="120"/>
              <w:rPr>
                <w:rFonts w:ascii="Calibri" w:eastAsia="Arial" w:hAnsi="Calibri" w:cs="Times New Roman"/>
                <w:color w:val="404040" w:themeColor="text1" w:themeTint="BF"/>
                <w:sz w:val="21"/>
                <w:szCs w:val="21"/>
                <w:lang w:val="en-AU"/>
              </w:rPr>
            </w:pPr>
          </w:p>
          <w:p w14:paraId="000374EB" w14:textId="77777777" w:rsidR="00EC6FA6" w:rsidRPr="009213B0" w:rsidRDefault="00EC6FA6" w:rsidP="00EC6FA6">
            <w:pPr>
              <w:spacing w:before="120" w:after="120"/>
              <w:rPr>
                <w:rFonts w:ascii="Calibri" w:eastAsia="Arial" w:hAnsi="Calibri" w:cs="Times New Roman"/>
                <w:color w:val="404040" w:themeColor="text1" w:themeTint="BF"/>
                <w:sz w:val="21"/>
                <w:szCs w:val="21"/>
                <w:lang w:val="en-AU"/>
              </w:rPr>
            </w:pPr>
            <w:r w:rsidRPr="009213B0">
              <w:rPr>
                <w:rFonts w:ascii="Calibri" w:eastAsia="Arial" w:hAnsi="Calibri" w:cs="Times New Roman"/>
                <w:color w:val="404040" w:themeColor="text1" w:themeTint="BF"/>
                <w:sz w:val="21"/>
                <w:szCs w:val="21"/>
                <w:lang w:val="en-AU"/>
              </w:rPr>
              <w:t>The total proportion of land that is degraded</w:t>
            </w:r>
            <w:r w:rsidRPr="009213B0">
              <w:rPr>
                <w:rFonts w:ascii="Calibri" w:eastAsia="Arial" w:hAnsi="Calibri" w:cs="Times New Roman"/>
                <w:color w:val="404040" w:themeColor="text1" w:themeTint="BF"/>
                <w:sz w:val="21"/>
                <w:szCs w:val="21"/>
                <w:lang w:val="en-NZ"/>
              </w:rPr>
              <w:t xml:space="preserve"> </w:t>
            </w:r>
            <w:r w:rsidRPr="009213B0">
              <w:rPr>
                <w:rFonts w:ascii="Calibri" w:eastAsia="Arial" w:hAnsi="Calibri" w:cs="Times New Roman"/>
                <w:color w:val="404040" w:themeColor="text1" w:themeTint="BF"/>
                <w:sz w:val="21"/>
                <w:szCs w:val="21"/>
                <w:lang w:val="en-AU"/>
              </w:rPr>
              <w:t>over total land area is given by:</w:t>
            </w:r>
          </w:p>
          <w:p w14:paraId="1FA904A9" w14:textId="77777777" w:rsidR="00EC6FA6" w:rsidRPr="009213B0" w:rsidRDefault="00EC6FA6" w:rsidP="00EC6FA6">
            <w:pPr>
              <w:tabs>
                <w:tab w:val="center" w:pos="4536"/>
                <w:tab w:val="right" w:pos="8505"/>
              </w:tabs>
              <w:spacing w:before="120" w:after="120"/>
              <w:rPr>
                <w:rFonts w:ascii="Calibri" w:eastAsia="Arial" w:hAnsi="Calibri" w:cs="Times New Roman"/>
                <w:color w:val="404040" w:themeColor="text1" w:themeTint="BF"/>
                <w:sz w:val="21"/>
                <w:szCs w:val="21"/>
                <w:lang w:val="en-AU"/>
              </w:rPr>
            </w:pPr>
            <w:r w:rsidRPr="009213B0">
              <w:rPr>
                <w:rFonts w:ascii="Calibri" w:eastAsia="Arial" w:hAnsi="Calibri" w:cs="Times New Roman"/>
                <w:color w:val="404040" w:themeColor="text1" w:themeTint="BF"/>
                <w:sz w:val="21"/>
                <w:szCs w:val="21"/>
                <w:lang w:val="en-AU"/>
              </w:rPr>
              <w:tab/>
            </w:r>
            <m:oMath>
              <m:sSub>
                <m:sSubPr>
                  <m:ctrlPr>
                    <w:rPr>
                      <w:rFonts w:ascii="Cambria Math" w:eastAsia="Arial" w:hAnsi="Cambria Math" w:cs="Times New Roman"/>
                      <w:color w:val="404040" w:themeColor="text1" w:themeTint="BF"/>
                      <w:sz w:val="21"/>
                      <w:szCs w:val="21"/>
                      <w:lang w:val="en-AU"/>
                    </w:rPr>
                  </m:ctrlPr>
                </m:sSubPr>
                <m:e>
                  <m:r>
                    <w:rPr>
                      <w:rFonts w:ascii="Cambria Math" w:eastAsia="Arial" w:hAnsi="Cambria Math" w:cs="Times New Roman"/>
                      <w:color w:val="404040" w:themeColor="text1" w:themeTint="BF"/>
                      <w:sz w:val="21"/>
                      <w:szCs w:val="21"/>
                      <w:lang w:val="en-AU"/>
                    </w:rPr>
                    <m:t>P</m:t>
                  </m:r>
                </m:e>
                <m:sub>
                  <m:r>
                    <m:rPr>
                      <m:sty m:val="p"/>
                    </m:rPr>
                    <w:rPr>
                      <w:rFonts w:ascii="Cambria Math" w:eastAsia="Arial" w:hAnsi="Cambria Math" w:cs="Times New Roman"/>
                      <w:color w:val="404040" w:themeColor="text1" w:themeTint="BF"/>
                      <w:sz w:val="21"/>
                      <w:szCs w:val="21"/>
                      <w:lang w:val="en-AU"/>
                    </w:rPr>
                    <m:t>n</m:t>
                  </m:r>
                </m:sub>
              </m:sSub>
              <m:r>
                <m:rPr>
                  <m:sty m:val="p"/>
                </m:rPr>
                <w:rPr>
                  <w:rFonts w:ascii="Cambria Math" w:eastAsia="Arial" w:hAnsi="Cambria Math" w:cs="Times New Roman"/>
                  <w:color w:val="404040" w:themeColor="text1" w:themeTint="BF"/>
                  <w:sz w:val="21"/>
                  <w:szCs w:val="21"/>
                  <w:lang w:val="en-AU"/>
                </w:rPr>
                <m:t>=</m:t>
              </m:r>
              <m:f>
                <m:fPr>
                  <m:ctrlPr>
                    <w:rPr>
                      <w:rFonts w:ascii="Cambria Math" w:eastAsia="Arial" w:hAnsi="Cambria Math" w:cs="Times New Roman"/>
                      <w:color w:val="404040" w:themeColor="text1" w:themeTint="BF"/>
                      <w:sz w:val="21"/>
                      <w:szCs w:val="21"/>
                      <w:lang w:val="en-AU"/>
                    </w:rPr>
                  </m:ctrlPr>
                </m:fPr>
                <m:num>
                  <m:sSub>
                    <m:sSubPr>
                      <m:ctrlPr>
                        <w:rPr>
                          <w:rFonts w:ascii="Cambria Math" w:eastAsia="Arial" w:hAnsi="Cambria Math" w:cs="Times New Roman"/>
                          <w:color w:val="404040" w:themeColor="text1" w:themeTint="BF"/>
                          <w:sz w:val="21"/>
                          <w:szCs w:val="21"/>
                          <w:lang w:val="en-AU"/>
                        </w:rPr>
                      </m:ctrlPr>
                    </m:sSubPr>
                    <m:e>
                      <m:r>
                        <w:rPr>
                          <w:rFonts w:ascii="Cambria Math" w:eastAsia="Arial" w:hAnsi="Cambria Math" w:cs="Times New Roman"/>
                          <w:color w:val="404040" w:themeColor="text1" w:themeTint="BF"/>
                          <w:sz w:val="21"/>
                          <w:szCs w:val="21"/>
                          <w:lang w:val="en-AU"/>
                        </w:rPr>
                        <m:t>A(Degraded)</m:t>
                      </m:r>
                    </m:e>
                    <m:sub>
                      <m:r>
                        <m:rPr>
                          <m:sty m:val="p"/>
                        </m:rPr>
                        <w:rPr>
                          <w:rFonts w:ascii="Cambria Math" w:eastAsia="Arial" w:hAnsi="Cambria Math" w:cs="Times New Roman"/>
                          <w:color w:val="404040" w:themeColor="text1" w:themeTint="BF"/>
                          <w:sz w:val="21"/>
                          <w:szCs w:val="21"/>
                          <w:lang w:val="en-AU"/>
                        </w:rPr>
                        <m:t>n</m:t>
                      </m:r>
                    </m:sub>
                  </m:sSub>
                </m:num>
                <m:den>
                  <m:r>
                    <m:rPr>
                      <m:sty m:val="p"/>
                    </m:rPr>
                    <w:rPr>
                      <w:rFonts w:ascii="Cambria Math" w:eastAsia="Arial" w:hAnsi="Cambria Math" w:cs="Times New Roman"/>
                      <w:color w:val="404040" w:themeColor="text1" w:themeTint="BF"/>
                      <w:sz w:val="21"/>
                      <w:szCs w:val="21"/>
                      <w:lang w:val="en-AU"/>
                    </w:rPr>
                    <m:t>A(Total)</m:t>
                  </m:r>
                </m:den>
              </m:f>
            </m:oMath>
            <w:r w:rsidRPr="009213B0">
              <w:rPr>
                <w:rFonts w:ascii="Calibri" w:eastAsia="Arial" w:hAnsi="Calibri" w:cs="Times New Roman"/>
                <w:color w:val="404040" w:themeColor="text1" w:themeTint="BF"/>
                <w:sz w:val="21"/>
                <w:szCs w:val="21"/>
                <w:lang w:val="en-AU"/>
              </w:rPr>
              <w:tab/>
              <w:t>(4)</w:t>
            </w:r>
          </w:p>
          <w:p w14:paraId="32247E18" w14:textId="77777777" w:rsidR="00EC6FA6" w:rsidRPr="009213B0" w:rsidRDefault="00EC6FA6" w:rsidP="00EC6FA6">
            <w:pPr>
              <w:tabs>
                <w:tab w:val="center" w:pos="4536"/>
                <w:tab w:val="right" w:pos="8505"/>
              </w:tabs>
              <w:spacing w:before="120" w:after="120"/>
              <w:rPr>
                <w:rFonts w:ascii="Calibri" w:eastAsia="Arial" w:hAnsi="Calibri" w:cs="Times New Roman"/>
                <w:color w:val="404040" w:themeColor="text1" w:themeTint="BF"/>
                <w:sz w:val="21"/>
                <w:szCs w:val="21"/>
                <w:lang w:val="en-AU"/>
              </w:rPr>
            </w:pPr>
            <w:r w:rsidRPr="009213B0">
              <w:rPr>
                <w:rFonts w:ascii="Calibri" w:eastAsia="Arial" w:hAnsi="Calibri" w:cs="Times New Roman"/>
                <w:color w:val="404040" w:themeColor="text1" w:themeTint="BF"/>
                <w:sz w:val="21"/>
                <w:szCs w:val="21"/>
                <w:lang w:val="en-AU"/>
              </w:rPr>
              <w:t>Where</w:t>
            </w:r>
          </w:p>
          <w:p w14:paraId="3D0636F3" w14:textId="77777777" w:rsidR="00EC6FA6" w:rsidRPr="000D5F8F" w:rsidRDefault="00332407" w:rsidP="00EC6FA6">
            <w:pPr>
              <w:tabs>
                <w:tab w:val="center" w:pos="4536"/>
                <w:tab w:val="right" w:pos="8505"/>
              </w:tabs>
              <w:spacing w:after="0"/>
              <w:ind w:left="720"/>
              <w:rPr>
                <w:rFonts w:ascii="Cambria Math" w:eastAsia="Arial" w:hAnsi="Cambria Math" w:cs="Times New Roman"/>
                <w:color w:val="404040" w:themeColor="text1" w:themeTint="BF"/>
                <w:sz w:val="21"/>
                <w:szCs w:val="21"/>
                <w:lang w:val="en-AU"/>
              </w:rPr>
            </w:pPr>
            <m:oMath>
              <m:sSub>
                <m:sSubPr>
                  <m:ctrlPr>
                    <w:rPr>
                      <w:rFonts w:ascii="Cambria Math" w:eastAsia="Arial" w:hAnsi="Cambria Math" w:cs="Times New Roman"/>
                      <w:color w:val="404040" w:themeColor="text1" w:themeTint="BF"/>
                      <w:sz w:val="21"/>
                      <w:szCs w:val="21"/>
                      <w:lang w:val="en-AU"/>
                    </w:rPr>
                  </m:ctrlPr>
                </m:sSubPr>
                <m:e>
                  <m:r>
                    <w:rPr>
                      <w:rFonts w:ascii="Cambria Math" w:eastAsia="Arial" w:hAnsi="Cambria Math" w:cs="Times New Roman"/>
                      <w:color w:val="404040" w:themeColor="text1" w:themeTint="BF"/>
                      <w:sz w:val="21"/>
                      <w:szCs w:val="21"/>
                      <w:lang w:val="en-AU"/>
                    </w:rPr>
                    <m:t>P</m:t>
                  </m:r>
                </m:e>
                <m:sub>
                  <m:r>
                    <m:rPr>
                      <m:sty m:val="p"/>
                    </m:rPr>
                    <w:rPr>
                      <w:rFonts w:ascii="Cambria Math" w:eastAsia="Arial" w:hAnsi="Cambria Math" w:cs="Times New Roman"/>
                      <w:color w:val="404040" w:themeColor="text1" w:themeTint="BF"/>
                      <w:sz w:val="21"/>
                      <w:szCs w:val="21"/>
                      <w:lang w:val="en-AU"/>
                    </w:rPr>
                    <m:t>n</m:t>
                  </m:r>
                </m:sub>
              </m:sSub>
            </m:oMath>
            <w:r w:rsidR="00EC6FA6" w:rsidRPr="000D5F8F">
              <w:rPr>
                <w:rFonts w:ascii="Cambria Math" w:eastAsia="Arial" w:hAnsi="Cambria Math" w:cs="Times New Roman"/>
                <w:color w:val="404040" w:themeColor="text1" w:themeTint="BF"/>
                <w:sz w:val="21"/>
                <w:szCs w:val="21"/>
                <w:lang w:val="en-AU"/>
              </w:rPr>
              <w:t xml:space="preserve"> is the proportion of land that is degraded over total land area;</w:t>
            </w:r>
          </w:p>
          <w:p w14:paraId="3276CA67" w14:textId="77777777" w:rsidR="00EC6FA6" w:rsidRPr="000D5F8F" w:rsidRDefault="00332407" w:rsidP="00EC6FA6">
            <w:pPr>
              <w:tabs>
                <w:tab w:val="center" w:pos="4536"/>
                <w:tab w:val="right" w:pos="8505"/>
              </w:tabs>
              <w:spacing w:before="120" w:after="120"/>
              <w:ind w:left="720"/>
              <w:rPr>
                <w:rFonts w:ascii="Cambria Math" w:eastAsia="Arial" w:hAnsi="Cambria Math" w:cs="Times New Roman"/>
                <w:color w:val="404040" w:themeColor="text1" w:themeTint="BF"/>
                <w:sz w:val="21"/>
                <w:szCs w:val="21"/>
                <w:lang w:val="en-AU"/>
              </w:rPr>
            </w:pPr>
            <m:oMath>
              <m:sSub>
                <m:sSubPr>
                  <m:ctrlPr>
                    <w:rPr>
                      <w:rFonts w:ascii="Cambria Math" w:eastAsia="Arial" w:hAnsi="Cambria Math" w:cs="Times New Roman"/>
                      <w:color w:val="404040" w:themeColor="text1" w:themeTint="BF"/>
                      <w:sz w:val="21"/>
                      <w:szCs w:val="21"/>
                      <w:lang w:val="en-AU"/>
                    </w:rPr>
                  </m:ctrlPr>
                </m:sSubPr>
                <m:e>
                  <m:r>
                    <w:rPr>
                      <w:rFonts w:ascii="Cambria Math" w:eastAsia="Arial" w:hAnsi="Cambria Math" w:cs="Times New Roman"/>
                      <w:color w:val="404040" w:themeColor="text1" w:themeTint="BF"/>
                      <w:sz w:val="21"/>
                      <w:szCs w:val="21"/>
                      <w:lang w:val="en-AU"/>
                    </w:rPr>
                    <m:t>A</m:t>
                  </m:r>
                  <m:r>
                    <m:rPr>
                      <m:sty m:val="p"/>
                    </m:rPr>
                    <w:rPr>
                      <w:rFonts w:ascii="Cambria Math" w:eastAsia="Arial" w:hAnsi="Cambria Math" w:cs="Times New Roman"/>
                      <w:color w:val="404040" w:themeColor="text1" w:themeTint="BF"/>
                      <w:sz w:val="21"/>
                      <w:szCs w:val="21"/>
                      <w:lang w:val="en-AU"/>
                    </w:rPr>
                    <m:t>(</m:t>
                  </m:r>
                  <m:r>
                    <w:rPr>
                      <w:rFonts w:ascii="Cambria Math" w:eastAsia="Arial" w:hAnsi="Cambria Math" w:cs="Times New Roman"/>
                      <w:color w:val="404040" w:themeColor="text1" w:themeTint="BF"/>
                      <w:sz w:val="21"/>
                      <w:szCs w:val="21"/>
                      <w:lang w:val="en-AU"/>
                    </w:rPr>
                    <m:t>Degraded</m:t>
                  </m:r>
                  <m:r>
                    <m:rPr>
                      <m:sty m:val="p"/>
                    </m:rPr>
                    <w:rPr>
                      <w:rFonts w:ascii="Cambria Math" w:eastAsia="Arial" w:hAnsi="Cambria Math" w:cs="Times New Roman"/>
                      <w:color w:val="404040" w:themeColor="text1" w:themeTint="BF"/>
                      <w:sz w:val="21"/>
                      <w:szCs w:val="21"/>
                      <w:lang w:val="en-AU"/>
                    </w:rPr>
                    <m:t>)</m:t>
                  </m:r>
                </m:e>
                <m:sub>
                  <m:r>
                    <m:rPr>
                      <m:sty m:val="p"/>
                    </m:rPr>
                    <w:rPr>
                      <w:rFonts w:ascii="Cambria Math" w:eastAsia="Arial" w:hAnsi="Cambria Math" w:cs="Times New Roman"/>
                      <w:color w:val="404040" w:themeColor="text1" w:themeTint="BF"/>
                      <w:sz w:val="21"/>
                      <w:szCs w:val="21"/>
                      <w:lang w:val="en-AU"/>
                    </w:rPr>
                    <m:t>n</m:t>
                  </m:r>
                </m:sub>
              </m:sSub>
            </m:oMath>
            <w:r w:rsidR="00EC6FA6" w:rsidRPr="000D5F8F">
              <w:rPr>
                <w:rFonts w:ascii="Cambria Math" w:eastAsia="Arial" w:hAnsi="Cambria Math" w:cs="Times New Roman"/>
                <w:color w:val="404040" w:themeColor="text1" w:themeTint="BF"/>
                <w:sz w:val="21"/>
                <w:szCs w:val="21"/>
                <w:lang w:val="en-AU"/>
              </w:rPr>
              <w:t xml:space="preserve"> is the total area degraded in the year of monitoring n (ha);</w:t>
            </w:r>
          </w:p>
          <w:p w14:paraId="123FA38B" w14:textId="77777777" w:rsidR="00EC6FA6" w:rsidRPr="009213B0" w:rsidRDefault="00EC6FA6" w:rsidP="00EC6FA6">
            <w:pPr>
              <w:tabs>
                <w:tab w:val="center" w:pos="4536"/>
                <w:tab w:val="right" w:pos="8505"/>
              </w:tabs>
              <w:spacing w:after="0"/>
              <w:ind w:left="720"/>
              <w:rPr>
                <w:rFonts w:ascii="Calibri" w:eastAsia="Times New Roman" w:hAnsi="Calibri" w:cs="Times New Roman"/>
                <w:color w:val="404040" w:themeColor="text1" w:themeTint="BF"/>
                <w:sz w:val="21"/>
                <w:szCs w:val="21"/>
                <w:lang w:val="en-AU"/>
              </w:rPr>
            </w:pPr>
            <m:oMath>
              <m:r>
                <m:rPr>
                  <m:sty m:val="p"/>
                </m:rPr>
                <w:rPr>
                  <w:rFonts w:ascii="Cambria Math" w:eastAsia="Arial" w:hAnsi="Cambria Math" w:cs="Times New Roman"/>
                  <w:color w:val="404040" w:themeColor="text1" w:themeTint="BF"/>
                  <w:sz w:val="21"/>
                  <w:szCs w:val="21"/>
                  <w:lang w:val="en-AU"/>
                </w:rPr>
                <m:t>A(Total)</m:t>
              </m:r>
            </m:oMath>
            <w:r w:rsidRPr="009213B0">
              <w:rPr>
                <w:rFonts w:ascii="Calibri" w:eastAsia="Times New Roman" w:hAnsi="Calibri" w:cs="Times New Roman"/>
                <w:color w:val="404040" w:themeColor="text1" w:themeTint="BF"/>
                <w:sz w:val="21"/>
                <w:szCs w:val="21"/>
                <w:lang w:val="en-AU"/>
              </w:rPr>
              <w:t xml:space="preserve"> is the total area within the national boundary (</w:t>
            </w:r>
            <w:proofErr w:type="gramStart"/>
            <w:r w:rsidRPr="009213B0">
              <w:rPr>
                <w:rFonts w:ascii="Calibri" w:eastAsia="Times New Roman" w:hAnsi="Calibri" w:cs="Times New Roman"/>
                <w:color w:val="404040" w:themeColor="text1" w:themeTint="BF"/>
                <w:sz w:val="21"/>
                <w:szCs w:val="21"/>
                <w:lang w:val="en-AU"/>
              </w:rPr>
              <w:t>ha).</w:t>
            </w:r>
            <w:proofErr w:type="gramEnd"/>
          </w:p>
          <w:p w14:paraId="2E71C1F8" w14:textId="77777777" w:rsidR="00EC6FA6" w:rsidRPr="009213B0" w:rsidRDefault="00EC6FA6" w:rsidP="00EC6FA6">
            <w:pPr>
              <w:tabs>
                <w:tab w:val="center" w:pos="4536"/>
                <w:tab w:val="right" w:pos="8505"/>
              </w:tabs>
              <w:spacing w:after="0"/>
              <w:rPr>
                <w:rFonts w:ascii="Calibri" w:eastAsia="Calibri" w:hAnsi="Calibri" w:cs="Arial"/>
                <w:b/>
                <w:color w:val="404040" w:themeColor="text1" w:themeTint="BF"/>
                <w:sz w:val="21"/>
                <w:szCs w:val="21"/>
              </w:rPr>
            </w:pPr>
            <w:r w:rsidRPr="009213B0">
              <w:rPr>
                <w:rFonts w:ascii="Calibri" w:eastAsia="Times New Roman" w:hAnsi="Calibri" w:cs="Times New Roman"/>
                <w:color w:val="404040" w:themeColor="text1" w:themeTint="BF"/>
                <w:sz w:val="21"/>
                <w:szCs w:val="21"/>
                <w:lang w:val="en-AU"/>
              </w:rPr>
              <w:br/>
              <w:t xml:space="preserve">The proportion is converted to a percentage value by multiplying by 100. </w:t>
            </w:r>
          </w:p>
          <w:p w14:paraId="5A53B8A7" w14:textId="5FFEBC76" w:rsidR="007F2D9F" w:rsidRPr="009F305C" w:rsidRDefault="00EC6FA6" w:rsidP="00EC6FA6">
            <w:r>
              <w:rPr>
                <w:rFonts w:ascii="Calibri" w:eastAsia="Arial" w:hAnsi="Calibri" w:cs="Times New Roman"/>
                <w:color w:val="404040" w:themeColor="text1" w:themeTint="BF"/>
                <w:sz w:val="21"/>
                <w:szCs w:val="21"/>
                <w:lang w:val="en-AU"/>
              </w:rPr>
              <w:t xml:space="preserve"> </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7B771C8B" w14:textId="77777777" w:rsidR="00262906" w:rsidRDefault="00262906" w:rsidP="00262906">
            <w:pPr>
              <w:pStyle w:val="MText"/>
              <w:rPr>
                <w:rFonts w:ascii="Calibri" w:eastAsia="Calibri" w:hAnsi="Calibri" w:cs="Arial"/>
                <w:color w:val="404040" w:themeColor="text1" w:themeTint="BF"/>
                <w:lang w:val="en-US" w:eastAsia="en-US"/>
              </w:rPr>
            </w:pPr>
            <w:r w:rsidRPr="009213B0">
              <w:rPr>
                <w:rFonts w:ascii="Calibri" w:eastAsia="Calibri" w:hAnsi="Calibri" w:cs="Arial"/>
                <w:color w:val="404040" w:themeColor="text1" w:themeTint="BF"/>
                <w:lang w:val="en-US" w:eastAsia="en-US"/>
              </w:rPr>
              <w:t>Once received, national reports will undergo a review process by the UNCCD and its partners to ensure the correct use of definitions and methodology as well as internal consistency. A comparison can be made with past assessments and other existing data sources. Regular contacts between the main reporting entity and UNCCD secretariat via a help desk system, and through regional, sub-regional, and national workshops, will form part of this review process, enable data adjustments when needed, and contribute to building national capacities. The data will then be aggregated at sub-regional, regional and global levels by the UNCCD and its partners.</w:t>
            </w:r>
          </w:p>
          <w:p w14:paraId="238EF204" w14:textId="77777777" w:rsidR="00262906" w:rsidRDefault="00262906" w:rsidP="00262906">
            <w:pPr>
              <w:pStyle w:val="MText"/>
            </w:pPr>
          </w:p>
          <w:p w14:paraId="3DE73E1F" w14:textId="77777777" w:rsidR="00262906" w:rsidRDefault="00262906" w:rsidP="00262906">
            <w:pPr>
              <w:pStyle w:val="MText"/>
            </w:pPr>
            <w:r w:rsidRPr="001C5B20">
              <w:t>By leveraging an already established reporting mechanism, this data flows and validation mechanism increases the efficiency with which UNCCD can gather data from countries. In addition, since the definitions and methodologies for reporting on SDG Indicator 15.3.1 are aligned with those adopted by the UNCCD, the reporting burden on countries and the need for harmonization/validation of the indicator values is reduced</w:t>
            </w:r>
            <w:r>
              <w:t>. Since national data and information to report on SDG Indicator 15.3.1 generally comes from outside the National Statistical Offices (NSOs), prior to submitting the data to the UN Statistical Division (UNSD), the UNCCD consults with the NSOs and requests them to review and validate the data submitted by their country as part of their national report. For those countries that have not submitted a national report, the UNCCD provides the NSOs with national estimates derived from global data sources for review and validation.</w:t>
            </w:r>
            <w:r w:rsidDel="00A82AB1">
              <w:rPr>
                <w:rStyle w:val="FootnoteReference"/>
              </w:rPr>
              <w:t xml:space="preserve"> </w:t>
            </w:r>
          </w:p>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331B549F" w:rsidR="007F2D9F" w:rsidRPr="009F305C" w:rsidRDefault="00262906" w:rsidP="009F305C">
            <w: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BEE7B98" w:rsidR="007F2D9F" w:rsidRPr="00252D6F" w:rsidRDefault="007F2D9F" w:rsidP="00252D6F">
            <w:pPr>
              <w:pStyle w:val="ListParagraph"/>
              <w:numPr>
                <w:ilvl w:val="0"/>
                <w:numId w:val="10"/>
              </w:numPr>
              <w:spacing w:after="0"/>
              <w:rPr>
                <w:rFonts w:eastAsia="Times New Roman" w:cs="Times New Roman"/>
                <w:b/>
                <w:bCs/>
                <w:color w:val="4A4A4A"/>
                <w:sz w:val="21"/>
                <w:szCs w:val="21"/>
                <w:lang w:eastAsia="en-GB"/>
              </w:rPr>
            </w:p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6580BED3" w14:textId="77777777" w:rsidR="00BC4589" w:rsidRPr="009213B0" w:rsidRDefault="00BC4589" w:rsidP="00BC4589">
            <w:pPr>
              <w:spacing w:after="0"/>
              <w:rPr>
                <w:rFonts w:ascii="Calibri" w:eastAsia="Calibri" w:hAnsi="Calibri" w:cs="Arial"/>
                <w:color w:val="404040" w:themeColor="text1" w:themeTint="BF"/>
                <w:sz w:val="21"/>
                <w:szCs w:val="21"/>
              </w:rPr>
            </w:pPr>
            <w:r w:rsidRPr="009213B0">
              <w:rPr>
                <w:rFonts w:ascii="Calibri" w:eastAsia="Calibri" w:hAnsi="Calibri" w:cs="Arial"/>
                <w:color w:val="404040" w:themeColor="text1" w:themeTint="BF"/>
                <w:sz w:val="21"/>
                <w:szCs w:val="21"/>
              </w:rPr>
              <w:t>The indicator can be aggregated to the regional and global level by summing the spatial extent of land that is degraded over total land area for all countries reporting in a specific region or globally.</w:t>
            </w:r>
          </w:p>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E5A924B" w14:textId="77777777" w:rsidR="00BC0210" w:rsidRPr="009213B0" w:rsidRDefault="00BC0210" w:rsidP="00BC0210">
            <w:pPr>
              <w:rPr>
                <w:rFonts w:ascii="Calibri" w:eastAsia="Calibri" w:hAnsi="Calibri" w:cs="Arial"/>
                <w:color w:val="404040" w:themeColor="text1" w:themeTint="BF"/>
                <w:sz w:val="21"/>
                <w:szCs w:val="21"/>
              </w:rPr>
            </w:pPr>
            <w:r w:rsidRPr="009213B0">
              <w:rPr>
                <w:rFonts w:ascii="Calibri" w:eastAsia="Calibri" w:hAnsi="Calibri" w:cs="Arial"/>
                <w:color w:val="404040" w:themeColor="text1" w:themeTint="BF"/>
                <w:sz w:val="21"/>
                <w:szCs w:val="21"/>
              </w:rPr>
              <w:t>All data are provided to UNCCD by countries in the form of a national report following a standard reporting template,</w:t>
            </w:r>
            <w:r w:rsidRPr="009213B0">
              <w:rPr>
                <w:rFonts w:ascii="Calibri" w:eastAsia="Calibri" w:hAnsi="Calibri" w:cs="Arial"/>
                <w:color w:val="404040" w:themeColor="text1" w:themeTint="BF"/>
                <w:vertAlign w:val="superscript"/>
              </w:rPr>
              <w:footnoteReference w:id="15"/>
            </w:r>
            <w:r w:rsidRPr="009213B0">
              <w:rPr>
                <w:rFonts w:ascii="Calibri" w:eastAsia="Calibri" w:hAnsi="Calibri" w:cs="Arial"/>
                <w:color w:val="404040" w:themeColor="text1" w:themeTint="BF"/>
                <w:sz w:val="21"/>
                <w:szCs w:val="21"/>
              </w:rPr>
              <w:t xml:space="preserve"> which includes the quantitative data for the indicator and sub-indicators as well as a qualitative assessment of indicator trends. The reporting template ensures that countries provide the full reference for original data sources as well as national definitions and methodology.</w:t>
            </w:r>
          </w:p>
          <w:p w14:paraId="43AAFADF" w14:textId="77777777" w:rsidR="00BC0210" w:rsidRPr="009213B0" w:rsidRDefault="00BC0210" w:rsidP="00BC0210">
            <w:pPr>
              <w:spacing w:after="0"/>
              <w:rPr>
                <w:rFonts w:ascii="Calibri" w:eastAsia="Calibri" w:hAnsi="Calibri" w:cs="Arial"/>
                <w:color w:val="404040" w:themeColor="text1" w:themeTint="BF"/>
                <w:sz w:val="21"/>
                <w:szCs w:val="21"/>
              </w:rPr>
            </w:pPr>
            <w:r w:rsidRPr="009213B0">
              <w:rPr>
                <w:rFonts w:ascii="Calibri" w:eastAsia="Calibri" w:hAnsi="Calibri" w:cs="Arial"/>
                <w:color w:val="404040" w:themeColor="text1" w:themeTint="BF"/>
                <w:sz w:val="21"/>
                <w:szCs w:val="21"/>
              </w:rPr>
              <w:t>Detailed guidance on how to prepare the country reports and how to compute the indicator and sub-indicators is contained in the UNCCD reporting manual</w:t>
            </w:r>
            <w:r>
              <w:rPr>
                <w:rStyle w:val="FootnoteReference"/>
                <w:rFonts w:ascii="Calibri" w:eastAsia="Calibri" w:hAnsi="Calibri" w:cs="Arial"/>
                <w:color w:val="404040" w:themeColor="text1" w:themeTint="BF"/>
                <w:sz w:val="21"/>
                <w:szCs w:val="21"/>
              </w:rPr>
              <w:footnoteReference w:id="16"/>
            </w:r>
            <w:r w:rsidRPr="009213B0">
              <w:rPr>
                <w:rFonts w:ascii="Calibri" w:eastAsia="Calibri" w:hAnsi="Calibri" w:cs="Arial"/>
                <w:color w:val="404040" w:themeColor="text1" w:themeTint="BF"/>
                <w:sz w:val="21"/>
                <w:szCs w:val="21"/>
              </w:rPr>
              <w:t xml:space="preserve"> and in the </w:t>
            </w:r>
            <w:r w:rsidRPr="009213B0">
              <w:rPr>
                <w:rFonts w:ascii="Calibri" w:eastAsia="Arial" w:hAnsi="Calibri" w:cs="Times New Roman"/>
                <w:color w:val="404040" w:themeColor="text1" w:themeTint="BF"/>
                <w:sz w:val="21"/>
                <w:szCs w:val="21"/>
                <w:lang w:val="en-AU"/>
              </w:rPr>
              <w:t>Good Practice Guidance for SDG indicator 15.3.1,</w:t>
            </w:r>
            <w:r w:rsidRPr="009213B0">
              <w:rPr>
                <w:rFonts w:ascii="Calibri" w:eastAsia="Arial" w:hAnsi="Calibri" w:cs="Arial"/>
                <w:color w:val="404040" w:themeColor="text1" w:themeTint="BF"/>
                <w:vertAlign w:val="superscript"/>
                <w:lang w:val="en-AU"/>
              </w:rPr>
              <w:footnoteReference w:id="17"/>
            </w:r>
            <w:r w:rsidRPr="009213B0">
              <w:rPr>
                <w:rFonts w:ascii="Calibri" w:eastAsia="Arial" w:hAnsi="Calibri" w:cs="Times New Roman"/>
                <w:color w:val="404040" w:themeColor="text1" w:themeTint="BF"/>
                <w:sz w:val="21"/>
                <w:szCs w:val="21"/>
                <w:lang w:val="en-AU"/>
              </w:rPr>
              <w:t xml:space="preserve"> respectively.</w:t>
            </w:r>
            <w:r w:rsidRPr="009213B0">
              <w:rPr>
                <w:rFonts w:ascii="Calibri" w:eastAsia="Calibri" w:hAnsi="Calibri" w:cs="Arial"/>
                <w:color w:val="404040" w:themeColor="text1" w:themeTint="BF"/>
                <w:sz w:val="21"/>
                <w:szCs w:val="21"/>
                <w:lang w:val="en-AU"/>
              </w:rPr>
              <w:t xml:space="preserve">  </w:t>
            </w:r>
          </w:p>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654F346C" w:rsidR="007F2D9F" w:rsidRPr="009F305C" w:rsidRDefault="00B61682" w:rsidP="009F305C">
            <w:r>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5478B86B" w14:textId="77777777" w:rsidR="00B61682" w:rsidRDefault="00B61682" w:rsidP="00B61682">
            <w:pPr>
              <w:jc w:val="both"/>
            </w:pPr>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3647B2D8" w:rsidR="007F2D9F" w:rsidRPr="009F305C" w:rsidRDefault="00B61682" w:rsidP="00B61682">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5E02B6BA" w:rsidR="007F2D9F" w:rsidRPr="009F305C" w:rsidRDefault="00B61682" w:rsidP="009F305C">
            <w: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4A793A1D" w:rsidR="00776312" w:rsidRPr="009F305C" w:rsidRDefault="008C31BC" w:rsidP="008824C8">
            <w:r>
              <w:t xml:space="preserve">Data is available </w:t>
            </w:r>
            <w:r w:rsidR="00246C8C">
              <w:t xml:space="preserve">for 2017, 2018, 2019, 2020, 2021, 2022 at </w:t>
            </w:r>
            <w:r>
              <w:t>National level</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DC56B52" w:rsidR="006A7EF1" w:rsidRPr="009F305C" w:rsidRDefault="008C31BC" w:rsidP="009F305C">
            <w:r>
              <w:t>Not applicable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F93D718" w14:textId="77777777" w:rsidR="0067384D" w:rsidRPr="00982FC9" w:rsidRDefault="0067384D" w:rsidP="0067384D">
            <w:pPr>
              <w:spacing w:after="0"/>
              <w:rPr>
                <w:b/>
                <w:bCs/>
                <w:sz w:val="21"/>
                <w:szCs w:val="21"/>
              </w:rPr>
            </w:pPr>
            <w:r w:rsidRPr="00840842">
              <w:rPr>
                <w:b/>
                <w:bCs/>
                <w:sz w:val="21"/>
                <w:szCs w:val="21"/>
              </w:rPr>
              <w:t>URL:</w:t>
            </w:r>
          </w:p>
          <w:p w14:paraId="55AF7222" w14:textId="77777777" w:rsidR="0067384D" w:rsidRPr="00840842" w:rsidRDefault="0067384D" w:rsidP="0067384D">
            <w:pPr>
              <w:spacing w:after="0" w:line="240" w:lineRule="auto"/>
              <w:rPr>
                <w:sz w:val="21"/>
                <w:szCs w:val="21"/>
              </w:rPr>
            </w:pPr>
            <w:r w:rsidRPr="00A930C0">
              <w:rPr>
                <w:color w:val="000000" w:themeColor="text1"/>
                <w:sz w:val="21"/>
                <w:szCs w:val="21"/>
              </w:rPr>
              <w:t xml:space="preserve">PRAIS 4 portal, </w:t>
            </w:r>
            <w:r w:rsidRPr="00840842">
              <w:rPr>
                <w:sz w:val="21"/>
                <w:szCs w:val="21"/>
              </w:rPr>
              <w:t xml:space="preserve">data collection tool for SDG 15.3.1: </w:t>
            </w:r>
            <w:hyperlink r:id="rId21" w:history="1">
              <w:r w:rsidRPr="00840842">
                <w:rPr>
                  <w:rStyle w:val="Hyperlink"/>
                </w:rPr>
                <w:t>https://reporting.unccd.int/</w:t>
              </w:r>
            </w:hyperlink>
            <w:r w:rsidRPr="00840842">
              <w:rPr>
                <w:sz w:val="21"/>
                <w:szCs w:val="21"/>
              </w:rPr>
              <w:t xml:space="preserve"> </w:t>
            </w:r>
          </w:p>
          <w:p w14:paraId="46BA67F4" w14:textId="77777777" w:rsidR="0067384D" w:rsidRPr="00982FC9" w:rsidRDefault="0067384D" w:rsidP="0067384D">
            <w:pPr>
              <w:spacing w:after="0"/>
              <w:rPr>
                <w:sz w:val="21"/>
                <w:szCs w:val="21"/>
              </w:rPr>
            </w:pPr>
          </w:p>
          <w:p w14:paraId="7832E12A" w14:textId="77777777" w:rsidR="0067384D" w:rsidRPr="00840842" w:rsidRDefault="0067384D" w:rsidP="0067384D">
            <w:pPr>
              <w:spacing w:after="0"/>
              <w:rPr>
                <w:sz w:val="21"/>
                <w:szCs w:val="21"/>
              </w:rPr>
            </w:pPr>
            <w:proofErr w:type="spellStart"/>
            <w:r w:rsidRPr="00840842">
              <w:rPr>
                <w:sz w:val="21"/>
                <w:szCs w:val="21"/>
              </w:rPr>
              <w:t>Trends.Earth</w:t>
            </w:r>
            <w:proofErr w:type="spellEnd"/>
            <w:r w:rsidRPr="00840842">
              <w:rPr>
                <w:sz w:val="21"/>
                <w:szCs w:val="21"/>
              </w:rPr>
              <w:t xml:space="preserve">, data calculation tool for SDG 15.3.1: </w:t>
            </w:r>
            <w:hyperlink r:id="rId22" w:history="1">
              <w:r w:rsidRPr="00840842">
                <w:rPr>
                  <w:rStyle w:val="Hyperlink"/>
                </w:rPr>
                <w:t>https://trends.earth/docs/en/</w:t>
              </w:r>
            </w:hyperlink>
          </w:p>
          <w:p w14:paraId="52F50D2E" w14:textId="77777777" w:rsidR="0067384D" w:rsidRPr="003D0F19" w:rsidRDefault="0067384D" w:rsidP="0067384D">
            <w:pPr>
              <w:pStyle w:val="FootnoteText"/>
              <w:rPr>
                <w:color w:val="404040" w:themeColor="text1" w:themeTint="BF"/>
                <w:sz w:val="21"/>
                <w:szCs w:val="21"/>
              </w:rPr>
            </w:pPr>
          </w:p>
          <w:p w14:paraId="1E07808B" w14:textId="77777777" w:rsidR="0067384D" w:rsidRDefault="0067384D" w:rsidP="0067384D">
            <w:pPr>
              <w:pStyle w:val="FootnoteText"/>
              <w:rPr>
                <w:color w:val="000000" w:themeColor="text1"/>
                <w:sz w:val="21"/>
                <w:szCs w:val="21"/>
              </w:rPr>
            </w:pPr>
            <w:r w:rsidRPr="006062C0">
              <w:rPr>
                <w:b/>
                <w:bCs/>
                <w:sz w:val="21"/>
                <w:szCs w:val="21"/>
              </w:rPr>
              <w:t>References</w:t>
            </w:r>
            <w:r>
              <w:rPr>
                <w:color w:val="000000" w:themeColor="text1"/>
                <w:sz w:val="21"/>
                <w:szCs w:val="21"/>
              </w:rPr>
              <w:t>:</w:t>
            </w:r>
          </w:p>
          <w:p w14:paraId="20DB1E61" w14:textId="77777777" w:rsidR="0067384D" w:rsidRPr="000F69DA" w:rsidRDefault="0067384D" w:rsidP="0067384D">
            <w:pPr>
              <w:pStyle w:val="FootnoteText"/>
              <w:rPr>
                <w:color w:val="000000" w:themeColor="text1"/>
                <w:sz w:val="21"/>
                <w:szCs w:val="21"/>
              </w:rPr>
            </w:pPr>
            <w:r w:rsidRPr="000F69DA">
              <w:rPr>
                <w:color w:val="000000" w:themeColor="text1"/>
                <w:sz w:val="21"/>
                <w:szCs w:val="21"/>
              </w:rPr>
              <w:t>Di Gregorio, A. 2005. Land cover classification system (LCCS): classification concepts and user manual. Food and Agriculture Organization of the United Nations, Rome.</w:t>
            </w:r>
          </w:p>
          <w:p w14:paraId="11292677" w14:textId="77777777" w:rsidR="0067384D" w:rsidRPr="000F69DA" w:rsidRDefault="0067384D" w:rsidP="0067384D">
            <w:pPr>
              <w:pStyle w:val="FootnoteText"/>
              <w:rPr>
                <w:color w:val="000000" w:themeColor="text1"/>
                <w:sz w:val="21"/>
                <w:szCs w:val="21"/>
              </w:rPr>
            </w:pPr>
          </w:p>
          <w:p w14:paraId="72B551AF" w14:textId="77777777" w:rsidR="0067384D" w:rsidRDefault="0067384D" w:rsidP="0067384D">
            <w:pPr>
              <w:shd w:val="clear" w:color="auto" w:fill="FFFFFF"/>
              <w:spacing w:after="0"/>
              <w:rPr>
                <w:rStyle w:val="Hyperlink"/>
              </w:rPr>
            </w:pPr>
            <w:r w:rsidRPr="000F69DA">
              <w:rPr>
                <w:color w:val="000000" w:themeColor="text1"/>
              </w:rPr>
              <w:t xml:space="preserve">European Communities. (2013). Overall Approach to the Classification of Ecological Status and Ecological Potential, Guidance Document No 13. Luxembourg: European Union. </w:t>
            </w:r>
            <w:hyperlink r:id="rId23" w:history="1">
              <w:r w:rsidRPr="00216806">
                <w:rPr>
                  <w:rStyle w:val="Hyperlink"/>
                </w:rPr>
                <w:t>https://circabc.europa.eu/sd/a/06480e87-27a6-41e6-b165-0581c2b046ad/Guidance%20No%2013%20-%20Classification%20of%20Ecological%20Status%20(WG%20A).pdf</w:t>
              </w:r>
            </w:hyperlink>
          </w:p>
          <w:p w14:paraId="310B9818" w14:textId="77777777" w:rsidR="0067384D" w:rsidRPr="000F69DA" w:rsidRDefault="0067384D" w:rsidP="0067384D">
            <w:pPr>
              <w:shd w:val="clear" w:color="auto" w:fill="FFFFFF"/>
              <w:spacing w:after="0"/>
              <w:rPr>
                <w:color w:val="000000" w:themeColor="text1"/>
                <w:sz w:val="21"/>
                <w:szCs w:val="21"/>
              </w:rPr>
            </w:pPr>
          </w:p>
          <w:p w14:paraId="24D68B64" w14:textId="77777777" w:rsidR="0067384D" w:rsidRPr="000F69DA" w:rsidRDefault="0067384D" w:rsidP="0067384D">
            <w:pPr>
              <w:pStyle w:val="FootnoteText"/>
              <w:rPr>
                <w:color w:val="000000" w:themeColor="text1"/>
                <w:sz w:val="21"/>
                <w:szCs w:val="21"/>
              </w:rPr>
            </w:pPr>
            <w:r w:rsidRPr="000F69DA">
              <w:rPr>
                <w:color w:val="000000" w:themeColor="text1"/>
                <w:sz w:val="21"/>
                <w:szCs w:val="21"/>
              </w:rPr>
              <w:t>FAO-GTOS. 2009. Land Cover: Assessment of the status of the development of the standards for the Terrestrial Essential Climate Variables. Global Terrestrial Observing System, Rome.</w:t>
            </w:r>
          </w:p>
          <w:p w14:paraId="55AE376B" w14:textId="77777777" w:rsidR="0067384D" w:rsidRPr="000F69DA" w:rsidRDefault="0067384D" w:rsidP="0067384D">
            <w:pPr>
              <w:pStyle w:val="FootnoteText"/>
              <w:rPr>
                <w:color w:val="000000" w:themeColor="text1"/>
                <w:sz w:val="21"/>
                <w:szCs w:val="21"/>
              </w:rPr>
            </w:pPr>
          </w:p>
          <w:p w14:paraId="1790F7A3" w14:textId="77777777" w:rsidR="0067384D" w:rsidRPr="00A930C0" w:rsidRDefault="0067384D" w:rsidP="0067384D">
            <w:pPr>
              <w:pStyle w:val="FootnoteText"/>
              <w:rPr>
                <w:color w:val="000000" w:themeColor="text1"/>
                <w:sz w:val="21"/>
                <w:szCs w:val="21"/>
              </w:rPr>
            </w:pPr>
            <w:r w:rsidRPr="00A930C0">
              <w:rPr>
                <w:color w:val="000000" w:themeColor="text1"/>
                <w:sz w:val="21"/>
                <w:szCs w:val="21"/>
              </w:rPr>
              <w:t xml:space="preserve">IPCC. 2006. IPCC Guidelines for National Greenhouse Gas Inventories: Agriculture, Forestry and other Land Use. Prepared by the National Greenhouse Gas Inventories Programme: Eggleston H.S., </w:t>
            </w:r>
            <w:proofErr w:type="spellStart"/>
            <w:r w:rsidRPr="00A930C0">
              <w:rPr>
                <w:color w:val="000000" w:themeColor="text1"/>
                <w:sz w:val="21"/>
                <w:szCs w:val="21"/>
              </w:rPr>
              <w:t>Buendia</w:t>
            </w:r>
            <w:proofErr w:type="spellEnd"/>
            <w:r w:rsidRPr="00A930C0">
              <w:rPr>
                <w:color w:val="000000" w:themeColor="text1"/>
                <w:sz w:val="21"/>
                <w:szCs w:val="21"/>
              </w:rPr>
              <w:t xml:space="preserve"> L., Miwa K., </w:t>
            </w:r>
            <w:proofErr w:type="spellStart"/>
            <w:r w:rsidRPr="00A930C0">
              <w:rPr>
                <w:color w:val="000000" w:themeColor="text1"/>
                <w:sz w:val="21"/>
                <w:szCs w:val="21"/>
              </w:rPr>
              <w:t>Ngara</w:t>
            </w:r>
            <w:proofErr w:type="spellEnd"/>
            <w:r w:rsidRPr="00A930C0">
              <w:rPr>
                <w:color w:val="000000" w:themeColor="text1"/>
                <w:sz w:val="21"/>
                <w:szCs w:val="21"/>
              </w:rPr>
              <w:t xml:space="preserve"> T. and Tanabe K. (</w:t>
            </w:r>
            <w:proofErr w:type="spellStart"/>
            <w:r w:rsidRPr="00A930C0">
              <w:rPr>
                <w:color w:val="000000" w:themeColor="text1"/>
                <w:sz w:val="21"/>
                <w:szCs w:val="21"/>
              </w:rPr>
              <w:t>eds</w:t>
            </w:r>
            <w:proofErr w:type="spellEnd"/>
            <w:r w:rsidRPr="00A930C0">
              <w:rPr>
                <w:color w:val="000000" w:themeColor="text1"/>
                <w:sz w:val="21"/>
                <w:szCs w:val="21"/>
              </w:rPr>
              <w:t>). IGES, Japan.</w:t>
            </w:r>
          </w:p>
          <w:p w14:paraId="2F78F40B" w14:textId="77777777" w:rsidR="0067384D" w:rsidRPr="00A930C0" w:rsidRDefault="0067384D" w:rsidP="0067384D">
            <w:pPr>
              <w:pStyle w:val="FootnoteText"/>
              <w:rPr>
                <w:color w:val="000000" w:themeColor="text1"/>
                <w:sz w:val="21"/>
                <w:szCs w:val="21"/>
              </w:rPr>
            </w:pPr>
          </w:p>
          <w:p w14:paraId="4E371CF1" w14:textId="77777777" w:rsidR="0067384D" w:rsidRPr="00A930C0" w:rsidRDefault="0067384D" w:rsidP="0067384D">
            <w:pPr>
              <w:autoSpaceDE w:val="0"/>
              <w:autoSpaceDN w:val="0"/>
              <w:adjustRightInd w:val="0"/>
              <w:spacing w:after="0" w:line="240" w:lineRule="auto"/>
              <w:rPr>
                <w:rFonts w:cstheme="minorHAnsi"/>
                <w:color w:val="000000" w:themeColor="text1"/>
                <w:sz w:val="21"/>
                <w:szCs w:val="21"/>
              </w:rPr>
            </w:pPr>
            <w:r w:rsidRPr="00A930C0">
              <w:rPr>
                <w:rFonts w:cstheme="minorHAnsi"/>
                <w:color w:val="000000" w:themeColor="text1"/>
                <w:sz w:val="21"/>
                <w:szCs w:val="21"/>
              </w:rPr>
              <w:t>IPCC. 2019</w:t>
            </w:r>
            <w:r w:rsidRPr="00A930C0">
              <w:rPr>
                <w:rFonts w:cstheme="minorHAnsi"/>
                <w:i/>
                <w:iCs/>
                <w:color w:val="000000" w:themeColor="text1"/>
                <w:sz w:val="21"/>
                <w:szCs w:val="21"/>
              </w:rPr>
              <w:t xml:space="preserve">. </w:t>
            </w:r>
            <w:r w:rsidRPr="00A930C0">
              <w:rPr>
                <w:rFonts w:cstheme="minorHAnsi"/>
                <w:color w:val="000000" w:themeColor="text1"/>
                <w:sz w:val="21"/>
                <w:szCs w:val="21"/>
              </w:rPr>
              <w:t xml:space="preserve">Refinement to the 2006 IPCC Guidelines for National Greenhouse Gas Inventories. In: </w:t>
            </w:r>
            <w:proofErr w:type="spellStart"/>
            <w:r w:rsidRPr="00A930C0">
              <w:rPr>
                <w:rFonts w:cstheme="minorHAnsi"/>
                <w:color w:val="000000" w:themeColor="text1"/>
                <w:sz w:val="21"/>
                <w:szCs w:val="21"/>
              </w:rPr>
              <w:t>Buendia</w:t>
            </w:r>
            <w:proofErr w:type="spellEnd"/>
            <w:r w:rsidRPr="00A930C0">
              <w:rPr>
                <w:rFonts w:cstheme="minorHAnsi"/>
                <w:i/>
                <w:iCs/>
                <w:color w:val="000000" w:themeColor="text1"/>
                <w:sz w:val="21"/>
                <w:szCs w:val="21"/>
              </w:rPr>
              <w:t xml:space="preserve">, </w:t>
            </w:r>
            <w:r w:rsidRPr="00A930C0">
              <w:rPr>
                <w:rFonts w:cstheme="minorHAnsi"/>
                <w:color w:val="000000" w:themeColor="text1"/>
                <w:sz w:val="21"/>
                <w:szCs w:val="21"/>
              </w:rPr>
              <w:t>E</w:t>
            </w:r>
            <w:r w:rsidRPr="00A930C0">
              <w:rPr>
                <w:rFonts w:cstheme="minorHAnsi"/>
                <w:i/>
                <w:iCs/>
                <w:color w:val="000000" w:themeColor="text1"/>
                <w:sz w:val="21"/>
                <w:szCs w:val="21"/>
              </w:rPr>
              <w:t>.</w:t>
            </w:r>
            <w:r w:rsidRPr="00A930C0">
              <w:rPr>
                <w:rFonts w:cstheme="minorHAnsi"/>
                <w:color w:val="000000" w:themeColor="text1"/>
                <w:sz w:val="21"/>
                <w:szCs w:val="21"/>
              </w:rPr>
              <w:t>, Tanabe</w:t>
            </w:r>
            <w:r w:rsidRPr="00A930C0">
              <w:rPr>
                <w:rFonts w:cstheme="minorHAnsi"/>
                <w:i/>
                <w:iCs/>
                <w:color w:val="000000" w:themeColor="text1"/>
                <w:sz w:val="21"/>
                <w:szCs w:val="21"/>
              </w:rPr>
              <w:t>,</w:t>
            </w:r>
            <w:r w:rsidRPr="00A930C0">
              <w:rPr>
                <w:rFonts w:cstheme="minorHAnsi"/>
                <w:color w:val="000000" w:themeColor="text1"/>
                <w:sz w:val="21"/>
                <w:szCs w:val="21"/>
              </w:rPr>
              <w:t xml:space="preserve"> K</w:t>
            </w:r>
            <w:r w:rsidRPr="00A930C0">
              <w:rPr>
                <w:rFonts w:cstheme="minorHAnsi"/>
                <w:i/>
                <w:iCs/>
                <w:color w:val="000000" w:themeColor="text1"/>
                <w:sz w:val="21"/>
                <w:szCs w:val="21"/>
              </w:rPr>
              <w:t>.</w:t>
            </w:r>
            <w:r w:rsidRPr="00A930C0">
              <w:rPr>
                <w:rFonts w:cstheme="minorHAnsi"/>
                <w:color w:val="000000" w:themeColor="text1"/>
                <w:sz w:val="21"/>
                <w:szCs w:val="21"/>
              </w:rPr>
              <w:t xml:space="preserve">, </w:t>
            </w:r>
            <w:proofErr w:type="spellStart"/>
            <w:r w:rsidRPr="00A930C0">
              <w:rPr>
                <w:rFonts w:cstheme="minorHAnsi"/>
                <w:color w:val="000000" w:themeColor="text1"/>
                <w:sz w:val="21"/>
                <w:szCs w:val="21"/>
              </w:rPr>
              <w:t>Kranjc</w:t>
            </w:r>
            <w:proofErr w:type="spellEnd"/>
            <w:r w:rsidRPr="00A930C0">
              <w:rPr>
                <w:rFonts w:cstheme="minorHAnsi"/>
                <w:i/>
                <w:iCs/>
                <w:color w:val="000000" w:themeColor="text1"/>
                <w:sz w:val="21"/>
                <w:szCs w:val="21"/>
              </w:rPr>
              <w:t xml:space="preserve">, </w:t>
            </w:r>
            <w:r w:rsidRPr="00A930C0">
              <w:rPr>
                <w:rFonts w:cstheme="minorHAnsi"/>
                <w:color w:val="000000" w:themeColor="text1"/>
                <w:sz w:val="21"/>
                <w:szCs w:val="21"/>
              </w:rPr>
              <w:t>A</w:t>
            </w:r>
            <w:r w:rsidRPr="00A930C0">
              <w:rPr>
                <w:rFonts w:cstheme="minorHAnsi"/>
                <w:i/>
                <w:iCs/>
                <w:color w:val="000000" w:themeColor="text1"/>
                <w:sz w:val="21"/>
                <w:szCs w:val="21"/>
              </w:rPr>
              <w:t>.</w:t>
            </w:r>
            <w:r w:rsidRPr="00A930C0">
              <w:rPr>
                <w:rFonts w:cstheme="minorHAnsi"/>
                <w:color w:val="000000" w:themeColor="text1"/>
                <w:sz w:val="21"/>
                <w:szCs w:val="21"/>
              </w:rPr>
              <w:t xml:space="preserve">, </w:t>
            </w:r>
            <w:proofErr w:type="spellStart"/>
            <w:r w:rsidRPr="00A930C0">
              <w:rPr>
                <w:rFonts w:cstheme="minorHAnsi"/>
                <w:color w:val="000000" w:themeColor="text1"/>
                <w:sz w:val="21"/>
                <w:szCs w:val="21"/>
              </w:rPr>
              <w:t>Baasansuren</w:t>
            </w:r>
            <w:proofErr w:type="spellEnd"/>
            <w:r w:rsidRPr="00A930C0">
              <w:rPr>
                <w:rFonts w:cstheme="minorHAnsi"/>
                <w:i/>
                <w:iCs/>
                <w:color w:val="000000" w:themeColor="text1"/>
                <w:sz w:val="21"/>
                <w:szCs w:val="21"/>
              </w:rPr>
              <w:t xml:space="preserve">, </w:t>
            </w:r>
            <w:r w:rsidRPr="00A930C0">
              <w:rPr>
                <w:rFonts w:cstheme="minorHAnsi"/>
                <w:color w:val="000000" w:themeColor="text1"/>
                <w:sz w:val="21"/>
                <w:szCs w:val="21"/>
              </w:rPr>
              <w:t>J</w:t>
            </w:r>
            <w:r w:rsidRPr="00A930C0">
              <w:rPr>
                <w:rFonts w:cstheme="minorHAnsi"/>
                <w:i/>
                <w:iCs/>
                <w:color w:val="000000" w:themeColor="text1"/>
                <w:sz w:val="21"/>
                <w:szCs w:val="21"/>
              </w:rPr>
              <w:t>.</w:t>
            </w:r>
            <w:r w:rsidRPr="00A930C0">
              <w:rPr>
                <w:rFonts w:cstheme="minorHAnsi"/>
                <w:color w:val="000000" w:themeColor="text1"/>
                <w:sz w:val="21"/>
                <w:szCs w:val="21"/>
              </w:rPr>
              <w:t>, Fukuda</w:t>
            </w:r>
            <w:r w:rsidRPr="00A930C0">
              <w:rPr>
                <w:rFonts w:cstheme="minorHAnsi"/>
                <w:i/>
                <w:iCs/>
                <w:color w:val="000000" w:themeColor="text1"/>
                <w:sz w:val="21"/>
                <w:szCs w:val="21"/>
              </w:rPr>
              <w:t xml:space="preserve">, </w:t>
            </w:r>
            <w:r w:rsidRPr="00A930C0">
              <w:rPr>
                <w:rFonts w:cstheme="minorHAnsi"/>
                <w:color w:val="000000" w:themeColor="text1"/>
                <w:sz w:val="21"/>
                <w:szCs w:val="21"/>
              </w:rPr>
              <w:t>M</w:t>
            </w:r>
            <w:r w:rsidRPr="00A930C0">
              <w:rPr>
                <w:rFonts w:cstheme="minorHAnsi"/>
                <w:i/>
                <w:iCs/>
                <w:color w:val="000000" w:themeColor="text1"/>
                <w:sz w:val="21"/>
                <w:szCs w:val="21"/>
              </w:rPr>
              <w:t>.</w:t>
            </w:r>
            <w:r w:rsidRPr="00A930C0">
              <w:rPr>
                <w:rFonts w:cstheme="minorHAnsi"/>
                <w:color w:val="000000" w:themeColor="text1"/>
                <w:sz w:val="21"/>
                <w:szCs w:val="21"/>
              </w:rPr>
              <w:t xml:space="preserve">, </w:t>
            </w:r>
            <w:proofErr w:type="spellStart"/>
            <w:r w:rsidRPr="00A930C0">
              <w:rPr>
                <w:rFonts w:cstheme="minorHAnsi"/>
                <w:color w:val="000000" w:themeColor="text1"/>
                <w:sz w:val="21"/>
                <w:szCs w:val="21"/>
              </w:rPr>
              <w:t>Ngarize</w:t>
            </w:r>
            <w:proofErr w:type="spellEnd"/>
            <w:r w:rsidRPr="00A930C0">
              <w:rPr>
                <w:rFonts w:cstheme="minorHAnsi"/>
                <w:i/>
                <w:iCs/>
                <w:color w:val="000000" w:themeColor="text1"/>
                <w:sz w:val="21"/>
                <w:szCs w:val="21"/>
              </w:rPr>
              <w:t xml:space="preserve">, </w:t>
            </w:r>
            <w:r w:rsidRPr="00A930C0">
              <w:rPr>
                <w:rFonts w:cstheme="minorHAnsi"/>
                <w:color w:val="000000" w:themeColor="text1"/>
                <w:sz w:val="21"/>
                <w:szCs w:val="21"/>
              </w:rPr>
              <w:t>S</w:t>
            </w:r>
            <w:r w:rsidRPr="00A930C0">
              <w:rPr>
                <w:rFonts w:cstheme="minorHAnsi"/>
                <w:i/>
                <w:iCs/>
                <w:color w:val="000000" w:themeColor="text1"/>
                <w:sz w:val="21"/>
                <w:szCs w:val="21"/>
              </w:rPr>
              <w:t>.</w:t>
            </w:r>
            <w:r w:rsidRPr="00A930C0">
              <w:rPr>
                <w:rFonts w:cstheme="minorHAnsi"/>
                <w:color w:val="000000" w:themeColor="text1"/>
                <w:sz w:val="21"/>
                <w:szCs w:val="21"/>
              </w:rPr>
              <w:t>, Osako</w:t>
            </w:r>
            <w:r w:rsidRPr="00A930C0">
              <w:rPr>
                <w:rFonts w:cstheme="minorHAnsi"/>
                <w:i/>
                <w:iCs/>
                <w:color w:val="000000" w:themeColor="text1"/>
                <w:sz w:val="21"/>
                <w:szCs w:val="21"/>
              </w:rPr>
              <w:t xml:space="preserve">, </w:t>
            </w:r>
            <w:r w:rsidRPr="00A930C0">
              <w:rPr>
                <w:rFonts w:cstheme="minorHAnsi"/>
                <w:color w:val="000000" w:themeColor="text1"/>
                <w:sz w:val="21"/>
                <w:szCs w:val="21"/>
              </w:rPr>
              <w:t>A</w:t>
            </w:r>
            <w:r w:rsidRPr="00A930C0">
              <w:rPr>
                <w:rFonts w:cstheme="minorHAnsi"/>
                <w:i/>
                <w:iCs/>
                <w:color w:val="000000" w:themeColor="text1"/>
                <w:sz w:val="21"/>
                <w:szCs w:val="21"/>
              </w:rPr>
              <w:t>.</w:t>
            </w:r>
            <w:r w:rsidRPr="00A930C0">
              <w:rPr>
                <w:rFonts w:cstheme="minorHAnsi"/>
                <w:color w:val="000000" w:themeColor="text1"/>
                <w:sz w:val="21"/>
                <w:szCs w:val="21"/>
              </w:rPr>
              <w:t xml:space="preserve">, </w:t>
            </w:r>
            <w:proofErr w:type="spellStart"/>
            <w:r w:rsidRPr="00A930C0">
              <w:rPr>
                <w:rFonts w:cstheme="minorHAnsi"/>
                <w:color w:val="000000" w:themeColor="text1"/>
                <w:sz w:val="21"/>
                <w:szCs w:val="21"/>
              </w:rPr>
              <w:t>Pyrozhenko</w:t>
            </w:r>
            <w:proofErr w:type="spellEnd"/>
            <w:r w:rsidRPr="00A930C0">
              <w:rPr>
                <w:rFonts w:cstheme="minorHAnsi"/>
                <w:i/>
                <w:iCs/>
                <w:color w:val="000000" w:themeColor="text1"/>
                <w:sz w:val="21"/>
                <w:szCs w:val="21"/>
              </w:rPr>
              <w:t xml:space="preserve">, </w:t>
            </w:r>
            <w:r w:rsidRPr="00A930C0">
              <w:rPr>
                <w:rFonts w:cstheme="minorHAnsi"/>
                <w:color w:val="000000" w:themeColor="text1"/>
                <w:sz w:val="21"/>
                <w:szCs w:val="21"/>
              </w:rPr>
              <w:t>Y</w:t>
            </w:r>
            <w:r w:rsidRPr="00A930C0">
              <w:rPr>
                <w:rFonts w:cstheme="minorHAnsi"/>
                <w:i/>
                <w:iCs/>
                <w:color w:val="000000" w:themeColor="text1"/>
                <w:sz w:val="21"/>
                <w:szCs w:val="21"/>
              </w:rPr>
              <w:t>.</w:t>
            </w:r>
            <w:r w:rsidRPr="00A930C0">
              <w:rPr>
                <w:rFonts w:cstheme="minorHAnsi"/>
                <w:color w:val="000000" w:themeColor="text1"/>
                <w:sz w:val="21"/>
                <w:szCs w:val="21"/>
              </w:rPr>
              <w:t xml:space="preserve">, </w:t>
            </w:r>
            <w:proofErr w:type="spellStart"/>
            <w:r w:rsidRPr="00A930C0">
              <w:rPr>
                <w:rFonts w:cstheme="minorHAnsi"/>
                <w:color w:val="000000" w:themeColor="text1"/>
                <w:sz w:val="21"/>
                <w:szCs w:val="21"/>
              </w:rPr>
              <w:t>Shermanau</w:t>
            </w:r>
            <w:proofErr w:type="spellEnd"/>
            <w:r w:rsidRPr="00A930C0">
              <w:rPr>
                <w:rFonts w:cstheme="minorHAnsi"/>
                <w:i/>
                <w:iCs/>
                <w:color w:val="000000" w:themeColor="text1"/>
                <w:sz w:val="21"/>
                <w:szCs w:val="21"/>
              </w:rPr>
              <w:t xml:space="preserve">, </w:t>
            </w:r>
            <w:r w:rsidRPr="00A930C0">
              <w:rPr>
                <w:rFonts w:cstheme="minorHAnsi"/>
                <w:color w:val="000000" w:themeColor="text1"/>
                <w:sz w:val="21"/>
                <w:szCs w:val="21"/>
              </w:rPr>
              <w:t>P</w:t>
            </w:r>
            <w:r w:rsidRPr="00A930C0">
              <w:rPr>
                <w:rFonts w:cstheme="minorHAnsi"/>
                <w:i/>
                <w:iCs/>
                <w:color w:val="000000" w:themeColor="text1"/>
                <w:sz w:val="21"/>
                <w:szCs w:val="21"/>
              </w:rPr>
              <w:t>.</w:t>
            </w:r>
            <w:r w:rsidRPr="00A930C0">
              <w:rPr>
                <w:rFonts w:cstheme="minorHAnsi"/>
                <w:color w:val="000000" w:themeColor="text1"/>
                <w:sz w:val="21"/>
                <w:szCs w:val="21"/>
              </w:rPr>
              <w:t xml:space="preserve">, </w:t>
            </w:r>
            <w:proofErr w:type="spellStart"/>
            <w:r w:rsidRPr="00A930C0">
              <w:rPr>
                <w:rFonts w:cstheme="minorHAnsi"/>
                <w:color w:val="000000" w:themeColor="text1"/>
                <w:sz w:val="21"/>
                <w:szCs w:val="21"/>
              </w:rPr>
              <w:t>Federici</w:t>
            </w:r>
            <w:proofErr w:type="spellEnd"/>
            <w:r w:rsidRPr="00A930C0">
              <w:rPr>
                <w:rFonts w:cstheme="minorHAnsi"/>
                <w:i/>
                <w:iCs/>
                <w:color w:val="000000" w:themeColor="text1"/>
                <w:sz w:val="21"/>
                <w:szCs w:val="21"/>
              </w:rPr>
              <w:t xml:space="preserve">, </w:t>
            </w:r>
            <w:r w:rsidRPr="00A930C0">
              <w:rPr>
                <w:rFonts w:cstheme="minorHAnsi"/>
                <w:color w:val="000000" w:themeColor="text1"/>
                <w:sz w:val="21"/>
                <w:szCs w:val="21"/>
              </w:rPr>
              <w:t>S</w:t>
            </w:r>
            <w:r w:rsidRPr="00A930C0">
              <w:rPr>
                <w:rFonts w:cstheme="minorHAnsi"/>
                <w:i/>
                <w:iCs/>
                <w:color w:val="000000" w:themeColor="text1"/>
                <w:sz w:val="21"/>
                <w:szCs w:val="21"/>
              </w:rPr>
              <w:t xml:space="preserve">. </w:t>
            </w:r>
            <w:r w:rsidRPr="00A930C0">
              <w:rPr>
                <w:rFonts w:cstheme="minorHAnsi"/>
                <w:color w:val="000000" w:themeColor="text1"/>
                <w:sz w:val="21"/>
                <w:szCs w:val="21"/>
              </w:rPr>
              <w:t>(</w:t>
            </w:r>
            <w:proofErr w:type="spellStart"/>
            <w:r w:rsidRPr="00A930C0">
              <w:rPr>
                <w:rFonts w:cstheme="minorHAnsi"/>
                <w:color w:val="000000" w:themeColor="text1"/>
                <w:sz w:val="21"/>
                <w:szCs w:val="21"/>
              </w:rPr>
              <w:t>eds</w:t>
            </w:r>
            <w:proofErr w:type="spellEnd"/>
            <w:r w:rsidRPr="00A930C0">
              <w:rPr>
                <w:rFonts w:cstheme="minorHAnsi"/>
                <w:color w:val="000000" w:themeColor="text1"/>
                <w:sz w:val="21"/>
                <w:szCs w:val="21"/>
              </w:rPr>
              <w:t>). Intergovernmental Panel on Climate Change, Geneva, Switzerland.</w:t>
            </w:r>
          </w:p>
          <w:p w14:paraId="335E2650" w14:textId="77777777" w:rsidR="0067384D" w:rsidRDefault="0067384D" w:rsidP="0067384D">
            <w:pPr>
              <w:shd w:val="clear" w:color="auto" w:fill="FFFFFF"/>
              <w:spacing w:after="0"/>
              <w:rPr>
                <w:color w:val="000000" w:themeColor="text1"/>
                <w:sz w:val="21"/>
                <w:szCs w:val="21"/>
              </w:rPr>
            </w:pPr>
          </w:p>
          <w:p w14:paraId="3DF09FF5" w14:textId="77777777" w:rsidR="0067384D" w:rsidRDefault="0067384D" w:rsidP="0067384D">
            <w:pPr>
              <w:shd w:val="clear" w:color="auto" w:fill="FFFFFF"/>
              <w:spacing w:after="0"/>
              <w:rPr>
                <w:rStyle w:val="Hyperlink"/>
              </w:rPr>
            </w:pPr>
            <w:proofErr w:type="spellStart"/>
            <w:r w:rsidRPr="000F69DA">
              <w:rPr>
                <w:color w:val="000000" w:themeColor="text1"/>
                <w:sz w:val="21"/>
                <w:szCs w:val="21"/>
              </w:rPr>
              <w:t>Ivits</w:t>
            </w:r>
            <w:proofErr w:type="spellEnd"/>
            <w:r w:rsidRPr="000F69DA">
              <w:rPr>
                <w:color w:val="000000" w:themeColor="text1"/>
                <w:sz w:val="21"/>
                <w:szCs w:val="21"/>
              </w:rPr>
              <w:t xml:space="preserve"> and </w:t>
            </w:r>
            <w:proofErr w:type="spellStart"/>
            <w:r w:rsidRPr="000F69DA">
              <w:rPr>
                <w:color w:val="000000" w:themeColor="text1"/>
                <w:sz w:val="21"/>
                <w:szCs w:val="21"/>
              </w:rPr>
              <w:t>Cherlet</w:t>
            </w:r>
            <w:proofErr w:type="spellEnd"/>
            <w:r w:rsidRPr="000F69DA">
              <w:rPr>
                <w:color w:val="000000" w:themeColor="text1"/>
                <w:sz w:val="21"/>
                <w:szCs w:val="21"/>
              </w:rPr>
              <w:t xml:space="preserve">. 2013. Land-productivity dynamics towards integrated assessment of land degradation at global scales. European Commission JRC Technical Report. </w:t>
            </w:r>
            <w:hyperlink r:id="rId24" w:history="1">
              <w:r w:rsidRPr="004A0361">
                <w:rPr>
                  <w:rStyle w:val="Hyperlink"/>
                </w:rPr>
                <w:t>https://publications.europa.eu/en/publication-detail/-/publication/1e2aceac-b20b-45ab-88d9-b3d187ae6375/language-en/format-PDF/source-49343336</w:t>
              </w:r>
            </w:hyperlink>
          </w:p>
          <w:p w14:paraId="11719EE3" w14:textId="77777777" w:rsidR="0067384D" w:rsidRPr="000F69DA" w:rsidRDefault="0067384D" w:rsidP="0067384D">
            <w:pPr>
              <w:shd w:val="clear" w:color="auto" w:fill="FFFFFF"/>
              <w:spacing w:after="0"/>
              <w:rPr>
                <w:color w:val="000000" w:themeColor="text1"/>
                <w:sz w:val="21"/>
                <w:szCs w:val="21"/>
              </w:rPr>
            </w:pPr>
            <w:r w:rsidRPr="000F69DA">
              <w:rPr>
                <w:color w:val="000000" w:themeColor="text1"/>
                <w:sz w:val="21"/>
                <w:szCs w:val="21"/>
              </w:rPr>
              <w:t>Joint Research Centre of the European Commission. 2017. World Atlas of Desertification, 3</w:t>
            </w:r>
            <w:r w:rsidRPr="000F69DA">
              <w:rPr>
                <w:color w:val="000000" w:themeColor="text1"/>
                <w:sz w:val="21"/>
                <w:szCs w:val="21"/>
                <w:vertAlign w:val="superscript"/>
              </w:rPr>
              <w:t>rd</w:t>
            </w:r>
            <w:r w:rsidRPr="000F69DA">
              <w:rPr>
                <w:color w:val="000000" w:themeColor="text1"/>
                <w:sz w:val="21"/>
                <w:szCs w:val="21"/>
              </w:rPr>
              <w:t xml:space="preserve"> edition. JRC, </w:t>
            </w:r>
            <w:proofErr w:type="spellStart"/>
            <w:r w:rsidRPr="000F69DA">
              <w:rPr>
                <w:color w:val="000000" w:themeColor="text1"/>
                <w:sz w:val="21"/>
                <w:szCs w:val="21"/>
              </w:rPr>
              <w:t>Ispra</w:t>
            </w:r>
            <w:proofErr w:type="spellEnd"/>
            <w:r w:rsidRPr="000F69DA">
              <w:rPr>
                <w:color w:val="000000" w:themeColor="text1"/>
                <w:sz w:val="21"/>
                <w:szCs w:val="21"/>
              </w:rPr>
              <w:t>.</w:t>
            </w:r>
            <w:r>
              <w:rPr>
                <w:color w:val="000000" w:themeColor="text1"/>
                <w:sz w:val="21"/>
                <w:szCs w:val="21"/>
              </w:rPr>
              <w:t xml:space="preserve"> </w:t>
            </w:r>
            <w:hyperlink r:id="rId25" w:history="1">
              <w:r w:rsidRPr="006177CC">
                <w:rPr>
                  <w:rStyle w:val="Hyperlink"/>
                </w:rPr>
                <w:t>https://wad.jrc.ec.europa.eu/</w:t>
              </w:r>
            </w:hyperlink>
          </w:p>
          <w:p w14:paraId="4EE9127A" w14:textId="77777777" w:rsidR="0067384D" w:rsidRPr="000F69DA" w:rsidRDefault="0067384D" w:rsidP="0067384D">
            <w:pPr>
              <w:pStyle w:val="FootnoteText"/>
              <w:rPr>
                <w:color w:val="000000" w:themeColor="text1"/>
                <w:sz w:val="21"/>
                <w:szCs w:val="21"/>
              </w:rPr>
            </w:pPr>
          </w:p>
          <w:p w14:paraId="5E76B782" w14:textId="77777777" w:rsidR="0067384D" w:rsidRPr="000F69DA" w:rsidRDefault="0067384D" w:rsidP="0067384D">
            <w:pPr>
              <w:pStyle w:val="FootnoteText"/>
              <w:rPr>
                <w:color w:val="000000" w:themeColor="text1"/>
                <w:sz w:val="21"/>
                <w:szCs w:val="21"/>
              </w:rPr>
            </w:pPr>
            <w:r w:rsidRPr="000F69DA">
              <w:rPr>
                <w:color w:val="000000" w:themeColor="text1"/>
                <w:sz w:val="21"/>
                <w:szCs w:val="21"/>
              </w:rPr>
              <w:t>Millennium Ecosystem Assessment. 2005. Ecosystems and human wellbeing: a framework for assessment. Island Press, Washington, DC.</w:t>
            </w:r>
          </w:p>
          <w:p w14:paraId="0B6AEF04" w14:textId="77777777" w:rsidR="0067384D" w:rsidRPr="000F69DA" w:rsidRDefault="0067384D" w:rsidP="0067384D">
            <w:pPr>
              <w:shd w:val="clear" w:color="auto" w:fill="FFFFFF"/>
              <w:spacing w:after="0"/>
              <w:rPr>
                <w:color w:val="000000" w:themeColor="text1"/>
              </w:rPr>
            </w:pPr>
          </w:p>
          <w:p w14:paraId="20601870" w14:textId="77777777" w:rsidR="0067384D" w:rsidRDefault="0067384D" w:rsidP="0067384D">
            <w:pPr>
              <w:shd w:val="clear" w:color="auto" w:fill="FFFFFF"/>
              <w:spacing w:after="0"/>
              <w:rPr>
                <w:sz w:val="21"/>
                <w:szCs w:val="21"/>
              </w:rPr>
            </w:pPr>
            <w:r w:rsidRPr="000F69DA">
              <w:rPr>
                <w:color w:val="000000" w:themeColor="text1"/>
                <w:sz w:val="21"/>
                <w:szCs w:val="21"/>
              </w:rPr>
              <w:t xml:space="preserve">Orr, B.J., Cowie, A.L., Castillo Sanchez, V.M., </w:t>
            </w:r>
            <w:proofErr w:type="spellStart"/>
            <w:r w:rsidRPr="000F69DA">
              <w:rPr>
                <w:color w:val="000000" w:themeColor="text1"/>
                <w:sz w:val="21"/>
                <w:szCs w:val="21"/>
              </w:rPr>
              <w:t>Chasek</w:t>
            </w:r>
            <w:proofErr w:type="spellEnd"/>
            <w:r w:rsidRPr="000F69DA">
              <w:rPr>
                <w:color w:val="000000" w:themeColor="text1"/>
                <w:sz w:val="21"/>
                <w:szCs w:val="21"/>
              </w:rPr>
              <w:t xml:space="preserve">, P., Crossman, N.D., </w:t>
            </w:r>
            <w:proofErr w:type="spellStart"/>
            <w:r w:rsidRPr="000F69DA">
              <w:rPr>
                <w:color w:val="000000" w:themeColor="text1"/>
                <w:sz w:val="21"/>
                <w:szCs w:val="21"/>
              </w:rPr>
              <w:t>Erlewein</w:t>
            </w:r>
            <w:proofErr w:type="spellEnd"/>
            <w:r w:rsidRPr="000F69DA">
              <w:rPr>
                <w:color w:val="000000" w:themeColor="text1"/>
                <w:sz w:val="21"/>
                <w:szCs w:val="21"/>
              </w:rPr>
              <w:t xml:space="preserve">, A., </w:t>
            </w:r>
            <w:proofErr w:type="spellStart"/>
            <w:r w:rsidRPr="000F69DA">
              <w:rPr>
                <w:color w:val="000000" w:themeColor="text1"/>
                <w:sz w:val="21"/>
                <w:szCs w:val="21"/>
              </w:rPr>
              <w:t>Louwagie</w:t>
            </w:r>
            <w:proofErr w:type="spellEnd"/>
            <w:r w:rsidRPr="000F69DA">
              <w:rPr>
                <w:color w:val="000000" w:themeColor="text1"/>
                <w:sz w:val="21"/>
                <w:szCs w:val="21"/>
              </w:rPr>
              <w:t xml:space="preserve">, G., </w:t>
            </w:r>
            <w:proofErr w:type="spellStart"/>
            <w:r w:rsidRPr="000F69DA">
              <w:rPr>
                <w:color w:val="000000" w:themeColor="text1"/>
                <w:sz w:val="21"/>
                <w:szCs w:val="21"/>
              </w:rPr>
              <w:t>Maron</w:t>
            </w:r>
            <w:proofErr w:type="spellEnd"/>
            <w:r w:rsidRPr="000F69DA">
              <w:rPr>
                <w:color w:val="000000" w:themeColor="text1"/>
                <w:sz w:val="21"/>
                <w:szCs w:val="21"/>
              </w:rPr>
              <w:t xml:space="preserve">, M., </w:t>
            </w:r>
            <w:proofErr w:type="spellStart"/>
            <w:r w:rsidRPr="000F69DA">
              <w:rPr>
                <w:color w:val="000000" w:themeColor="text1"/>
                <w:sz w:val="21"/>
                <w:szCs w:val="21"/>
              </w:rPr>
              <w:t>Metternicht</w:t>
            </w:r>
            <w:proofErr w:type="spellEnd"/>
            <w:r w:rsidRPr="000F69DA">
              <w:rPr>
                <w:color w:val="000000" w:themeColor="text1"/>
                <w:sz w:val="21"/>
                <w:szCs w:val="21"/>
              </w:rPr>
              <w:t xml:space="preserve">, G.I., Minelli, S., </w:t>
            </w:r>
            <w:proofErr w:type="spellStart"/>
            <w:r w:rsidRPr="000F69DA">
              <w:rPr>
                <w:color w:val="000000" w:themeColor="text1"/>
                <w:sz w:val="21"/>
                <w:szCs w:val="21"/>
              </w:rPr>
              <w:t>Tengberg</w:t>
            </w:r>
            <w:proofErr w:type="spellEnd"/>
            <w:r w:rsidRPr="000F69DA">
              <w:rPr>
                <w:color w:val="000000" w:themeColor="text1"/>
                <w:sz w:val="21"/>
                <w:szCs w:val="21"/>
              </w:rPr>
              <w:t xml:space="preserve">, A.E., Walter, S., </w:t>
            </w:r>
            <w:proofErr w:type="spellStart"/>
            <w:r w:rsidRPr="000F69DA">
              <w:rPr>
                <w:color w:val="000000" w:themeColor="text1"/>
                <w:sz w:val="21"/>
                <w:szCs w:val="21"/>
              </w:rPr>
              <w:t>Welton</w:t>
            </w:r>
            <w:proofErr w:type="spellEnd"/>
            <w:r w:rsidRPr="000F69DA">
              <w:rPr>
                <w:color w:val="000000" w:themeColor="text1"/>
                <w:sz w:val="21"/>
                <w:szCs w:val="21"/>
              </w:rPr>
              <w:t xml:space="preserve">, S., 2017. Scientific Conceptual Framework for Land Degradation Neutrality. A Report of the Science Policy Interface. United Nations Convention to Combat Desertification (UNCCD), Bonn, Germany. </w:t>
            </w:r>
            <w:hyperlink r:id="rId26" w:history="1">
              <w:r w:rsidRPr="00982FC9">
                <w:rPr>
                  <w:rStyle w:val="Hyperlink"/>
                </w:rPr>
                <w:t>https://www.unccd.int/publications/scientific-conceptual-framework-land-degradation-neutrality-report-science-policy</w:t>
              </w:r>
            </w:hyperlink>
          </w:p>
          <w:p w14:paraId="21964C11" w14:textId="77777777" w:rsidR="0067384D" w:rsidRDefault="0067384D" w:rsidP="0067384D">
            <w:pPr>
              <w:shd w:val="clear" w:color="auto" w:fill="FFFFFF"/>
              <w:spacing w:after="0"/>
              <w:rPr>
                <w:sz w:val="21"/>
                <w:szCs w:val="21"/>
              </w:rPr>
            </w:pPr>
          </w:p>
          <w:p w14:paraId="1DF0F7AD" w14:textId="77777777" w:rsidR="0067384D" w:rsidRPr="00693070" w:rsidRDefault="0067384D" w:rsidP="0067384D">
            <w:pPr>
              <w:pStyle w:val="FootnoteText"/>
              <w:rPr>
                <w:sz w:val="21"/>
                <w:szCs w:val="21"/>
              </w:rPr>
            </w:pPr>
            <w:r w:rsidRPr="000F69DA">
              <w:rPr>
                <w:color w:val="000000" w:themeColor="text1"/>
                <w:sz w:val="21"/>
                <w:szCs w:val="21"/>
              </w:rPr>
              <w:t xml:space="preserve">Running et al. 1999. MODIS Daily Photosynthesis (PSN) and Annual Net Primary Production (NPP) Product (MOD17): Algorithm Theoretical Basis Document </w:t>
            </w:r>
            <w:hyperlink r:id="rId27" w:history="1">
              <w:r w:rsidRPr="00693070">
                <w:rPr>
                  <w:rStyle w:val="Hyperlink"/>
                </w:rPr>
                <w:t>https://eospso.gsfc.nasa.gov/sites/default/files/atbd/atbd_mod16.pdf</w:t>
              </w:r>
            </w:hyperlink>
          </w:p>
          <w:p w14:paraId="405A76F9" w14:textId="77777777" w:rsidR="0067384D" w:rsidRPr="00840842" w:rsidRDefault="0067384D" w:rsidP="0067384D">
            <w:pPr>
              <w:shd w:val="clear" w:color="auto" w:fill="FFFFFF"/>
              <w:spacing w:after="0"/>
              <w:rPr>
                <w:sz w:val="21"/>
                <w:szCs w:val="21"/>
              </w:rPr>
            </w:pPr>
          </w:p>
          <w:p w14:paraId="6993011A" w14:textId="77777777" w:rsidR="0067384D" w:rsidRDefault="0067384D" w:rsidP="0067384D">
            <w:pPr>
              <w:rPr>
                <w:sz w:val="21"/>
                <w:szCs w:val="21"/>
              </w:rPr>
            </w:pPr>
            <w:r w:rsidRPr="000F69DA">
              <w:rPr>
                <w:color w:val="000000" w:themeColor="text1"/>
                <w:sz w:val="21"/>
                <w:szCs w:val="21"/>
              </w:rPr>
              <w:t xml:space="preserve">Sims, N.C., Newnham, G.J., England, J.R., </w:t>
            </w:r>
            <w:proofErr w:type="spellStart"/>
            <w:r w:rsidRPr="000F69DA">
              <w:rPr>
                <w:color w:val="000000" w:themeColor="text1"/>
                <w:sz w:val="21"/>
                <w:szCs w:val="21"/>
              </w:rPr>
              <w:t>Guerschman</w:t>
            </w:r>
            <w:proofErr w:type="spellEnd"/>
            <w:r w:rsidRPr="000F69DA">
              <w:rPr>
                <w:color w:val="000000" w:themeColor="text1"/>
                <w:sz w:val="21"/>
                <w:szCs w:val="21"/>
              </w:rPr>
              <w:t xml:space="preserve">, J., Cox, S.J.D., </w:t>
            </w:r>
            <w:proofErr w:type="spellStart"/>
            <w:r w:rsidRPr="000F69DA">
              <w:rPr>
                <w:color w:val="000000" w:themeColor="text1"/>
                <w:sz w:val="21"/>
                <w:szCs w:val="21"/>
              </w:rPr>
              <w:t>Roxburgh</w:t>
            </w:r>
            <w:proofErr w:type="spellEnd"/>
            <w:r w:rsidRPr="000F69DA">
              <w:rPr>
                <w:color w:val="000000" w:themeColor="text1"/>
                <w:sz w:val="21"/>
                <w:szCs w:val="21"/>
              </w:rPr>
              <w:t xml:space="preserve">, S.H., </w:t>
            </w:r>
            <w:proofErr w:type="spellStart"/>
            <w:r w:rsidRPr="000F69DA">
              <w:rPr>
                <w:color w:val="000000" w:themeColor="text1"/>
                <w:sz w:val="21"/>
                <w:szCs w:val="21"/>
              </w:rPr>
              <w:t>Viscarra</w:t>
            </w:r>
            <w:proofErr w:type="spellEnd"/>
            <w:r w:rsidRPr="000F69DA">
              <w:rPr>
                <w:color w:val="000000" w:themeColor="text1"/>
                <w:sz w:val="21"/>
                <w:szCs w:val="21"/>
              </w:rPr>
              <w:t xml:space="preserve"> </w:t>
            </w:r>
            <w:proofErr w:type="spellStart"/>
            <w:r w:rsidRPr="000F69DA">
              <w:rPr>
                <w:color w:val="000000" w:themeColor="text1"/>
                <w:sz w:val="21"/>
                <w:szCs w:val="21"/>
              </w:rPr>
              <w:t>Rossel</w:t>
            </w:r>
            <w:proofErr w:type="spellEnd"/>
            <w:r w:rsidRPr="000F69DA">
              <w:rPr>
                <w:color w:val="000000" w:themeColor="text1"/>
                <w:sz w:val="21"/>
                <w:szCs w:val="21"/>
              </w:rPr>
              <w:t xml:space="preserve">, R.A., Fritz, S. and Wheeler, I. 2021. Good Practice Guidance. SDG Indicator 15.3.1, Proportion of Land That Is Degraded Over Total Land Area. Version 2.0. United Nations Convention to Combat Desertification, Bonn, Germany. </w:t>
            </w:r>
            <w:hyperlink r:id="rId28" w:history="1">
              <w:r w:rsidRPr="00840842">
                <w:rPr>
                  <w:rStyle w:val="Hyperlink"/>
                </w:rPr>
                <w:t>https://www.unccd.int/publications/good-practice-guidance-sdg-indicator-1531-proportion-land-degraded-over-total-land</w:t>
              </w:r>
            </w:hyperlink>
          </w:p>
          <w:p w14:paraId="479E29B2" w14:textId="77777777" w:rsidR="0067384D" w:rsidRPr="000F69DA" w:rsidRDefault="0067384D" w:rsidP="0067384D">
            <w:pPr>
              <w:pStyle w:val="FootnoteText"/>
              <w:rPr>
                <w:color w:val="000000" w:themeColor="text1"/>
                <w:sz w:val="21"/>
                <w:szCs w:val="21"/>
              </w:rPr>
            </w:pPr>
            <w:r w:rsidRPr="000F69DA">
              <w:rPr>
                <w:color w:val="000000" w:themeColor="text1"/>
                <w:sz w:val="21"/>
                <w:szCs w:val="21"/>
              </w:rPr>
              <w:t>Smith, P., Fang, C., Dawson, J. J., &amp; Moncrieff, J. B. 2008. Impact of global warming on soil organic carbon. Advances in agronomy, 97: 1-43.</w:t>
            </w:r>
          </w:p>
          <w:p w14:paraId="19B2770B" w14:textId="77777777" w:rsidR="0067384D" w:rsidRPr="000F69DA" w:rsidRDefault="0067384D" w:rsidP="0067384D">
            <w:pPr>
              <w:shd w:val="clear" w:color="auto" w:fill="FFFFFF"/>
              <w:spacing w:after="0"/>
              <w:rPr>
                <w:color w:val="000000" w:themeColor="text1"/>
                <w:sz w:val="21"/>
                <w:szCs w:val="21"/>
              </w:rPr>
            </w:pPr>
          </w:p>
          <w:p w14:paraId="6E8DB19E" w14:textId="77777777" w:rsidR="0067384D" w:rsidRPr="006062C0" w:rsidRDefault="0067384D" w:rsidP="0067384D">
            <w:pPr>
              <w:rPr>
                <w:sz w:val="21"/>
                <w:szCs w:val="21"/>
              </w:rPr>
            </w:pPr>
            <w:r w:rsidRPr="000F69DA">
              <w:rPr>
                <w:color w:val="000000" w:themeColor="text1"/>
                <w:sz w:val="21"/>
                <w:szCs w:val="21"/>
              </w:rPr>
              <w:t>United Nations Convention to Combat Desertification. 1994. Convention Text</w:t>
            </w:r>
            <w:r w:rsidRPr="000F69DA">
              <w:rPr>
                <w:color w:val="000000" w:themeColor="text1"/>
                <w:sz w:val="21"/>
                <w:szCs w:val="21"/>
              </w:rPr>
              <w:br/>
            </w:r>
            <w:hyperlink r:id="rId29" w:history="1">
              <w:r w:rsidRPr="006062C0">
                <w:rPr>
                  <w:rStyle w:val="Hyperlink"/>
                </w:rPr>
                <w:t>http://www2.unccd.int/sites/default/files/relevant-links/2017-01/UNCCD_Convention_ENG_0.pdf</w:t>
              </w:r>
            </w:hyperlink>
          </w:p>
          <w:p w14:paraId="4CE3E552" w14:textId="77777777" w:rsidR="0067384D" w:rsidRPr="00840842" w:rsidRDefault="0067384D" w:rsidP="0067384D">
            <w:pPr>
              <w:rPr>
                <w:sz w:val="21"/>
                <w:szCs w:val="21"/>
              </w:rPr>
            </w:pPr>
          </w:p>
          <w:p w14:paraId="53354C20" w14:textId="77777777" w:rsidR="0067384D" w:rsidRDefault="0067384D" w:rsidP="0067384D">
            <w:pPr>
              <w:shd w:val="clear" w:color="auto" w:fill="FFFFFF"/>
              <w:spacing w:after="0"/>
              <w:rPr>
                <w:rStyle w:val="Hyperlink"/>
              </w:rPr>
            </w:pPr>
          </w:p>
          <w:p w14:paraId="127FB56F" w14:textId="5AC03BDA"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30"/>
      <w:footerReference w:type="first" r:id="rId3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562EE8" w:rsidRDefault="00562EE8" w:rsidP="006B0512">
      <w:pPr>
        <w:spacing w:after="0" w:line="240" w:lineRule="auto"/>
      </w:pPr>
      <w:r>
        <w:separator/>
      </w:r>
    </w:p>
  </w:endnote>
  <w:endnote w:type="continuationSeparator" w:id="0">
    <w:p w14:paraId="0652DDFD" w14:textId="77777777" w:rsidR="00562EE8" w:rsidRDefault="00562EE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Basic">
    <w:altName w:val="Calibri"/>
    <w:charset w:val="00"/>
    <w:family w:val="auto"/>
    <w:pitch w:val="default"/>
  </w:font>
  <w:font w:name="SimSun">
    <w:altName w:val="宋体"/>
    <w:panose1 w:val="02010600030101010101"/>
    <w:charset w:val="86"/>
    <w:family w:val="auto"/>
    <w:pitch w:val="variable"/>
    <w:sig w:usb0="00000203" w:usb1="288F0000" w:usb2="00000016" w:usb3="00000000" w:csb0="00040001" w:csb1="00000000"/>
  </w:font>
  <w:font w:name="TimesNewRomanPS-BoldMT">
    <w:altName w:val="Times New Roman"/>
    <w:panose1 w:val="00000000000000000000"/>
    <w:charset w:val="00"/>
    <w:family w:val="swiss"/>
    <w:notTrueType/>
    <w:pitch w:val="default"/>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7D6F47CF" w:rsidR="00562EE8" w:rsidRDefault="00562EE8">
        <w:pPr>
          <w:pStyle w:val="Footer"/>
          <w:jc w:val="right"/>
        </w:pPr>
        <w:r>
          <w:fldChar w:fldCharType="begin"/>
        </w:r>
        <w:r>
          <w:instrText xml:space="preserve"> PAGE   \* MERGEFORMAT </w:instrText>
        </w:r>
        <w:r>
          <w:fldChar w:fldCharType="separate"/>
        </w:r>
        <w:r w:rsidR="00332407">
          <w:rPr>
            <w:noProof/>
          </w:rPr>
          <w:t>20</w:t>
        </w:r>
        <w:r>
          <w:rPr>
            <w:noProof/>
          </w:rPr>
          <w:fldChar w:fldCharType="end"/>
        </w:r>
      </w:p>
    </w:sdtContent>
  </w:sdt>
  <w:p w14:paraId="232AF3D4" w14:textId="77777777" w:rsidR="00562EE8" w:rsidRDefault="00562EE8">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1F7582A7" w:rsidR="00562EE8" w:rsidRDefault="00562EE8">
        <w:pPr>
          <w:pStyle w:val="Footer"/>
          <w:jc w:val="right"/>
        </w:pPr>
        <w:r>
          <w:fldChar w:fldCharType="begin"/>
        </w:r>
        <w:r>
          <w:instrText xml:space="preserve"> PAGE   \* MERGEFORMAT </w:instrText>
        </w:r>
        <w:r>
          <w:fldChar w:fldCharType="separate"/>
        </w:r>
        <w:r w:rsidR="00332407">
          <w:rPr>
            <w:noProof/>
          </w:rPr>
          <w:t>1</w:t>
        </w:r>
        <w:r>
          <w:rPr>
            <w:noProof/>
          </w:rPr>
          <w:fldChar w:fldCharType="end"/>
        </w:r>
      </w:p>
    </w:sdtContent>
  </w:sdt>
  <w:p w14:paraId="52FF1B3E" w14:textId="77777777" w:rsidR="00562EE8" w:rsidRDefault="00562EE8">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562EE8" w:rsidRDefault="00562EE8" w:rsidP="006B0512">
      <w:pPr>
        <w:spacing w:after="0" w:line="240" w:lineRule="auto"/>
      </w:pPr>
      <w:r>
        <w:separator/>
      </w:r>
    </w:p>
  </w:footnote>
  <w:footnote w:type="continuationSeparator" w:id="0">
    <w:p w14:paraId="21AE062F" w14:textId="77777777" w:rsidR="00562EE8" w:rsidRDefault="00562EE8" w:rsidP="006B0512">
      <w:pPr>
        <w:spacing w:after="0" w:line="240" w:lineRule="auto"/>
      </w:pPr>
      <w:r>
        <w:continuationSeparator/>
      </w:r>
    </w:p>
  </w:footnote>
  <w:footnote w:id="1">
    <w:p w14:paraId="463C7A6C" w14:textId="3926C0D8" w:rsidR="00562EE8" w:rsidRPr="00B8102F" w:rsidRDefault="00562EE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 w:id="2">
    <w:p w14:paraId="16BAD658" w14:textId="3A8500E3" w:rsidR="00C25142" w:rsidRPr="000D5F8F" w:rsidRDefault="00C25142" w:rsidP="00C25142">
      <w:pPr>
        <w:pStyle w:val="FootnoteText"/>
        <w:rPr>
          <w:sz w:val="18"/>
          <w:szCs w:val="18"/>
        </w:rPr>
      </w:pPr>
    </w:p>
  </w:footnote>
  <w:footnote w:id="3">
    <w:p w14:paraId="18BD9DDA" w14:textId="4627D5B8" w:rsidR="00C25142" w:rsidRPr="000D5F8F" w:rsidRDefault="00C25142" w:rsidP="00C25142">
      <w:pPr>
        <w:pStyle w:val="FootnoteText"/>
        <w:rPr>
          <w:sz w:val="18"/>
          <w:szCs w:val="18"/>
        </w:rPr>
      </w:pPr>
    </w:p>
  </w:footnote>
  <w:footnote w:id="4">
    <w:p w14:paraId="3D5D6A4B" w14:textId="0BEF415F" w:rsidR="00C25142" w:rsidRPr="000D5F8F" w:rsidRDefault="00C25142" w:rsidP="00C25142">
      <w:pPr>
        <w:pStyle w:val="FootnoteText"/>
        <w:rPr>
          <w:sz w:val="18"/>
          <w:szCs w:val="18"/>
        </w:rPr>
      </w:pPr>
    </w:p>
  </w:footnote>
  <w:footnote w:id="5">
    <w:p w14:paraId="43C39EA1" w14:textId="1F2C8C66" w:rsidR="00C25142" w:rsidRPr="000D5F8F" w:rsidRDefault="00C25142" w:rsidP="00C25142">
      <w:pPr>
        <w:pStyle w:val="FootnoteText"/>
        <w:rPr>
          <w:sz w:val="18"/>
          <w:szCs w:val="18"/>
        </w:rPr>
      </w:pPr>
    </w:p>
  </w:footnote>
  <w:footnote w:id="6">
    <w:p w14:paraId="42A96918" w14:textId="40530869" w:rsidR="00C25142" w:rsidRPr="000D5F8F" w:rsidRDefault="00C25142" w:rsidP="00C25142">
      <w:pPr>
        <w:pStyle w:val="FootnoteText"/>
        <w:rPr>
          <w:sz w:val="18"/>
          <w:szCs w:val="18"/>
        </w:rPr>
      </w:pPr>
    </w:p>
  </w:footnote>
  <w:footnote w:id="7">
    <w:p w14:paraId="7831990E" w14:textId="6261E360" w:rsidR="00C25142" w:rsidRPr="000D5F8F" w:rsidRDefault="00C25142" w:rsidP="00C25142">
      <w:pPr>
        <w:pStyle w:val="FootnoteText"/>
        <w:rPr>
          <w:sz w:val="18"/>
          <w:szCs w:val="18"/>
        </w:rPr>
      </w:pPr>
    </w:p>
  </w:footnote>
  <w:footnote w:id="8">
    <w:p w14:paraId="21C99809" w14:textId="1611C579" w:rsidR="00C25142" w:rsidRPr="000D5F8F" w:rsidRDefault="00C25142" w:rsidP="00C25142">
      <w:pPr>
        <w:pStyle w:val="FootnoteText"/>
        <w:rPr>
          <w:sz w:val="18"/>
          <w:szCs w:val="18"/>
        </w:rPr>
      </w:pPr>
    </w:p>
  </w:footnote>
  <w:footnote w:id="9">
    <w:p w14:paraId="4DDA651D" w14:textId="79587F14" w:rsidR="00C25142" w:rsidRPr="000D5F8F" w:rsidRDefault="00C25142" w:rsidP="00C25142">
      <w:pPr>
        <w:pStyle w:val="FootnoteText"/>
        <w:rPr>
          <w:sz w:val="18"/>
          <w:szCs w:val="18"/>
        </w:rPr>
      </w:pPr>
    </w:p>
  </w:footnote>
  <w:footnote w:id="10">
    <w:p w14:paraId="2F399820" w14:textId="77777777" w:rsidR="00107FF1" w:rsidRPr="000D5F8F" w:rsidRDefault="00107FF1" w:rsidP="00107FF1">
      <w:pPr>
        <w:pStyle w:val="FootnoteText"/>
        <w:rPr>
          <w:sz w:val="18"/>
          <w:szCs w:val="18"/>
        </w:rPr>
      </w:pPr>
      <w:r w:rsidRPr="000D5F8F">
        <w:rPr>
          <w:rStyle w:val="FootnoteReference"/>
          <w:sz w:val="18"/>
          <w:szCs w:val="18"/>
        </w:rPr>
        <w:footnoteRef/>
      </w:r>
      <w:r w:rsidRPr="000D5F8F">
        <w:rPr>
          <w:sz w:val="18"/>
          <w:szCs w:val="18"/>
        </w:rPr>
        <w:t xml:space="preserve"> </w:t>
      </w:r>
      <w:r w:rsidRPr="000D5F8F">
        <w:rPr>
          <w:color w:val="404040" w:themeColor="text1" w:themeTint="BF"/>
          <w:sz w:val="18"/>
          <w:szCs w:val="18"/>
        </w:rPr>
        <w:t>United Nations General Assembly. 2015. Transforming our world: the 2030 Agenda for Sustainable Development. Resolution adopted by the General Assembly on 25 September 2015 (A/RES/70/1).</w:t>
      </w:r>
    </w:p>
  </w:footnote>
  <w:footnote w:id="11">
    <w:p w14:paraId="4F8DD1B3" w14:textId="77777777" w:rsidR="00107FF1" w:rsidRPr="000D5F8F" w:rsidRDefault="00107FF1" w:rsidP="00107FF1">
      <w:pPr>
        <w:pStyle w:val="FootnoteText"/>
        <w:rPr>
          <w:sz w:val="18"/>
          <w:szCs w:val="18"/>
        </w:rPr>
      </w:pPr>
      <w:r w:rsidRPr="000D5F8F">
        <w:rPr>
          <w:rStyle w:val="FootnoteReference"/>
          <w:sz w:val="18"/>
          <w:szCs w:val="18"/>
        </w:rPr>
        <w:footnoteRef/>
      </w:r>
      <w:r w:rsidRPr="000D5F8F">
        <w:rPr>
          <w:sz w:val="18"/>
          <w:szCs w:val="18"/>
        </w:rPr>
        <w:t xml:space="preserve"> </w:t>
      </w:r>
      <w:hyperlink r:id="rId1" w:history="1">
        <w:r w:rsidRPr="00AC3712">
          <w:rPr>
            <w:rStyle w:val="Hyperlink"/>
            <w:sz w:val="18"/>
            <w:szCs w:val="18"/>
          </w:rPr>
          <w:t>https://www.unccd.int/conventionreporting-process-and-prais/prais-4-reporting-platform</w:t>
        </w:r>
      </w:hyperlink>
      <w:r w:rsidRPr="00AC3712" w:rsidDel="00AC3712">
        <w:rPr>
          <w:sz w:val="18"/>
          <w:szCs w:val="18"/>
        </w:rPr>
        <w:t xml:space="preserve"> </w:t>
      </w:r>
    </w:p>
  </w:footnote>
  <w:footnote w:id="12">
    <w:p w14:paraId="0EB2A436" w14:textId="77777777" w:rsidR="00107FF1" w:rsidRDefault="00107FF1" w:rsidP="00107FF1">
      <w:pPr>
        <w:pStyle w:val="FootnoteText"/>
        <w:rPr>
          <w:sz w:val="16"/>
          <w:szCs w:val="16"/>
        </w:rPr>
      </w:pPr>
      <w:r w:rsidRPr="000D5F8F">
        <w:rPr>
          <w:rStyle w:val="FootnoteReference"/>
          <w:sz w:val="18"/>
          <w:szCs w:val="18"/>
        </w:rPr>
        <w:footnoteRef/>
      </w:r>
      <w:r w:rsidRPr="000D5F8F">
        <w:rPr>
          <w:sz w:val="18"/>
          <w:szCs w:val="18"/>
        </w:rPr>
        <w:t xml:space="preserve"> </w:t>
      </w:r>
      <w:hyperlink r:id="rId2" w:history="1">
        <w:r w:rsidRPr="001F704B">
          <w:rPr>
            <w:rStyle w:val="Hyperlink"/>
            <w:sz w:val="18"/>
            <w:szCs w:val="18"/>
          </w:rPr>
          <w:t>https://www.unccd.int/sites/default/files/sessions/documents/2019-08/15COP13_0.pdf</w:t>
        </w:r>
      </w:hyperlink>
      <w:r>
        <w:rPr>
          <w:sz w:val="16"/>
          <w:szCs w:val="16"/>
        </w:rPr>
        <w:t xml:space="preserve"> </w:t>
      </w:r>
    </w:p>
  </w:footnote>
  <w:footnote w:id="13">
    <w:p w14:paraId="211558FA" w14:textId="77777777" w:rsidR="00EC6FA6" w:rsidRPr="000D5F8F" w:rsidRDefault="00EC6FA6" w:rsidP="00EC6FA6">
      <w:pPr>
        <w:pStyle w:val="FootnoteText"/>
        <w:rPr>
          <w:sz w:val="18"/>
          <w:szCs w:val="18"/>
        </w:rPr>
      </w:pPr>
      <w:r w:rsidRPr="000D5F8F">
        <w:rPr>
          <w:rStyle w:val="FootnoteReference"/>
          <w:sz w:val="18"/>
          <w:szCs w:val="18"/>
        </w:rPr>
        <w:footnoteRef/>
      </w:r>
      <w:r w:rsidRPr="000D5F8F">
        <w:rPr>
          <w:sz w:val="18"/>
          <w:szCs w:val="18"/>
        </w:rPr>
        <w:t xml:space="preserve"> </w:t>
      </w:r>
      <w:hyperlink r:id="rId3" w:history="1">
        <w:r w:rsidRPr="008231A9">
          <w:rPr>
            <w:rStyle w:val="Hyperlink"/>
            <w:sz w:val="18"/>
            <w:szCs w:val="18"/>
          </w:rPr>
          <w:t>https://www.unccd.int/sites/default/files/sessions/documents/2019-08/18COP13_0.pdf</w:t>
        </w:r>
      </w:hyperlink>
      <w:r w:rsidRPr="000D5F8F">
        <w:rPr>
          <w:sz w:val="18"/>
          <w:szCs w:val="18"/>
        </w:rPr>
        <w:t xml:space="preserve"> </w:t>
      </w:r>
    </w:p>
  </w:footnote>
  <w:footnote w:id="14">
    <w:p w14:paraId="4B032E6F" w14:textId="77777777" w:rsidR="00EC6FA6" w:rsidRDefault="00EC6FA6" w:rsidP="00EC6FA6">
      <w:pPr>
        <w:pStyle w:val="FootnoteText"/>
        <w:rPr>
          <w:sz w:val="16"/>
          <w:szCs w:val="16"/>
        </w:rPr>
      </w:pPr>
      <w:r w:rsidRPr="000D5F8F">
        <w:rPr>
          <w:rStyle w:val="FootnoteReference"/>
          <w:sz w:val="18"/>
          <w:szCs w:val="18"/>
        </w:rPr>
        <w:footnoteRef/>
      </w:r>
      <w:r w:rsidRPr="000D5F8F">
        <w:rPr>
          <w:sz w:val="18"/>
          <w:szCs w:val="18"/>
        </w:rPr>
        <w:t xml:space="preserve"> </w:t>
      </w:r>
      <w:hyperlink r:id="rId4" w:history="1">
        <w:r w:rsidRPr="00214DCA">
          <w:rPr>
            <w:rStyle w:val="Hyperlink"/>
            <w:sz w:val="18"/>
            <w:szCs w:val="18"/>
          </w:rPr>
          <w:t>https://www.unccd.int/publications/good-practice-guidance-sdg-indicator-1531-proportion-land-degraded-over-total-land</w:t>
        </w:r>
      </w:hyperlink>
      <w:r>
        <w:rPr>
          <w:sz w:val="16"/>
          <w:szCs w:val="16"/>
        </w:rPr>
        <w:t xml:space="preserve"> </w:t>
      </w:r>
    </w:p>
  </w:footnote>
  <w:footnote w:id="15">
    <w:p w14:paraId="11671CA0" w14:textId="77777777" w:rsidR="00BC0210" w:rsidRPr="000D5F8F" w:rsidRDefault="00BC0210" w:rsidP="00BC0210">
      <w:pPr>
        <w:pStyle w:val="FootnoteText"/>
        <w:rPr>
          <w:sz w:val="18"/>
          <w:szCs w:val="18"/>
        </w:rPr>
      </w:pPr>
      <w:r w:rsidRPr="000D5F8F">
        <w:rPr>
          <w:rStyle w:val="FootnoteReference"/>
          <w:sz w:val="18"/>
          <w:szCs w:val="18"/>
        </w:rPr>
        <w:footnoteRef/>
      </w:r>
      <w:r w:rsidRPr="000D5F8F">
        <w:rPr>
          <w:sz w:val="18"/>
          <w:szCs w:val="18"/>
        </w:rPr>
        <w:t xml:space="preserve"> </w:t>
      </w:r>
      <w:hyperlink r:id="rId5" w:history="1">
        <w:r w:rsidRPr="00AC3712">
          <w:rPr>
            <w:rStyle w:val="Hyperlink"/>
            <w:sz w:val="18"/>
            <w:szCs w:val="18"/>
          </w:rPr>
          <w:t>https://www.unccd.int/conventionreporting-process-and-prais/prais-4-reporting-platform</w:t>
        </w:r>
      </w:hyperlink>
      <w:r w:rsidRPr="000D5F8F">
        <w:rPr>
          <w:sz w:val="18"/>
          <w:szCs w:val="18"/>
        </w:rPr>
        <w:t xml:space="preserve"> </w:t>
      </w:r>
    </w:p>
  </w:footnote>
  <w:footnote w:id="16">
    <w:p w14:paraId="3BC1D0E9" w14:textId="77777777" w:rsidR="00BC0210" w:rsidRDefault="00BC0210" w:rsidP="00BC0210">
      <w:pPr>
        <w:pStyle w:val="FootnoteText"/>
      </w:pPr>
      <w:r>
        <w:rPr>
          <w:rStyle w:val="FootnoteReference"/>
        </w:rPr>
        <w:footnoteRef/>
      </w:r>
      <w:r>
        <w:t xml:space="preserve"> </w:t>
      </w:r>
      <w:hyperlink r:id="rId6" w:history="1">
        <w:r w:rsidRPr="0029159C">
          <w:rPr>
            <w:rStyle w:val="Hyperlink"/>
          </w:rPr>
          <w:t>https://prais4-reporting-manual.readthedocs.io/en/latest/index.html</w:t>
        </w:r>
      </w:hyperlink>
    </w:p>
  </w:footnote>
  <w:footnote w:id="17">
    <w:p w14:paraId="1578499F" w14:textId="77777777" w:rsidR="00BC0210" w:rsidRPr="000D5F8F" w:rsidRDefault="00BC0210" w:rsidP="00BC0210">
      <w:pPr>
        <w:pStyle w:val="FootnoteText"/>
        <w:rPr>
          <w:sz w:val="18"/>
          <w:szCs w:val="18"/>
        </w:rPr>
      </w:pPr>
      <w:r w:rsidRPr="000D5F8F">
        <w:rPr>
          <w:rStyle w:val="FootnoteReference"/>
          <w:sz w:val="18"/>
          <w:szCs w:val="18"/>
        </w:rPr>
        <w:footnoteRef/>
      </w:r>
      <w:r w:rsidRPr="000D5F8F">
        <w:rPr>
          <w:sz w:val="18"/>
          <w:szCs w:val="18"/>
        </w:rPr>
        <w:t xml:space="preserve"> </w:t>
      </w:r>
      <w:hyperlink r:id="rId7" w:history="1">
        <w:r w:rsidRPr="00AE3E38">
          <w:rPr>
            <w:rStyle w:val="Hyperlink"/>
            <w:sz w:val="18"/>
            <w:szCs w:val="18"/>
          </w:rPr>
          <w:t>https://www.unccd.int/publications/good-practice-guidance-sdg-indicator-1531-proportion-land-degraded-over-total-land</w:t>
        </w:r>
      </w:hyperlink>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58B611C"/>
    <w:multiLevelType w:val="hybridMultilevel"/>
    <w:tmpl w:val="523E9D2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7521634"/>
    <w:multiLevelType w:val="hybridMultilevel"/>
    <w:tmpl w:val="E81C378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2" w15:restartNumberingAfterBreak="0">
    <w:nsid w:val="1E6E2AB4"/>
    <w:multiLevelType w:val="hybridMultilevel"/>
    <w:tmpl w:val="EC8C53A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47844FAF"/>
    <w:multiLevelType w:val="hybridMultilevel"/>
    <w:tmpl w:val="5272546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603A640C"/>
    <w:multiLevelType w:val="multilevel"/>
    <w:tmpl w:val="C1CE9994"/>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Times New Roman" w:hint="default"/>
        <w:sz w:val="20"/>
      </w:rPr>
    </w:lvl>
    <w:lvl w:ilvl="2">
      <w:start w:val="1"/>
      <w:numFmt w:val="bullet"/>
      <w:lvlText w:val=""/>
      <w:lvlJc w:val="left"/>
      <w:pPr>
        <w:tabs>
          <w:tab w:val="num" w:pos="2160"/>
        </w:tabs>
        <w:ind w:left="2160" w:hanging="360"/>
      </w:pPr>
      <w:rPr>
        <w:rFonts w:ascii="Wingdings" w:hAnsi="Wingdings" w:hint="default"/>
        <w:sz w:val="20"/>
      </w:rPr>
    </w:lvl>
    <w:lvl w:ilvl="3">
      <w:start w:val="1"/>
      <w:numFmt w:val="bullet"/>
      <w:lvlText w:val=""/>
      <w:lvlJc w:val="left"/>
      <w:pPr>
        <w:tabs>
          <w:tab w:val="num" w:pos="2880"/>
        </w:tabs>
        <w:ind w:left="2880" w:hanging="360"/>
      </w:pPr>
      <w:rPr>
        <w:rFonts w:ascii="Wingdings" w:hAnsi="Wingdings" w:hint="default"/>
        <w:sz w:val="20"/>
      </w:rPr>
    </w:lvl>
    <w:lvl w:ilvl="4">
      <w:start w:val="1"/>
      <w:numFmt w:val="bullet"/>
      <w:lvlText w:val=""/>
      <w:lvlJc w:val="left"/>
      <w:pPr>
        <w:tabs>
          <w:tab w:val="num" w:pos="3600"/>
        </w:tabs>
        <w:ind w:left="3600" w:hanging="360"/>
      </w:pPr>
      <w:rPr>
        <w:rFonts w:ascii="Wingdings" w:hAnsi="Wingdings" w:hint="default"/>
        <w:sz w:val="20"/>
      </w:rPr>
    </w:lvl>
    <w:lvl w:ilvl="5">
      <w:start w:val="1"/>
      <w:numFmt w:val="bullet"/>
      <w:lvlText w:val=""/>
      <w:lvlJc w:val="left"/>
      <w:pPr>
        <w:tabs>
          <w:tab w:val="num" w:pos="4320"/>
        </w:tabs>
        <w:ind w:left="4320" w:hanging="360"/>
      </w:pPr>
      <w:rPr>
        <w:rFonts w:ascii="Wingdings" w:hAnsi="Wingdings" w:hint="default"/>
        <w:sz w:val="20"/>
      </w:rPr>
    </w:lvl>
    <w:lvl w:ilvl="6">
      <w:start w:val="1"/>
      <w:numFmt w:val="bullet"/>
      <w:lvlText w:val=""/>
      <w:lvlJc w:val="left"/>
      <w:pPr>
        <w:tabs>
          <w:tab w:val="num" w:pos="5040"/>
        </w:tabs>
        <w:ind w:left="5040" w:hanging="360"/>
      </w:pPr>
      <w:rPr>
        <w:rFonts w:ascii="Wingdings" w:hAnsi="Wingdings" w:hint="default"/>
        <w:sz w:val="20"/>
      </w:rPr>
    </w:lvl>
    <w:lvl w:ilvl="7">
      <w:start w:val="1"/>
      <w:numFmt w:val="bullet"/>
      <w:lvlText w:val=""/>
      <w:lvlJc w:val="left"/>
      <w:pPr>
        <w:tabs>
          <w:tab w:val="num" w:pos="5760"/>
        </w:tabs>
        <w:ind w:left="5760" w:hanging="360"/>
      </w:pPr>
      <w:rPr>
        <w:rFonts w:ascii="Wingdings" w:hAnsi="Wingdings" w:hint="default"/>
        <w:sz w:val="20"/>
      </w:rPr>
    </w:lvl>
    <w:lvl w:ilvl="8">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6D3F62E7"/>
    <w:multiLevelType w:val="hybridMultilevel"/>
    <w:tmpl w:val="683EA4D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6"/>
  </w:num>
  <w:num w:numId="2">
    <w:abstractNumId w:val="3"/>
  </w:num>
  <w:num w:numId="3">
    <w:abstractNumId w:val="7"/>
  </w:num>
  <w:num w:numId="4">
    <w:abstractNumId w:val="4"/>
  </w:num>
  <w:num w:numId="5">
    <w:abstractNumId w:val="8"/>
  </w:num>
  <w:num w:numId="6">
    <w:abstractNumId w:val="0"/>
  </w:num>
  <w:num w:numId="7">
    <w:abstractNumId w:val="2"/>
  </w:num>
  <w:num w:numId="8">
    <w:abstractNumId w:val="5"/>
  </w:num>
  <w:num w:numId="9">
    <w:abstractNumId w:val="1"/>
  </w:num>
  <w:num w:numId="10">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5017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7299"/>
    <w:rsid w:val="00042B85"/>
    <w:rsid w:val="000434EA"/>
    <w:rsid w:val="000639BB"/>
    <w:rsid w:val="000716CF"/>
    <w:rsid w:val="00073907"/>
    <w:rsid w:val="000826EA"/>
    <w:rsid w:val="000852DF"/>
    <w:rsid w:val="00091352"/>
    <w:rsid w:val="0009691A"/>
    <w:rsid w:val="00097108"/>
    <w:rsid w:val="000A24C4"/>
    <w:rsid w:val="000B1F92"/>
    <w:rsid w:val="000B6681"/>
    <w:rsid w:val="000C6D3A"/>
    <w:rsid w:val="000E4EFE"/>
    <w:rsid w:val="000F3B8E"/>
    <w:rsid w:val="001034ED"/>
    <w:rsid w:val="00106632"/>
    <w:rsid w:val="00107FF1"/>
    <w:rsid w:val="00112712"/>
    <w:rsid w:val="001127E6"/>
    <w:rsid w:val="0013388C"/>
    <w:rsid w:val="001342BF"/>
    <w:rsid w:val="0014660A"/>
    <w:rsid w:val="0015178E"/>
    <w:rsid w:val="00151B76"/>
    <w:rsid w:val="00154283"/>
    <w:rsid w:val="0015690D"/>
    <w:rsid w:val="0015725E"/>
    <w:rsid w:val="001734AE"/>
    <w:rsid w:val="001746F2"/>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41DE8"/>
    <w:rsid w:val="00246C8C"/>
    <w:rsid w:val="002525CC"/>
    <w:rsid w:val="00252D6F"/>
    <w:rsid w:val="002607BA"/>
    <w:rsid w:val="00262906"/>
    <w:rsid w:val="00266557"/>
    <w:rsid w:val="002806B7"/>
    <w:rsid w:val="0029558C"/>
    <w:rsid w:val="002A631A"/>
    <w:rsid w:val="002A6E7E"/>
    <w:rsid w:val="002C065D"/>
    <w:rsid w:val="002C550A"/>
    <w:rsid w:val="002E449E"/>
    <w:rsid w:val="002E6DA3"/>
    <w:rsid w:val="002F51AD"/>
    <w:rsid w:val="00314152"/>
    <w:rsid w:val="00316CFE"/>
    <w:rsid w:val="003218D9"/>
    <w:rsid w:val="00325D2B"/>
    <w:rsid w:val="00332407"/>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37F8D"/>
    <w:rsid w:val="00456649"/>
    <w:rsid w:val="00462DB8"/>
    <w:rsid w:val="00463306"/>
    <w:rsid w:val="00470928"/>
    <w:rsid w:val="00470BED"/>
    <w:rsid w:val="00474834"/>
    <w:rsid w:val="0048556F"/>
    <w:rsid w:val="00490C58"/>
    <w:rsid w:val="004962C5"/>
    <w:rsid w:val="004A31AD"/>
    <w:rsid w:val="004C06A8"/>
    <w:rsid w:val="004C665C"/>
    <w:rsid w:val="004D6154"/>
    <w:rsid w:val="004D68B6"/>
    <w:rsid w:val="004E3F4C"/>
    <w:rsid w:val="004E5702"/>
    <w:rsid w:val="004E5E1A"/>
    <w:rsid w:val="004E614C"/>
    <w:rsid w:val="004F2EDE"/>
    <w:rsid w:val="004F4616"/>
    <w:rsid w:val="00500E13"/>
    <w:rsid w:val="005030C7"/>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62EE8"/>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17F90"/>
    <w:rsid w:val="00633477"/>
    <w:rsid w:val="00643134"/>
    <w:rsid w:val="006459EE"/>
    <w:rsid w:val="006560A4"/>
    <w:rsid w:val="0067384D"/>
    <w:rsid w:val="00680336"/>
    <w:rsid w:val="0068379D"/>
    <w:rsid w:val="00693674"/>
    <w:rsid w:val="006A7EF1"/>
    <w:rsid w:val="006B0512"/>
    <w:rsid w:val="006B3527"/>
    <w:rsid w:val="006C075C"/>
    <w:rsid w:val="006C6768"/>
    <w:rsid w:val="006C783E"/>
    <w:rsid w:val="006D6F3A"/>
    <w:rsid w:val="006E1A7D"/>
    <w:rsid w:val="006F104C"/>
    <w:rsid w:val="006F2038"/>
    <w:rsid w:val="006F50E8"/>
    <w:rsid w:val="007100BD"/>
    <w:rsid w:val="00736C17"/>
    <w:rsid w:val="00736C4F"/>
    <w:rsid w:val="00751373"/>
    <w:rsid w:val="00760184"/>
    <w:rsid w:val="00772DE4"/>
    <w:rsid w:val="0077584C"/>
    <w:rsid w:val="00776312"/>
    <w:rsid w:val="00791932"/>
    <w:rsid w:val="00795006"/>
    <w:rsid w:val="007A078A"/>
    <w:rsid w:val="007A2617"/>
    <w:rsid w:val="007A28BA"/>
    <w:rsid w:val="007B2E39"/>
    <w:rsid w:val="007C2733"/>
    <w:rsid w:val="007C3922"/>
    <w:rsid w:val="007C63C4"/>
    <w:rsid w:val="007E4EE0"/>
    <w:rsid w:val="007F12A2"/>
    <w:rsid w:val="007F2D9F"/>
    <w:rsid w:val="007F5448"/>
    <w:rsid w:val="007F6520"/>
    <w:rsid w:val="00806D18"/>
    <w:rsid w:val="00810C60"/>
    <w:rsid w:val="00832DBF"/>
    <w:rsid w:val="00851DF8"/>
    <w:rsid w:val="008521A2"/>
    <w:rsid w:val="00852C41"/>
    <w:rsid w:val="008824C8"/>
    <w:rsid w:val="008A7300"/>
    <w:rsid w:val="008B6708"/>
    <w:rsid w:val="008C0941"/>
    <w:rsid w:val="008C141D"/>
    <w:rsid w:val="008C31BC"/>
    <w:rsid w:val="008D775E"/>
    <w:rsid w:val="008E09AA"/>
    <w:rsid w:val="008E4413"/>
    <w:rsid w:val="008E4D2D"/>
    <w:rsid w:val="008E6037"/>
    <w:rsid w:val="008F0F40"/>
    <w:rsid w:val="00911199"/>
    <w:rsid w:val="00914F50"/>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81BE1"/>
    <w:rsid w:val="00A91915"/>
    <w:rsid w:val="00A92C73"/>
    <w:rsid w:val="00A93C89"/>
    <w:rsid w:val="00AA38A9"/>
    <w:rsid w:val="00AB4478"/>
    <w:rsid w:val="00AB65AE"/>
    <w:rsid w:val="00AD26C4"/>
    <w:rsid w:val="00AE5C8C"/>
    <w:rsid w:val="00AE74DE"/>
    <w:rsid w:val="00AE7A74"/>
    <w:rsid w:val="00AF2FE1"/>
    <w:rsid w:val="00AF610F"/>
    <w:rsid w:val="00B137EE"/>
    <w:rsid w:val="00B13CEC"/>
    <w:rsid w:val="00B16963"/>
    <w:rsid w:val="00B61682"/>
    <w:rsid w:val="00B66AF3"/>
    <w:rsid w:val="00B71AEA"/>
    <w:rsid w:val="00B74489"/>
    <w:rsid w:val="00B8102F"/>
    <w:rsid w:val="00B818CA"/>
    <w:rsid w:val="00B97297"/>
    <w:rsid w:val="00B979B1"/>
    <w:rsid w:val="00BA71B8"/>
    <w:rsid w:val="00BB553B"/>
    <w:rsid w:val="00BC0210"/>
    <w:rsid w:val="00BC4589"/>
    <w:rsid w:val="00BD7158"/>
    <w:rsid w:val="00BF24EB"/>
    <w:rsid w:val="00C057EA"/>
    <w:rsid w:val="00C05B22"/>
    <w:rsid w:val="00C141AF"/>
    <w:rsid w:val="00C175B6"/>
    <w:rsid w:val="00C210B4"/>
    <w:rsid w:val="00C22A2E"/>
    <w:rsid w:val="00C25142"/>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2B16"/>
    <w:rsid w:val="00D44269"/>
    <w:rsid w:val="00D46B8D"/>
    <w:rsid w:val="00D51841"/>
    <w:rsid w:val="00D6461B"/>
    <w:rsid w:val="00D815D9"/>
    <w:rsid w:val="00D855E8"/>
    <w:rsid w:val="00D87CA3"/>
    <w:rsid w:val="00D95177"/>
    <w:rsid w:val="00DA69E7"/>
    <w:rsid w:val="00DB1DCD"/>
    <w:rsid w:val="00DC4AE7"/>
    <w:rsid w:val="00DD4950"/>
    <w:rsid w:val="00DE10A6"/>
    <w:rsid w:val="00DF78A7"/>
    <w:rsid w:val="00DF793A"/>
    <w:rsid w:val="00E07CA1"/>
    <w:rsid w:val="00E263EC"/>
    <w:rsid w:val="00E27187"/>
    <w:rsid w:val="00E362E3"/>
    <w:rsid w:val="00E44F28"/>
    <w:rsid w:val="00E50AD6"/>
    <w:rsid w:val="00E51B2C"/>
    <w:rsid w:val="00E601E8"/>
    <w:rsid w:val="00E613BC"/>
    <w:rsid w:val="00E64C33"/>
    <w:rsid w:val="00E66CDC"/>
    <w:rsid w:val="00E67E00"/>
    <w:rsid w:val="00E74F47"/>
    <w:rsid w:val="00E842C7"/>
    <w:rsid w:val="00E953F3"/>
    <w:rsid w:val="00EA00AA"/>
    <w:rsid w:val="00EA6E73"/>
    <w:rsid w:val="00EB3760"/>
    <w:rsid w:val="00EC064B"/>
    <w:rsid w:val="00EC6024"/>
    <w:rsid w:val="00EC6FA6"/>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0177"/>
    <o:shapelayout v:ext="edit">
      <o:idmap v:ext="edit" data="1"/>
    </o:shapelayout>
  </w:shapeDefaults>
  <w:decimalSymbol w:val="."/>
  <w:listSeparator w:val=","/>
  <w14:docId w14:val="6B1EF2FD"/>
  <w15:docId w15:val="{6815785B-9563-4CF7-9948-A8CEA697FED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qFormat/>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paragraph" w:styleId="NoSpacing">
    <w:name w:val="No Spacing"/>
    <w:uiPriority w:val="1"/>
    <w:qFormat/>
    <w:rsid w:val="00BF24EB"/>
    <w:pPr>
      <w:spacing w:after="0" w:line="240" w:lineRule="auto"/>
    </w:pPr>
    <w:rPr>
      <w:rFonts w:eastAsiaTheme="minorEastAsia"/>
      <w:lang w:val="en-GB" w:eastAsia="zh-CN"/>
    </w:rPr>
  </w:style>
  <w:style w:type="paragraph" w:styleId="NormalWeb">
    <w:name w:val="Normal (Web)"/>
    <w:basedOn w:val="Normal"/>
    <w:uiPriority w:val="99"/>
    <w:semiHidden/>
    <w:unhideWhenUsed/>
    <w:rsid w:val="00832DBF"/>
    <w:pPr>
      <w:spacing w:before="100" w:beforeAutospacing="1" w:after="100" w:afterAutospacing="1" w:line="240" w:lineRule="auto"/>
    </w:pPr>
    <w:rPr>
      <w:rFonts w:ascii="Times New Roman" w:eastAsia="Times New Roman" w:hAnsi="Times New Roman" w:cs="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26" Type="http://schemas.openxmlformats.org/officeDocument/2006/relationships/hyperlink" Target="https://www.unccd.int/publications/scientific-conceptual-framework-land-degradation-neutrality-report-science-policy" TargetMode="External"/><Relationship Id="rId3" Type="http://schemas.openxmlformats.org/officeDocument/2006/relationships/customXml" Target="../customXml/item3.xml"/><Relationship Id="rId21" Type="http://schemas.openxmlformats.org/officeDocument/2006/relationships/hyperlink" Target="https://reporting.unccd.int/" TargetMode="External"/><Relationship Id="rId34" Type="http://schemas.openxmlformats.org/officeDocument/2006/relationships/theme" Target="theme/theme1.xm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5" Type="http://schemas.openxmlformats.org/officeDocument/2006/relationships/hyperlink" Target="https://wad.jrc.ec.europa.eu/" TargetMode="External"/><Relationship Id="rId33" Type="http://schemas.openxmlformats.org/officeDocument/2006/relationships/glossaryDocument" Target="glossary/document.xml"/><Relationship Id="rId2" Type="http://schemas.openxmlformats.org/officeDocument/2006/relationships/customXml" Target="../customXml/item2.xml"/><Relationship Id="rId16" Type="http://schemas.openxmlformats.org/officeDocument/2006/relationships/image" Target="media/image3.wmf"/><Relationship Id="rId20" Type="http://schemas.openxmlformats.org/officeDocument/2006/relationships/image" Target="media/image5.jpg"/><Relationship Id="rId29" Type="http://schemas.openxmlformats.org/officeDocument/2006/relationships/hyperlink" Target="http://www2.unccd.int/sites/default/files/relevant-links/2017-01/UNCCD_Convention_ENG_0.pdf" TargetMode="Externa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hyperlink" Target="https://publications.europa.eu/en/publication-detail/-/publication/1e2aceac-b20b-45ab-88d9-b3d187ae6375/language-en/format-PDF/source-49343336" TargetMode="External"/><Relationship Id="rId32" Type="http://schemas.openxmlformats.org/officeDocument/2006/relationships/fontTable" Target="fontTable.xml"/><Relationship Id="rId5" Type="http://schemas.openxmlformats.org/officeDocument/2006/relationships/numbering" Target="numbering.xml"/><Relationship Id="rId15" Type="http://schemas.openxmlformats.org/officeDocument/2006/relationships/hyperlink" Target="https://www.iso.org/iso-639-language-codes.html" TargetMode="External"/><Relationship Id="rId23" Type="http://schemas.openxmlformats.org/officeDocument/2006/relationships/hyperlink" Target="https://circabc.europa.eu/sd/a/06480e87-27a6-41e6-b165-0581c2b046ad/Guidance%20No%2013%20-%20Classification%20of%20Ecological%20Status%20(WG%20A).pdf" TargetMode="External"/><Relationship Id="rId28" Type="http://schemas.openxmlformats.org/officeDocument/2006/relationships/hyperlink" Target="https://www.unccd.int/publications/good-practice-guidance-sdg-indicator-1531-proportion-land-degraded-over-total-land" TargetMode="External"/><Relationship Id="rId10" Type="http://schemas.openxmlformats.org/officeDocument/2006/relationships/endnotes" Target="endnotes.xml"/><Relationship Id="rId19" Type="http://schemas.openxmlformats.org/officeDocument/2006/relationships/control" Target="activeX/activeX4.xml"/><Relationship Id="rId31" Type="http://schemas.openxmlformats.org/officeDocument/2006/relationships/footer" Target="footer2.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hyperlink" Target="https://trends.earth/docs/en/" TargetMode="External"/><Relationship Id="rId27" Type="http://schemas.openxmlformats.org/officeDocument/2006/relationships/hyperlink" Target="https://eospso.gsfc.nasa.gov/sites/default/files/atbd/atbd_mod16.pdf" TargetMode="External"/><Relationship Id="rId30" Type="http://schemas.openxmlformats.org/officeDocument/2006/relationships/footer" Target="footer1.xml"/></Relationships>
</file>

<file path=word/_rels/footnotes.xml.rels><?xml version="1.0" encoding="UTF-8" standalone="yes"?>
<Relationships xmlns="http://schemas.openxmlformats.org/package/2006/relationships"><Relationship Id="rId3" Type="http://schemas.openxmlformats.org/officeDocument/2006/relationships/hyperlink" Target="https://www.unccd.int/sites/default/files/sessions/documents/2019-08/18COP13_0.pdf" TargetMode="External"/><Relationship Id="rId7" Type="http://schemas.openxmlformats.org/officeDocument/2006/relationships/hyperlink" Target="https://www.unccd.int/publications/good-practice-guidance-sdg-indicator-1531-proportion-land-degraded-over-total-land" TargetMode="External"/><Relationship Id="rId2" Type="http://schemas.openxmlformats.org/officeDocument/2006/relationships/hyperlink" Target="https://www.unccd.int/sites/default/files/sessions/documents/2019-08/15COP13_0.pdf" TargetMode="External"/><Relationship Id="rId1" Type="http://schemas.openxmlformats.org/officeDocument/2006/relationships/hyperlink" Target="https://www.unccd.int/conventionreporting-process-and-prais/prais-4-reporting-platform" TargetMode="External"/><Relationship Id="rId6" Type="http://schemas.openxmlformats.org/officeDocument/2006/relationships/hyperlink" Target="https://prais4-reporting-manual.readthedocs.io/en/latest/index.html" TargetMode="External"/><Relationship Id="rId5" Type="http://schemas.openxmlformats.org/officeDocument/2006/relationships/hyperlink" Target="https://www.unccd.int/conventionreporting-process-and-prais/prais-4-reporting-platform" TargetMode="External"/><Relationship Id="rId4" Type="http://schemas.openxmlformats.org/officeDocument/2006/relationships/hyperlink" Target="https://www.unccd.int/publications/good-practice-guidance-sdg-indicator-1531-proportion-land-degraded-over-total-land" TargetMode="Externa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Basic">
    <w:altName w:val="Calibri"/>
    <w:charset w:val="00"/>
    <w:family w:val="auto"/>
    <w:pitch w:val="default"/>
  </w:font>
  <w:font w:name="SimSun">
    <w:altName w:val="宋体"/>
    <w:panose1 w:val="02010600030101010101"/>
    <w:charset w:val="86"/>
    <w:family w:val="auto"/>
    <w:pitch w:val="variable"/>
    <w:sig w:usb0="00000203" w:usb1="288F0000" w:usb2="00000016" w:usb3="00000000" w:csb0="00040001" w:csb1="00000000"/>
  </w:font>
  <w:font w:name="TimesNewRomanPS-BoldMT">
    <w:altName w:val="Times New Roman"/>
    <w:panose1 w:val="00000000000000000000"/>
    <w:charset w:val="00"/>
    <w:family w:val="swiss"/>
    <w:notTrueType/>
    <w:pitch w:val="default"/>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comment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367A59"/>
    <w:rsid w:val="005D7A47"/>
    <w:rsid w:val="006153AA"/>
    <w:rsid w:val="0064052E"/>
    <w:rsid w:val="00760A1F"/>
    <w:rsid w:val="007C1D1D"/>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documentManagement/types"/>
    <ds:schemaRef ds:uri="http://schemas.microsoft.com/office/infopath/2007/PartnerControls"/>
    <ds:schemaRef ds:uri="http://purl.org/dc/elements/1.1/"/>
    <ds:schemaRef ds:uri="http://schemas.microsoft.com/office/2006/metadata/properties"/>
    <ds:schemaRef ds:uri="http://purl.org/dc/terms/"/>
    <ds:schemaRef ds:uri="efb7f1d3-2f00-4f20-b7f7-b4cd1648c34e"/>
    <ds:schemaRef ds:uri="331bc5fa-37a0-4eaf-92e6-e8f500860589"/>
    <ds:schemaRef ds:uri="http://schemas.openxmlformats.org/package/2006/metadata/core-properties"/>
    <ds:schemaRef ds:uri="http://www.w3.org/XML/1998/namespace"/>
    <ds:schemaRef ds:uri="http://purl.org/dc/dcmitype/"/>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01C8DD26-0D39-4FD0-B0A8-9B65D890C94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38</TotalTime>
  <Pages>21</Pages>
  <Words>218964</Words>
  <Characters>1248097</Characters>
  <Application>Microsoft Office Word</Application>
  <DocSecurity>8</DocSecurity>
  <Lines>10400</Lines>
  <Paragraphs>2928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1464133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Fanning, Stephen B (JMD)</dc:creator>
  <cp:keywords/>
  <dc:description/>
  <cp:lastModifiedBy>ok</cp:lastModifiedBy>
  <cp:revision>39</cp:revision>
  <cp:lastPrinted>2020-04-16T14:23:00Z</cp:lastPrinted>
  <dcterms:created xsi:type="dcterms:W3CDTF">2023-12-19T13:18:00Z</dcterms:created>
  <dcterms:modified xsi:type="dcterms:W3CDTF">2024-05-10T06:55:00Z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