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17E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17E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17E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17E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17E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17E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17E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17E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17E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17E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17E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17E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17E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w:t>
      </w:r>
      <w:r>
        <w:lastRenderedPageBreak/>
        <w:t xml:space="preserve">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2099279402" w:edGrp="everyone" w:displacedByCustomXml="prev"/>
        <w:p w14:paraId="16677E55" w14:textId="77777777" w:rsidR="00355460" w:rsidRPr="00E263EC" w:rsidRDefault="00355460" w:rsidP="00355460">
          <w:r w:rsidRPr="00E263EC">
            <w:rPr>
              <w:rStyle w:val="PlaceholderText"/>
            </w:rPr>
            <w:t>Choose an item.</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F5BAE1" w:rsidR="00B66AF3" w:rsidRDefault="00226405"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2B706DD" w:rsidR="00FD54D7" w:rsidRDefault="00FD54D7" w:rsidP="00226405">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BB1C42F" w:rsidR="0077584C" w:rsidRDefault="00383580"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lastRenderedPageBreak/>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2D64F05" w:rsidR="00F7784D" w:rsidRDefault="00992B7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C36222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0A893EA" w14:textId="77777777" w:rsidR="00992B76" w:rsidRPr="00992B76" w:rsidRDefault="00992B76" w:rsidP="00992B76">
            <w:pPr>
              <w:shd w:val="clear" w:color="auto" w:fill="F5F5F5"/>
              <w:spacing w:after="100" w:line="240" w:lineRule="auto"/>
              <w:outlineLvl w:val="4"/>
              <w:rPr>
                <w:rFonts w:ascii="Calibri" w:eastAsia="Times New Roman" w:hAnsi="Calibri" w:cs="Times New Roman"/>
                <w:color w:val="333333"/>
                <w:sz w:val="21"/>
                <w:szCs w:val="21"/>
                <w:lang w:val="en-GB" w:eastAsia="en-GB"/>
              </w:rPr>
            </w:pPr>
            <w:r w:rsidRPr="00992B76">
              <w:rPr>
                <w:rFonts w:ascii="Calibri" w:eastAsia="Times New Roman" w:hAnsi="Calibri" w:cs="Times New Roman"/>
                <w:color w:val="333333"/>
                <w:sz w:val="21"/>
                <w:szCs w:val="21"/>
                <w:lang w:val="en-GB" w:eastAsia="en-GB"/>
              </w:rPr>
              <w:t>Goal 12: Ensure sustainable consumption and production patterns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2C1797F" w:rsidR="005377B9" w:rsidRPr="009F305C" w:rsidRDefault="00226405" w:rsidP="00226405">
            <w:pPr>
              <w:shd w:val="clear" w:color="auto" w:fill="F5F5F5"/>
              <w:spacing w:after="100" w:line="240" w:lineRule="auto"/>
              <w:outlineLvl w:val="4"/>
            </w:pPr>
            <w:r w:rsidRPr="00226405">
              <w:rPr>
                <w:rFonts w:ascii="Calibri" w:eastAsia="Times New Roman" w:hAnsi="Calibri" w:cs="Times New Roman"/>
                <w:color w:val="333333"/>
                <w:sz w:val="21"/>
                <w:szCs w:val="21"/>
                <w:lang w:val="en-GB" w:eastAsia="en-GB"/>
              </w:rPr>
              <w:t>Target 12.a: Support developing countries to strengthen their scientific and technological capacity to move towards more sustainable patterns of consumption and production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7D40869" w:rsidR="005377B9" w:rsidRPr="009F305C" w:rsidRDefault="00226405" w:rsidP="00226405">
            <w:pPr>
              <w:shd w:val="clear" w:color="auto" w:fill="F5F5F5"/>
              <w:spacing w:after="100" w:line="240" w:lineRule="auto"/>
              <w:outlineLvl w:val="4"/>
            </w:pPr>
            <w:r w:rsidRPr="00226405">
              <w:rPr>
                <w:rFonts w:ascii="Calibri" w:eastAsia="Times New Roman" w:hAnsi="Calibri" w:cs="Times New Roman"/>
                <w:color w:val="444444"/>
                <w:sz w:val="21"/>
                <w:szCs w:val="21"/>
                <w:lang w:val="en-GB" w:eastAsia="en-GB"/>
              </w:rPr>
              <w:t>Indicator 12.a.1: Installed renewable energy-generating capacity in developing countries (in watts per capita)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FCB8DEA" w:rsidR="005377B9" w:rsidRPr="009F305C" w:rsidRDefault="005377B9" w:rsidP="00F83528">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ED3C5D4" w:rsidR="005377B9" w:rsidRPr="009F305C" w:rsidRDefault="00560F1A" w:rsidP="009F305C">
            <w:r>
              <w:t>202</w:t>
            </w:r>
            <w:r w:rsidR="003066D9">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B7FAF5" w:rsidR="005377B9" w:rsidRPr="009F305C" w:rsidRDefault="0040006A" w:rsidP="0040006A">
            <w:pPr>
              <w:shd w:val="clear" w:color="auto" w:fill="F5F5F5"/>
              <w:spacing w:after="100" w:line="240" w:lineRule="auto"/>
              <w:outlineLvl w:val="4"/>
            </w:pPr>
            <w:r w:rsidRPr="0040006A">
              <w:rPr>
                <w:rFonts w:ascii="Calibri" w:eastAsia="Times New Roman" w:hAnsi="Calibri" w:cs="Times New Roman"/>
                <w:color w:val="333333"/>
                <w:sz w:val="21"/>
                <w:szCs w:val="21"/>
                <w:lang w:val="en-GB" w:eastAsia="en-GB"/>
              </w:rPr>
              <w:t>This indicator is also used as indicator 7.b.1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F3B75A0" w:rsidR="005377B9" w:rsidRPr="009F305C" w:rsidRDefault="0040006A" w:rsidP="0040006A">
            <w:pPr>
              <w:shd w:val="clear" w:color="auto" w:fill="F5F5F5"/>
              <w:spacing w:after="100" w:line="240" w:lineRule="auto"/>
              <w:outlineLvl w:val="4"/>
            </w:pPr>
            <w:r w:rsidRPr="0040006A">
              <w:rPr>
                <w:rFonts w:ascii="Calibri" w:eastAsia="Times New Roman" w:hAnsi="Calibri" w:cs="Times New Roman"/>
                <w:color w:val="333333"/>
                <w:sz w:val="21"/>
                <w:szCs w:val="21"/>
                <w:lang w:val="en-GB" w:eastAsia="en-GB"/>
              </w:rPr>
              <w:t>International Renewable Energy Agency (IRENA)</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492FD47B" w:rsidR="003E7389" w:rsidRPr="009F305C" w:rsidRDefault="00F90F66"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BD90C98" w:rsidR="003E7389" w:rsidRPr="009F305C" w:rsidRDefault="00F90F66"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44CB94B" w:rsidR="003E7389" w:rsidRPr="004960D8" w:rsidRDefault="003066D9" w:rsidP="009F305C">
            <w:r>
              <w:t>Senior Manager, Industrial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2928BE0" w:rsidR="003E7389" w:rsidRPr="004960D8" w:rsidRDefault="003066D9" w:rsidP="009F305C">
            <w:r>
              <w:t xml:space="preserve">Industrial Statistics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8D902F2" w:rsidR="003E7389" w:rsidRPr="004960D8" w:rsidRDefault="00A93C37" w:rsidP="009F305C">
            <w:r>
              <w:t xml:space="preserve">Production and dissemination of </w:t>
            </w:r>
            <w:r w:rsidR="003066D9">
              <w:t xml:space="preserve">Industrial </w:t>
            </w:r>
            <w:r>
              <w:t>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F096E3" w:rsidR="003E7389" w:rsidRPr="004960D8" w:rsidRDefault="00F90F66" w:rsidP="009F305C">
            <w:pPr>
              <w:rPr>
                <w:color w:val="BFBFBF" w:themeColor="background1" w:themeShade="BF"/>
              </w:rPr>
            </w:pPr>
            <w:r w:rsidRPr="004960D8">
              <w:rPr>
                <w:rFonts w:ascii="Arial" w:eastAsia="Arial" w:hAnsi="Arial" w:cs="Arial"/>
                <w:color w:val="BFBFBF" w:themeColor="background1" w:themeShade="BF"/>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7ECFF6C" w:rsidR="003E7389" w:rsidRPr="004960D8" w:rsidRDefault="00F90F66" w:rsidP="009F305C">
            <w:r w:rsidRPr="004960D8">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8FD155E" w:rsidR="003E7389" w:rsidRPr="004960D8" w:rsidRDefault="00A93C37" w:rsidP="009F305C">
            <w:r>
              <w:rPr>
                <w:color w:val="FF0000"/>
              </w:rPr>
              <w:t>dps</w:t>
            </w:r>
            <w:r w:rsidR="00F90F66" w:rsidRPr="004960D8">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36F2E59" w14:textId="77777777" w:rsidR="00ED5A99" w:rsidRPr="00ED5A99" w:rsidRDefault="00ED5A99" w:rsidP="00ED5A99">
            <w:pPr>
              <w:shd w:val="clear" w:color="auto" w:fill="FFFFFF"/>
              <w:spacing w:after="0" w:line="276" w:lineRule="auto"/>
              <w:rPr>
                <w:rFonts w:ascii="Calibri" w:eastAsia="Times New Roman" w:hAnsi="Calibri" w:cs="Times New Roman"/>
                <w:b/>
                <w:color w:val="4A4A4A"/>
                <w:sz w:val="21"/>
                <w:szCs w:val="21"/>
                <w:lang w:val="en-GB" w:eastAsia="en-GB"/>
              </w:rPr>
            </w:pPr>
            <w:r w:rsidRPr="00ED5A99">
              <w:rPr>
                <w:rFonts w:ascii="Calibri" w:eastAsia="Times New Roman" w:hAnsi="Calibri" w:cs="Times New Roman"/>
                <w:b/>
                <w:color w:val="4A4A4A"/>
                <w:sz w:val="21"/>
                <w:szCs w:val="21"/>
                <w:lang w:val="en-GB" w:eastAsia="en-GB"/>
              </w:rPr>
              <w:t>Definitions:</w:t>
            </w:r>
          </w:p>
          <w:permEnd w:id="940770281"/>
          <w:p w14:paraId="33E847C7" w14:textId="4E3E45B5" w:rsidR="00970668" w:rsidRPr="00970668" w:rsidRDefault="00970668" w:rsidP="00970668">
            <w:pPr>
              <w:shd w:val="clear" w:color="auto" w:fill="FFFFFF"/>
              <w:spacing w:after="0" w:line="276" w:lineRule="auto"/>
              <w:rPr>
                <w:rFonts w:ascii="Calibri" w:eastAsia="Times New Roman" w:hAnsi="Calibri" w:cs="Times New Roman"/>
                <w:color w:val="4A4A4A"/>
                <w:sz w:val="21"/>
                <w:szCs w:val="21"/>
                <w:lang w:val="en-GB" w:eastAsia="en-GB"/>
              </w:rPr>
            </w:pPr>
            <w:r w:rsidRPr="00970668">
              <w:rPr>
                <w:rFonts w:ascii="Calibri" w:eastAsia="Times New Roman" w:hAnsi="Calibri" w:cs="Times New Roman"/>
                <w:color w:val="4A4A4A"/>
                <w:sz w:val="21"/>
                <w:szCs w:val="21"/>
                <w:lang w:val="en-GB" w:eastAsia="en-GB"/>
              </w:rPr>
              <w:t>The indicator is defined as the installed capacity of power plants that generate electricity from renewable energy sources divided by the total population of a country. Capacity is defined as the net maximum electrical capacity installed at the year-end and renewable energy sources are as defined in the IR</w:t>
            </w:r>
            <w:r>
              <w:rPr>
                <w:rFonts w:ascii="Calibri" w:eastAsia="Times New Roman" w:hAnsi="Calibri" w:cs="Times New Roman"/>
                <w:color w:val="4A4A4A"/>
                <w:sz w:val="21"/>
                <w:szCs w:val="21"/>
                <w:lang w:val="en-GB" w:eastAsia="en-GB"/>
              </w:rPr>
              <w:t>ENA Statute</w:t>
            </w:r>
            <w:r w:rsidRPr="00970668">
              <w:rPr>
                <w:rFonts w:ascii="Calibri" w:eastAsia="Times New Roman" w:hAnsi="Calibri" w:cs="Times New Roman"/>
                <w:color w:val="4A4A4A"/>
                <w:sz w:val="21"/>
                <w:szCs w:val="21"/>
                <w:lang w:val="en-GB" w:eastAsia="en-GB"/>
              </w:rPr>
              <w:t>.</w:t>
            </w:r>
          </w:p>
          <w:p w14:paraId="71167B7A" w14:textId="77777777" w:rsidR="00970668" w:rsidRPr="00970668" w:rsidRDefault="00970668" w:rsidP="00970668">
            <w:pPr>
              <w:shd w:val="clear" w:color="auto" w:fill="FFFFFF"/>
              <w:spacing w:after="0" w:line="276" w:lineRule="auto"/>
              <w:rPr>
                <w:rFonts w:ascii="Calibri" w:eastAsia="Times New Roman" w:hAnsi="Calibri" w:cs="Times New Roman"/>
                <w:color w:val="4A4A4A"/>
                <w:sz w:val="21"/>
                <w:szCs w:val="21"/>
                <w:lang w:val="en-GB" w:eastAsia="en-GB"/>
              </w:rPr>
            </w:pPr>
          </w:p>
          <w:p w14:paraId="068BDD87" w14:textId="77777777" w:rsidR="00970668" w:rsidRPr="00970668" w:rsidRDefault="00970668" w:rsidP="00970668">
            <w:pPr>
              <w:shd w:val="clear" w:color="auto" w:fill="FFFFFF"/>
              <w:spacing w:after="0" w:line="276" w:lineRule="auto"/>
              <w:rPr>
                <w:rFonts w:ascii="Calibri" w:eastAsia="Times New Roman" w:hAnsi="Calibri" w:cs="Times New Roman"/>
                <w:b/>
                <w:bCs/>
                <w:color w:val="4A4A4A"/>
                <w:sz w:val="21"/>
                <w:szCs w:val="21"/>
                <w:lang w:val="en-GB" w:eastAsia="en-GB"/>
              </w:rPr>
            </w:pPr>
            <w:r w:rsidRPr="00970668">
              <w:rPr>
                <w:rFonts w:ascii="Calibri" w:eastAsia="Times New Roman" w:hAnsi="Calibri" w:cs="Times New Roman"/>
                <w:b/>
                <w:bCs/>
                <w:color w:val="4A4A4A"/>
                <w:sz w:val="21"/>
                <w:szCs w:val="21"/>
                <w:lang w:val="en-GB" w:eastAsia="en-GB"/>
              </w:rPr>
              <w:t>Concepts:</w:t>
            </w:r>
          </w:p>
          <w:p w14:paraId="3EBE2E3A" w14:textId="77777777" w:rsidR="00970668" w:rsidRPr="00970668" w:rsidRDefault="00970668" w:rsidP="00970668">
            <w:pPr>
              <w:shd w:val="clear" w:color="auto" w:fill="FFFFFF"/>
              <w:spacing w:after="0" w:line="276" w:lineRule="auto"/>
              <w:rPr>
                <w:rFonts w:ascii="Calibri" w:eastAsia="Times New Roman" w:hAnsi="Calibri" w:cs="Times New Roman"/>
                <w:color w:val="4A4A4A"/>
                <w:sz w:val="21"/>
                <w:szCs w:val="21"/>
                <w:lang w:val="en-GB" w:eastAsia="en-GB"/>
              </w:rPr>
            </w:pPr>
            <w:r w:rsidRPr="00970668">
              <w:rPr>
                <w:rFonts w:ascii="Calibri" w:eastAsia="Times New Roman" w:hAnsi="Calibri" w:cs="Times New Roman"/>
                <w:color w:val="4A4A4A"/>
                <w:sz w:val="21"/>
                <w:szCs w:val="21"/>
                <w:lang w:val="en-GB" w:eastAsia="en-GB"/>
              </w:rPr>
              <w:t xml:space="preserve">Electricity capacity is defined in the International Recommendations for Energy Statistics or IRES (UN, 2018) as the maximum active power that can be supplied continuously (i.e., throughout a prolonged period in a day with the whole plant </w:t>
            </w:r>
            <w:r w:rsidRPr="00970668">
              <w:rPr>
                <w:rFonts w:ascii="Calibri" w:eastAsia="Times New Roman" w:hAnsi="Calibri" w:cs="Times New Roman"/>
                <w:color w:val="4A4A4A"/>
                <w:sz w:val="21"/>
                <w:szCs w:val="21"/>
                <w:lang w:val="en-GB" w:eastAsia="en-GB"/>
              </w:rPr>
              <w:lastRenderedPageBreak/>
              <w:t>running) at the point of outlet (i.e., after taking the power supplies for the station auxiliaries and allowing for the losses in those transformers considered integral to the station). This assumes no restriction of interconnection to the network. It does not include overload capacity that can only be sustained for a short period of time (e.g., internal combustion engines momentarily running above their rated capacity).</w:t>
            </w:r>
          </w:p>
          <w:p w14:paraId="21004B07" w14:textId="77777777" w:rsidR="00970668" w:rsidRPr="00970668" w:rsidRDefault="00970668" w:rsidP="00970668">
            <w:pPr>
              <w:shd w:val="clear" w:color="auto" w:fill="FFFFFF"/>
              <w:spacing w:after="0" w:line="276" w:lineRule="auto"/>
              <w:rPr>
                <w:rFonts w:ascii="Calibri" w:eastAsia="Times New Roman" w:hAnsi="Calibri" w:cs="Times New Roman"/>
                <w:color w:val="4A4A4A"/>
                <w:sz w:val="21"/>
                <w:szCs w:val="21"/>
                <w:lang w:val="en-GB" w:eastAsia="en-GB"/>
              </w:rPr>
            </w:pPr>
          </w:p>
          <w:p w14:paraId="6C84E827" w14:textId="234B0ADC" w:rsidR="00ED5A99" w:rsidRPr="009F305C" w:rsidRDefault="00970668" w:rsidP="00970668">
            <w:r w:rsidRPr="00970668">
              <w:rPr>
                <w:rFonts w:ascii="Calibri" w:eastAsia="SimSun" w:hAnsi="Calibri" w:cs="Arial"/>
                <w:lang w:val="en-GB" w:eastAsia="zh-CN"/>
              </w:rPr>
              <w:t>The IRENA Statute defines renewable energy to include energy from the following sources: hydropower; marine energy (ocean, tidal and wave energy); wind energy; solar energy (photovoltaic and thermal energy); bioenergy; and geothermal energy.</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8F402A8" w:rsidR="0015178E" w:rsidRPr="009F305C" w:rsidRDefault="007F70C2" w:rsidP="00D06B49">
            <w:r w:rsidRPr="00226405">
              <w:rPr>
                <w:rFonts w:ascii="Calibri" w:eastAsia="Times New Roman" w:hAnsi="Calibri" w:cs="Times New Roman"/>
                <w:color w:val="444444"/>
                <w:sz w:val="21"/>
                <w:szCs w:val="21"/>
                <w:lang w:val="en-GB" w:eastAsia="en-GB"/>
              </w:rPr>
              <w:t>watts per capita</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C5355F7" w:rsidR="0015178E" w:rsidRPr="009F305C" w:rsidRDefault="007F70C2" w:rsidP="007F70C2">
            <w:pPr>
              <w:shd w:val="clear" w:color="auto" w:fill="FFFFFF"/>
              <w:spacing w:after="0" w:line="276" w:lineRule="auto"/>
            </w:pPr>
            <w:r w:rsidRPr="007F70C2">
              <w:rPr>
                <w:rFonts w:ascii="Calibri" w:eastAsia="Times New Roman" w:hAnsi="Calibri" w:cs="Times New Roman"/>
                <w:color w:val="4A4A4A"/>
                <w:sz w:val="21"/>
                <w:szCs w:val="21"/>
                <w:lang w:val="en-GB" w:eastAsia="en-GB"/>
              </w:rPr>
              <w:t>Electricity capacity classifications follow the International Recommendations for Energy Statistics or IRES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C396D6" w:rsidR="0035311B" w:rsidRPr="009F305C" w:rsidRDefault="008E37A5" w:rsidP="00564ACA">
            <w:r>
              <w:rPr>
                <w:rFonts w:eastAsia="Times New Roman" w:cs="Times New Roman"/>
                <w:color w:val="404040" w:themeColor="text1" w:themeTint="BF"/>
                <w:sz w:val="21"/>
                <w:szCs w:val="21"/>
                <w:lang w:eastAsia="en-GB"/>
              </w:rPr>
              <w:t>KNBS</w:t>
            </w:r>
            <w:r w:rsidR="007F70C2">
              <w:rPr>
                <w:rFonts w:eastAsia="Times New Roman" w:cs="Times New Roman"/>
                <w:color w:val="404040" w:themeColor="text1" w:themeTint="BF"/>
                <w:sz w:val="21"/>
                <w:szCs w:val="21"/>
                <w:lang w:eastAsia="en-GB"/>
              </w:rPr>
              <w:t xml:space="preserve"> (Economic Survey)</w:t>
            </w:r>
            <w:r>
              <w:rPr>
                <w:rFonts w:eastAsia="Times New Roman" w:cs="Times New Roman"/>
                <w:color w:val="404040" w:themeColor="text1" w:themeTint="BF"/>
                <w:sz w:val="21"/>
                <w:szCs w:val="21"/>
                <w:lang w:eastAsia="en-GB"/>
              </w:rPr>
              <w:t xml:space="preserve">, </w:t>
            </w:r>
            <w:r w:rsidR="00564ACA">
              <w:rPr>
                <w:rFonts w:eastAsia="Times New Roman" w:cs="Times New Roman"/>
                <w:color w:val="404040" w:themeColor="text1" w:themeTint="BF"/>
                <w:sz w:val="21"/>
                <w:szCs w:val="21"/>
                <w:lang w:eastAsia="en-GB"/>
              </w:rPr>
              <w:t>administrative data from Kenya Power and Lighting Company and Kenya Electricity Generation Company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91ED437" w:rsidR="0035311B" w:rsidRPr="009F305C" w:rsidRDefault="00391E7F" w:rsidP="009F305C">
            <w:r>
              <w:rPr>
                <w:rFonts w:cstheme="minorHAnsi"/>
              </w:rPr>
              <w:t>A</w:t>
            </w:r>
            <w:r w:rsidRPr="00FC147C">
              <w:rPr>
                <w:rFonts w:cstheme="minorHAnsi"/>
              </w:rPr>
              <w:t>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DBB1C77" w:rsidR="0035311B" w:rsidRPr="009F305C" w:rsidRDefault="00564ACA" w:rsidP="009F305C">
            <w:r>
              <w:t>Quarterly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DD065C0" w:rsidR="0035311B" w:rsidRPr="009F305C" w:rsidRDefault="0090758E" w:rsidP="00564ACA">
            <w:r>
              <w:t xml:space="preserve">By </w:t>
            </w:r>
            <w:r w:rsidR="00564ACA">
              <w:t>end of the succeeding Quarter (next Quarter)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D3699EA" w:rsidR="0035311B" w:rsidRPr="009F305C" w:rsidRDefault="00564ACA" w:rsidP="00564ACA">
            <w:pPr>
              <w:shd w:val="clear" w:color="auto" w:fill="FFFFFF"/>
              <w:spacing w:after="0" w:line="276" w:lineRule="auto"/>
            </w:pPr>
            <w:r>
              <w:rPr>
                <w:rFonts w:eastAsia="Times New Roman" w:cs="Times New Roman"/>
                <w:color w:val="404040" w:themeColor="text1" w:themeTint="BF"/>
                <w:sz w:val="21"/>
                <w:szCs w:val="21"/>
                <w:lang w:eastAsia="en-GB"/>
              </w:rPr>
              <w:t>Kenya Power and Lighting Company and Kenya Electricity Generation Company</w:t>
            </w:r>
            <w:r w:rsidR="00861571">
              <w:rPr>
                <w:rFonts w:ascii="Calibri" w:eastAsia="Times New Roman" w:hAnsi="Calibri" w:cs="Times New Roman"/>
                <w:color w:val="4A4A4A"/>
                <w:sz w:val="21"/>
                <w:szCs w:val="21"/>
                <w:lang w:val="en-GB" w:eastAsia="en-GB"/>
              </w:rPr>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8052108" w:rsidR="0035311B" w:rsidRPr="009F305C" w:rsidRDefault="0090758E"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6C5FAFA" w:rsidR="0035311B" w:rsidRPr="009F305C" w:rsidRDefault="0090758E"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0194185" w14:textId="77777777" w:rsidR="00D85FBD" w:rsidRPr="00D85FBD" w:rsidRDefault="00D85FBD" w:rsidP="00D85FBD">
            <w:pPr>
              <w:shd w:val="clear" w:color="auto" w:fill="FFFFFF"/>
              <w:spacing w:after="0" w:line="276" w:lineRule="auto"/>
              <w:rPr>
                <w:rFonts w:ascii="Calibri" w:eastAsia="Times New Roman" w:hAnsi="Calibri" w:cs="Times New Roman"/>
                <w:color w:val="4A4A4A"/>
                <w:sz w:val="21"/>
                <w:szCs w:val="21"/>
                <w:lang w:val="en-GB" w:eastAsia="en-GB"/>
              </w:rPr>
            </w:pPr>
            <w:r w:rsidRPr="00D85FBD">
              <w:rPr>
                <w:rFonts w:ascii="Calibri" w:eastAsia="Times New Roman" w:hAnsi="Calibri" w:cs="Times New Roman"/>
                <w:color w:val="4A4A4A"/>
                <w:sz w:val="21"/>
                <w:szCs w:val="21"/>
                <w:lang w:val="en-GB" w:eastAsia="en-GB"/>
              </w:rPr>
              <w:t xml:space="preserve">The infrastructure and technologies required to supply modern and sustainable energy services cover a wide range of equipment and devices that are used across numerous </w:t>
            </w:r>
            <w:r w:rsidRPr="00D85FBD">
              <w:rPr>
                <w:rFonts w:ascii="Calibri" w:eastAsia="Times New Roman" w:hAnsi="Calibri" w:cs="Times New Roman"/>
                <w:color w:val="4A4A4A"/>
                <w:sz w:val="21"/>
                <w:szCs w:val="21"/>
                <w:lang w:val="en-GB" w:eastAsia="en-GB"/>
              </w:rPr>
              <w:lastRenderedPageBreak/>
              <w:t xml:space="preserve">economic sectors. There is no readily available mechanism to collect, aggregate and measure the contribution of this disparate group of products to the delivery of modern and sustainable energy services. However, one major part of the energy supply chain that can be readily measured is the infrastructure used to produce electricity. </w:t>
            </w:r>
          </w:p>
          <w:p w14:paraId="13F38381" w14:textId="77777777" w:rsidR="00D85FBD" w:rsidRPr="00D85FBD" w:rsidRDefault="00D85FBD" w:rsidP="00D85FBD">
            <w:pPr>
              <w:shd w:val="clear" w:color="auto" w:fill="FFFFFF"/>
              <w:spacing w:after="0" w:line="276" w:lineRule="auto"/>
              <w:rPr>
                <w:rFonts w:ascii="Calibri" w:eastAsia="Times New Roman" w:hAnsi="Calibri" w:cs="Times New Roman"/>
                <w:color w:val="4A4A4A"/>
                <w:sz w:val="21"/>
                <w:szCs w:val="21"/>
                <w:lang w:val="en-GB" w:eastAsia="en-GB"/>
              </w:rPr>
            </w:pPr>
            <w:r w:rsidRPr="00D85FBD">
              <w:rPr>
                <w:rFonts w:ascii="Calibri" w:eastAsia="Times New Roman" w:hAnsi="Calibri" w:cs="Times New Roman"/>
                <w:color w:val="4A4A4A"/>
                <w:sz w:val="21"/>
                <w:szCs w:val="21"/>
                <w:lang w:val="en-GB" w:eastAsia="en-GB"/>
              </w:rPr>
              <w:t xml:space="preserve"> </w:t>
            </w:r>
          </w:p>
          <w:p w14:paraId="2E3517AC" w14:textId="0008ACD5" w:rsidR="007F2D9F" w:rsidRPr="009F305C" w:rsidRDefault="00D85FBD" w:rsidP="00D85FBD">
            <w:r w:rsidRPr="00D85FBD">
              <w:rPr>
                <w:rFonts w:ascii="Calibri" w:eastAsia="SimSun" w:hAnsi="Calibri" w:cs="Arial"/>
                <w:lang w:val="en-GB" w:eastAsia="zh-CN"/>
              </w:rPr>
              <w:t>Renewables are considered a sustainable form of energy supply, as their current use does not usually deplete their availability to be used in the future. The focus of this indicator on electricity reflects the emphasis of the target on modern sources of energy and is particularly relevant for developing countries where the demand for electricity is often high and its availability is constrained. Furthermore, the focus on renewables reflects the fact that the technologies used to produce renewable electricity are generally modern and more sustainable than non-renewables, particularly in the fastest growing sub-sectors of electricity generation from wind and solar energy.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EB0672A" w14:textId="77777777" w:rsidR="007F2D9F" w:rsidRDefault="00D85FBD" w:rsidP="00D85FBD">
            <w:pPr>
              <w:shd w:val="clear" w:color="auto" w:fill="FFFFFF"/>
              <w:spacing w:after="0" w:line="276" w:lineRule="auto"/>
            </w:pPr>
            <w:r>
              <w:t>As per the national policies, plans and targets, increasing the production of electricity and, in particular, renewable electricity, is seen as a first priority in their transition to the delivery of more modern and sustainable energy services. Thus, this indicator is a useful first-step towards measuring overall progress on this target that reflects country priorities and can be used until other additional or better indicators can be developed.</w:t>
            </w:r>
          </w:p>
          <w:p w14:paraId="48EF8537" w14:textId="021F107F" w:rsidR="00197EA7" w:rsidRPr="009F305C" w:rsidRDefault="00197EA7" w:rsidP="00D85FBD">
            <w:pPr>
              <w:shd w:val="clear" w:color="auto" w:fill="FFFFFF"/>
              <w:spacing w:after="0" w:line="276" w:lineRule="auto"/>
            </w:pPr>
            <w:r>
              <w:t xml:space="preserve">However, this indicator on electricity capacity does not capture any trends in the </w:t>
            </w:r>
            <w:proofErr w:type="spellStart"/>
            <w:r>
              <w:t>modernisation</w:t>
            </w:r>
            <w:proofErr w:type="spellEnd"/>
            <w:r>
              <w:t xml:space="preserve"> of technologies used to produce heat or provide energy for transport.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0C981F4" w:rsidR="007F2D9F" w:rsidRPr="00D936DA" w:rsidRDefault="00197EA7" w:rsidP="00197EA7">
            <w:pPr>
              <w:rPr>
                <w:color w:val="FF0000"/>
              </w:rPr>
            </w:pPr>
            <w:r w:rsidRPr="00F6037D">
              <w:t xml:space="preserve">For </w:t>
            </w:r>
            <w:r>
              <w:t>each period under consideration</w:t>
            </w:r>
            <w:r w:rsidRPr="00F6037D">
              <w:t xml:space="preserve">, the renewable electricity generating capacity at the end of the </w:t>
            </w:r>
            <w:r>
              <w:t>period</w:t>
            </w:r>
            <w:r w:rsidRPr="00F6037D">
              <w:t xml:space="preserve"> is divided by the </w:t>
            </w:r>
            <w:r>
              <w:t xml:space="preserve">estimated </w:t>
            </w:r>
            <w:r w:rsidRPr="00F6037D">
              <w:t>total population of the country</w:t>
            </w:r>
            <w:r>
              <w:t xml:space="preserve"> in that particular period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812A02B" w:rsidR="00034E62" w:rsidRPr="009F305C" w:rsidRDefault="00A26EA6" w:rsidP="00CF6B70">
            <w:r>
              <w:t>S</w:t>
            </w:r>
            <w:r w:rsidRPr="00D25B22">
              <w:t xml:space="preserve">imple </w:t>
            </w:r>
            <w:r>
              <w:t xml:space="preserve">completeness and </w:t>
            </w:r>
            <w:r w:rsidRPr="00777D8F">
              <w:t>consistency</w:t>
            </w:r>
            <w:r w:rsidRPr="00D25B22">
              <w:t xml:space="preserve"> checks</w:t>
            </w:r>
            <w:r w:rsidR="00F77AB9">
              <w:t xml:space="preserve"> are conducted</w:t>
            </w:r>
            <w:r>
              <w:t xml:space="preserve">, in consultation </w:t>
            </w:r>
            <w:r w:rsidR="00197EA7">
              <w:t xml:space="preserve">with data providers (Kenya Power and </w:t>
            </w:r>
            <w:proofErr w:type="spellStart"/>
            <w:r w:rsidR="00197EA7">
              <w:t>KenGen</w:t>
            </w:r>
            <w:proofErr w:type="spellEnd"/>
            <w:r w:rsidR="00197EA7">
              <w:t xml:space="preserve">) through quarterly </w:t>
            </w:r>
            <w:r w:rsidR="00CF6B70">
              <w:t>forums such as Quarterly Trade Meetings, email and telephone engagements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2D9710AC" w:rsidR="007F2D9F" w:rsidRPr="009F305C" w:rsidRDefault="00494CC3" w:rsidP="009F305C">
            <w:r>
              <w:t>No adjustments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89152E2" w:rsidR="007F2D9F" w:rsidRPr="009F305C" w:rsidRDefault="008A5100"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53754DD" w:rsidR="007F2D9F" w:rsidRPr="009F305C" w:rsidRDefault="00494CC3"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58C3A94" w14:textId="7C78E223" w:rsidR="00CF6B70" w:rsidRDefault="004F63E5" w:rsidP="00CF6B70">
            <w:pPr>
              <w:rPr>
                <w:rFonts w:ascii="Calibri" w:eastAsia="Times New Roman" w:hAnsi="Calibri" w:cs="Times New Roman"/>
                <w:color w:val="4A4A4A"/>
                <w:sz w:val="21"/>
                <w:szCs w:val="21"/>
                <w:lang w:val="en-GB" w:eastAsia="en-GB"/>
              </w:rPr>
            </w:pPr>
            <w:r>
              <w:t>The Bureau uses recommended international standards and compilation guides when coming up with the reports. These include but not limited to:</w:t>
            </w:r>
            <w:r w:rsidR="00F41E48">
              <w:t xml:space="preserve"> </w:t>
            </w:r>
            <w:r w:rsidR="00CF6B70">
              <w:rPr>
                <w:rFonts w:ascii="Calibri" w:eastAsia="Times New Roman" w:hAnsi="Calibri" w:cs="Times New Roman"/>
                <w:color w:val="4A4A4A"/>
                <w:sz w:val="21"/>
                <w:szCs w:val="21"/>
                <w:lang w:val="en-GB" w:eastAsia="en-GB"/>
              </w:rPr>
              <w:t>M</w:t>
            </w:r>
            <w:r w:rsidR="00CF6B70" w:rsidRPr="00CF6B70">
              <w:rPr>
                <w:rFonts w:ascii="Calibri" w:eastAsia="Times New Roman" w:hAnsi="Calibri" w:cs="Times New Roman"/>
                <w:color w:val="4A4A4A"/>
                <w:sz w:val="21"/>
                <w:szCs w:val="21"/>
                <w:lang w:val="en-GB" w:eastAsia="en-GB"/>
              </w:rPr>
              <w:t>ethodological Guid</w:t>
            </w:r>
            <w:r w:rsidR="00CF6B70">
              <w:rPr>
                <w:rFonts w:ascii="Calibri" w:eastAsia="Times New Roman" w:hAnsi="Calibri" w:cs="Times New Roman"/>
                <w:color w:val="4A4A4A"/>
                <w:sz w:val="21"/>
                <w:szCs w:val="21"/>
                <w:lang w:val="en-GB" w:eastAsia="en-GB"/>
              </w:rPr>
              <w:t>elines, specifically, on</w:t>
            </w:r>
            <w:r w:rsidR="00CF6B70" w:rsidRPr="00CF6B70">
              <w:rPr>
                <w:rFonts w:ascii="Calibri" w:eastAsia="Times New Roman" w:hAnsi="Calibri" w:cs="Times New Roman"/>
                <w:color w:val="4A4A4A"/>
                <w:sz w:val="21"/>
                <w:szCs w:val="21"/>
                <w:lang w:val="en-GB" w:eastAsia="en-GB"/>
              </w:rPr>
              <w:t xml:space="preserve"> how to measure renewable energy and collect renewable energy data</w:t>
            </w:r>
            <w:r w:rsidR="00CF6B70">
              <w:rPr>
                <w:rFonts w:ascii="Calibri" w:eastAsia="Times New Roman" w:hAnsi="Calibri" w:cs="Times New Roman"/>
                <w:color w:val="4A4A4A"/>
                <w:sz w:val="21"/>
                <w:szCs w:val="21"/>
                <w:lang w:val="en-GB" w:eastAsia="en-GB"/>
              </w:rPr>
              <w:t>;</w:t>
            </w:r>
            <w:r w:rsidR="00CF6B70" w:rsidRPr="00CF6B70">
              <w:rPr>
                <w:rFonts w:ascii="Calibri" w:eastAsia="Times New Roman" w:hAnsi="Calibri" w:cs="Times New Roman"/>
                <w:color w:val="4A4A4A"/>
                <w:sz w:val="21"/>
                <w:szCs w:val="21"/>
                <w:lang w:val="en-GB" w:eastAsia="en-GB"/>
              </w:rPr>
              <w:t xml:space="preserve"> Guid</w:t>
            </w:r>
            <w:r w:rsidR="00CF6B70">
              <w:rPr>
                <w:rFonts w:ascii="Calibri" w:eastAsia="Times New Roman" w:hAnsi="Calibri" w:cs="Times New Roman"/>
                <w:color w:val="4A4A4A"/>
                <w:sz w:val="21"/>
                <w:szCs w:val="21"/>
                <w:lang w:val="en-GB" w:eastAsia="en-GB"/>
              </w:rPr>
              <w:t xml:space="preserve">elines </w:t>
            </w:r>
            <w:r w:rsidR="00CF6B70" w:rsidRPr="00CF6B70">
              <w:rPr>
                <w:rFonts w:ascii="Calibri" w:eastAsia="Times New Roman" w:hAnsi="Calibri" w:cs="Times New Roman"/>
                <w:color w:val="4A4A4A"/>
                <w:sz w:val="21"/>
                <w:szCs w:val="21"/>
                <w:lang w:val="en-GB" w:eastAsia="en-GB"/>
              </w:rPr>
              <w:t>for the collection of electricity capacity d</w:t>
            </w:r>
            <w:r w:rsidR="00CF6B70">
              <w:rPr>
                <w:rFonts w:ascii="Calibri" w:eastAsia="Times New Roman" w:hAnsi="Calibri" w:cs="Times New Roman"/>
                <w:color w:val="4A4A4A"/>
                <w:sz w:val="21"/>
                <w:szCs w:val="21"/>
                <w:lang w:val="en-GB" w:eastAsia="en-GB"/>
              </w:rPr>
              <w:t>ata-</w:t>
            </w:r>
            <w:r w:rsidR="00CF6B70" w:rsidRPr="00CF6B70">
              <w:rPr>
                <w:rFonts w:ascii="Calibri" w:eastAsia="Times New Roman" w:hAnsi="Calibri" w:cs="Times New Roman"/>
                <w:color w:val="4A4A4A"/>
                <w:sz w:val="21"/>
                <w:szCs w:val="21"/>
                <w:lang w:val="en-GB" w:eastAsia="en-GB"/>
              </w:rPr>
              <w:t>by the International Recommendations for Energy Statistics</w:t>
            </w:r>
            <w:r w:rsidR="00CF6B70">
              <w:rPr>
                <w:rFonts w:ascii="Calibri" w:eastAsia="Times New Roman" w:hAnsi="Calibri" w:cs="Times New Roman"/>
                <w:color w:val="4A4A4A"/>
                <w:sz w:val="21"/>
                <w:szCs w:val="21"/>
                <w:lang w:val="en-GB" w:eastAsia="en-GB"/>
              </w:rPr>
              <w:t xml:space="preserve"> (IRENA)</w:t>
            </w:r>
            <w:r w:rsidR="00CF6B70" w:rsidRPr="00CF6B70">
              <w:rPr>
                <w:rFonts w:ascii="Calibri" w:eastAsia="Times New Roman" w:hAnsi="Calibri" w:cs="Times New Roman"/>
                <w:color w:val="4A4A4A"/>
                <w:sz w:val="21"/>
                <w:szCs w:val="21"/>
                <w:lang w:val="en-GB" w:eastAsia="en-GB"/>
              </w:rPr>
              <w:t xml:space="preserve">. </w:t>
            </w:r>
          </w:p>
          <w:p w14:paraId="0232E6B5" w14:textId="443DEE3B" w:rsidR="007F2D9F" w:rsidRPr="009F305C" w:rsidRDefault="00CC3892" w:rsidP="00CC3892">
            <w:r>
              <w:rPr>
                <w:rFonts w:ascii="Calibri" w:eastAsia="Times New Roman" w:hAnsi="Calibri" w:cs="Times New Roman"/>
                <w:color w:val="4A4A4A"/>
                <w:sz w:val="21"/>
                <w:szCs w:val="21"/>
                <w:lang w:val="en-GB" w:eastAsia="en-GB"/>
              </w:rPr>
              <w:t>More support through programmes on r</w:t>
            </w:r>
            <w:r w:rsidR="00CF6B70" w:rsidRPr="00CF6B70">
              <w:rPr>
                <w:rFonts w:ascii="Calibri" w:eastAsia="Times New Roman" w:hAnsi="Calibri" w:cs="Times New Roman"/>
                <w:color w:val="4A4A4A"/>
                <w:sz w:val="21"/>
                <w:szCs w:val="21"/>
                <w:lang w:val="en-GB" w:eastAsia="en-GB"/>
              </w:rPr>
              <w:t>egional renewable energ</w:t>
            </w:r>
            <w:r>
              <w:rPr>
                <w:rFonts w:ascii="Calibri" w:eastAsia="Times New Roman" w:hAnsi="Calibri" w:cs="Times New Roman"/>
                <w:color w:val="4A4A4A"/>
                <w:sz w:val="21"/>
                <w:szCs w:val="21"/>
                <w:lang w:val="en-GB" w:eastAsia="en-GB"/>
              </w:rPr>
              <w:t>y statistics training workshops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03626C38" w:rsidR="007F2D9F" w:rsidRPr="009F305C" w:rsidRDefault="00C22164"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B793B8E" w14:textId="77777777" w:rsidR="00C22164" w:rsidRDefault="00C22164" w:rsidP="00C22164">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64EE7BBE" w:rsidR="007F2D9F" w:rsidRPr="009F305C" w:rsidRDefault="00C22164" w:rsidP="00C22164">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2FF0F83D" w:rsidR="007F2D9F" w:rsidRPr="009F305C" w:rsidRDefault="00C22164" w:rsidP="00BC3B51">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2C18FD40" w:rsidR="00776312" w:rsidRPr="009F305C" w:rsidRDefault="00F22E58" w:rsidP="003E2641">
            <w:pPr>
              <w:shd w:val="clear" w:color="auto" w:fill="F5F5F5"/>
              <w:spacing w:after="0" w:line="276" w:lineRule="auto"/>
              <w:outlineLvl w:val="1"/>
            </w:pPr>
            <w:r>
              <w:rPr>
                <w:rFonts w:ascii="Calibri" w:eastAsia="Times New Roman" w:hAnsi="Calibri" w:cs="Times New Roman"/>
                <w:color w:val="333333"/>
                <w:sz w:val="21"/>
                <w:szCs w:val="21"/>
                <w:lang w:val="en-GB" w:eastAsia="en-GB"/>
              </w:rPr>
              <w:t xml:space="preserve">Data on </w:t>
            </w:r>
            <w:r w:rsidR="0074764D">
              <w:rPr>
                <w:rFonts w:ascii="Calibri" w:eastAsia="Times New Roman" w:hAnsi="Calibri" w:cs="Times New Roman"/>
                <w:color w:val="333333"/>
                <w:sz w:val="21"/>
                <w:szCs w:val="21"/>
                <w:lang w:val="en-GB" w:eastAsia="en-GB"/>
              </w:rPr>
              <w:t>Indicator 12.</w:t>
            </w:r>
            <w:r w:rsidR="00C2504B">
              <w:rPr>
                <w:rFonts w:ascii="Calibri" w:eastAsia="Times New Roman" w:hAnsi="Calibri" w:cs="Times New Roman"/>
                <w:color w:val="333333"/>
                <w:sz w:val="21"/>
                <w:szCs w:val="21"/>
                <w:lang w:val="en-GB" w:eastAsia="en-GB"/>
              </w:rPr>
              <w:t>a</w:t>
            </w:r>
            <w:r w:rsidRPr="00BC22AC">
              <w:rPr>
                <w:rFonts w:ascii="Calibri" w:eastAsia="Times New Roman" w:hAnsi="Calibri" w:cs="Times New Roman"/>
                <w:color w:val="333333"/>
                <w:sz w:val="21"/>
                <w:szCs w:val="21"/>
                <w:lang w:val="en-GB" w:eastAsia="en-GB"/>
              </w:rPr>
              <w:t xml:space="preserve">.1: </w:t>
            </w:r>
            <w:r w:rsidR="00C2504B" w:rsidRPr="00226405">
              <w:rPr>
                <w:rFonts w:ascii="Calibri" w:eastAsia="Times New Roman" w:hAnsi="Calibri" w:cs="Times New Roman"/>
                <w:color w:val="444444"/>
                <w:sz w:val="21"/>
                <w:szCs w:val="21"/>
                <w:lang w:val="en-GB" w:eastAsia="en-GB"/>
              </w:rPr>
              <w:t>Installed renewable energy-generating capacity</w:t>
            </w:r>
            <w:r>
              <w:rPr>
                <w:rFonts w:ascii="Calibri" w:eastAsia="Times New Roman" w:hAnsi="Calibri" w:cs="Times New Roman"/>
                <w:color w:val="333333"/>
                <w:sz w:val="21"/>
                <w:szCs w:val="21"/>
                <w:lang w:val="en-GB" w:eastAsia="en-GB"/>
              </w:rPr>
              <w:t xml:space="preserve">, is </w:t>
            </w:r>
            <w:r w:rsidR="0074764D">
              <w:rPr>
                <w:rFonts w:ascii="Calibri" w:eastAsia="Times New Roman" w:hAnsi="Calibri" w:cs="Times New Roman"/>
                <w:color w:val="333333"/>
                <w:sz w:val="21"/>
                <w:szCs w:val="21"/>
                <w:lang w:val="en-GB" w:eastAsia="en-GB"/>
              </w:rPr>
              <w:t>available</w:t>
            </w:r>
            <w:r w:rsidR="00C2504B">
              <w:rPr>
                <w:rFonts w:ascii="Calibri" w:eastAsia="Times New Roman" w:hAnsi="Calibri" w:cs="Times New Roman"/>
                <w:color w:val="333333"/>
                <w:sz w:val="21"/>
                <w:szCs w:val="21"/>
                <w:lang w:val="en-GB" w:eastAsia="en-GB"/>
              </w:rPr>
              <w:t xml:space="preserve"> at National Level</w:t>
            </w:r>
            <w:r w:rsidR="0074764D">
              <w:rPr>
                <w:rFonts w:ascii="Calibri" w:eastAsia="Times New Roman" w:hAnsi="Calibri" w:cs="Times New Roman"/>
                <w:color w:val="333333"/>
                <w:sz w:val="21"/>
                <w:szCs w:val="21"/>
                <w:lang w:val="en-GB" w:eastAsia="en-GB"/>
              </w:rPr>
              <w:t xml:space="preserve">, </w:t>
            </w:r>
            <w:r>
              <w:rPr>
                <w:rFonts w:ascii="Calibri" w:eastAsia="Times New Roman" w:hAnsi="Calibri" w:cs="Times New Roman"/>
                <w:color w:val="333333"/>
                <w:sz w:val="21"/>
                <w:szCs w:val="21"/>
                <w:lang w:val="en-GB" w:eastAsia="en-GB"/>
              </w:rPr>
              <w:t xml:space="preserve">published </w:t>
            </w:r>
            <w:r w:rsidR="00C2504B">
              <w:rPr>
                <w:rFonts w:ascii="Calibri" w:eastAsia="Times New Roman" w:hAnsi="Calibri" w:cs="Times New Roman"/>
                <w:color w:val="333333"/>
                <w:sz w:val="21"/>
                <w:szCs w:val="21"/>
                <w:lang w:val="en-GB" w:eastAsia="en-GB"/>
              </w:rPr>
              <w:t>in the Annual Economic Survey (Chapter 9: Energy)</w:t>
            </w:r>
            <w:r w:rsidR="003E2641">
              <w:rPr>
                <w:rFonts w:ascii="Calibri" w:eastAsia="Times New Roman" w:hAnsi="Calibri" w:cs="Times New Roman"/>
                <w:color w:val="333333"/>
                <w:sz w:val="21"/>
                <w:szCs w:val="21"/>
                <w:lang w:val="en-GB" w:eastAsia="en-GB"/>
              </w:rPr>
              <w:t>; F</w:t>
            </w:r>
            <w:proofErr w:type="spellStart"/>
            <w:r w:rsidR="003E2641">
              <w:t>igures</w:t>
            </w:r>
            <w:proofErr w:type="spellEnd"/>
            <w:r w:rsidR="003E2641">
              <w:t xml:space="preserve"> are disaggregated by technology (solar, hydro, wind, etc.)</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47DC4C1" w:rsidR="006A7EF1" w:rsidRPr="009F305C" w:rsidRDefault="00F443FA"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496A060" w14:textId="4F424D82" w:rsidR="00F41E48" w:rsidRPr="00F41E48" w:rsidRDefault="00F41E48" w:rsidP="009F305C">
            <w:pPr>
              <w:rPr>
                <w:highlight w:val="yellow"/>
              </w:rPr>
            </w:pPr>
            <w:ins w:id="31" w:author="Jerry Odenya" w:date="2023-12-12T23:21:00Z">
              <w:r w:rsidRPr="00F41E48">
                <w:rPr>
                  <w:highlight w:val="yellow"/>
                  <w:rPrChange w:id="32" w:author="Jerry Odenya" w:date="2023-12-12T23:26:00Z">
                    <w:rPr/>
                  </w:rPrChange>
                </w:rPr>
                <w:t>https://www.knbs.or.ke/</w:t>
              </w:r>
            </w:ins>
            <w:r w:rsidRPr="00F41E48">
              <w:rPr>
                <w:highlight w:val="yellow"/>
              </w:rPr>
              <w:t>publications</w:t>
            </w:r>
          </w:p>
          <w:p w14:paraId="25652E9C" w14:textId="690BD7A7" w:rsidR="0074764D" w:rsidRDefault="00A17E00" w:rsidP="00564ACA">
            <w:pPr>
              <w:shd w:val="clear" w:color="auto" w:fill="FFFFFF"/>
              <w:spacing w:after="0" w:line="276" w:lineRule="auto"/>
              <w:rPr>
                <w:rFonts w:ascii="Calibri" w:eastAsia="Times New Roman" w:hAnsi="Calibri" w:cs="Times New Roman"/>
                <w:color w:val="0000FF"/>
                <w:sz w:val="21"/>
                <w:szCs w:val="21"/>
                <w:u w:val="single"/>
                <w:lang w:val="en-GB" w:eastAsia="en-GB"/>
              </w:rPr>
            </w:pPr>
            <w:hyperlink r:id="rId21" w:history="1">
              <w:r w:rsidR="00564ACA" w:rsidRPr="00564ACA">
                <w:rPr>
                  <w:rFonts w:ascii="Calibri" w:eastAsia="Times New Roman" w:hAnsi="Calibri" w:cs="Times New Roman"/>
                  <w:color w:val="0000FF"/>
                  <w:sz w:val="21"/>
                  <w:szCs w:val="21"/>
                  <w:u w:val="single"/>
                  <w:lang w:val="en-GB" w:eastAsia="en-GB"/>
                </w:rPr>
                <w:t>https://population.un.org/wpp/Methodology/</w:t>
              </w:r>
            </w:hyperlink>
          </w:p>
          <w:p w14:paraId="065D05DA" w14:textId="77777777" w:rsidR="008A024A" w:rsidRDefault="008A024A" w:rsidP="00564ACA">
            <w:pPr>
              <w:shd w:val="clear" w:color="auto" w:fill="FFFFFF"/>
              <w:spacing w:after="0" w:line="276" w:lineRule="auto"/>
              <w:rPr>
                <w:rFonts w:ascii="Calibri" w:eastAsia="Times New Roman" w:hAnsi="Calibri" w:cs="Times New Roman"/>
                <w:color w:val="0000FF"/>
                <w:sz w:val="21"/>
                <w:szCs w:val="21"/>
                <w:u w:val="single"/>
                <w:lang w:val="en-GB" w:eastAsia="en-GB"/>
              </w:rPr>
            </w:pPr>
          </w:p>
          <w:p w14:paraId="47806E13" w14:textId="3E6F5B7A" w:rsidR="008A024A" w:rsidRDefault="008A024A" w:rsidP="008A024A">
            <w:pPr>
              <w:shd w:val="clear" w:color="auto" w:fill="FFFFFF"/>
              <w:spacing w:after="0" w:line="276" w:lineRule="auto"/>
              <w:rPr>
                <w:rFonts w:ascii="Calibri" w:eastAsia="Times New Roman" w:hAnsi="Calibri" w:cs="Times New Roman"/>
                <w:color w:val="0000FF"/>
                <w:sz w:val="21"/>
                <w:szCs w:val="21"/>
                <w:u w:val="single"/>
                <w:lang w:val="en-GB" w:eastAsia="en-GB"/>
              </w:rPr>
            </w:pPr>
            <w:r w:rsidRPr="008A024A">
              <w:rPr>
                <w:rFonts w:ascii="Calibri" w:eastAsia="Times New Roman" w:hAnsi="Calibri" w:cs="Times New Roman"/>
                <w:color w:val="4A4A4A"/>
                <w:sz w:val="21"/>
                <w:szCs w:val="21"/>
                <w:lang w:val="en-GB" w:eastAsia="en-GB"/>
              </w:rPr>
              <w:t xml:space="preserve">UN, 2018. International Recommendations for Energy Statistics (IRES). New York City: United Nations. Retrieved from </w:t>
            </w:r>
            <w:hyperlink r:id="rId22" w:history="1">
              <w:r w:rsidRPr="008A024A">
                <w:rPr>
                  <w:rFonts w:ascii="Calibri" w:eastAsia="Times New Roman" w:hAnsi="Calibri" w:cs="Times New Roman"/>
                  <w:color w:val="0000FF"/>
                  <w:sz w:val="21"/>
                  <w:szCs w:val="21"/>
                  <w:u w:val="single"/>
                  <w:lang w:val="en-GB" w:eastAsia="en-GB"/>
                </w:rPr>
                <w:t>https://unstats.un.org/unsd/energystats/methodology/documents/IRES-web.pdf</w:t>
              </w:r>
            </w:hyperlink>
          </w:p>
          <w:p w14:paraId="51151F8D" w14:textId="77777777" w:rsidR="008A024A" w:rsidRPr="008A024A" w:rsidRDefault="008A024A" w:rsidP="008A024A">
            <w:pPr>
              <w:shd w:val="clear" w:color="auto" w:fill="FFFFFF"/>
              <w:spacing w:after="0" w:line="276" w:lineRule="auto"/>
              <w:rPr>
                <w:rFonts w:ascii="Calibri" w:eastAsia="Times New Roman" w:hAnsi="Calibri" w:cs="Times New Roman"/>
                <w:color w:val="4A4A4A"/>
                <w:sz w:val="21"/>
                <w:szCs w:val="21"/>
                <w:lang w:val="en-GB" w:eastAsia="en-GB"/>
              </w:rPr>
            </w:pPr>
          </w:p>
          <w:p w14:paraId="127FB56F" w14:textId="20B9DB75" w:rsidR="008A024A" w:rsidRPr="009F305C" w:rsidRDefault="008A024A" w:rsidP="008A024A">
            <w:pPr>
              <w:shd w:val="clear" w:color="auto" w:fill="FFFFFF"/>
              <w:spacing w:after="0" w:line="276" w:lineRule="auto"/>
            </w:pPr>
            <w:r w:rsidRPr="008A024A">
              <w:rPr>
                <w:rFonts w:ascii="Calibri" w:eastAsia="Times New Roman" w:hAnsi="Calibri" w:cs="Times New Roman"/>
                <w:color w:val="4A4A4A"/>
                <w:sz w:val="21"/>
                <w:szCs w:val="21"/>
                <w:lang w:val="en-GB" w:eastAsia="en-GB"/>
              </w:rPr>
              <w:lastRenderedPageBreak/>
              <w:t xml:space="preserve">IRENA Statistical Yearbooks: </w:t>
            </w:r>
            <w:hyperlink r:id="rId23" w:history="1">
              <w:r w:rsidRPr="008A024A">
                <w:rPr>
                  <w:rFonts w:ascii="Calibri" w:eastAsia="Times New Roman" w:hAnsi="Calibri" w:cs="Times New Roman"/>
                  <w:color w:val="0000FF"/>
                  <w:sz w:val="21"/>
                  <w:szCs w:val="21"/>
                  <w:u w:val="single"/>
                  <w:lang w:val="en-GB" w:eastAsia="en-GB"/>
                </w:rPr>
                <w:t>https://www.irena.org/Statistics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3" w:name="_Toc37932751"/>
      <w:bookmarkStart w:id="34" w:name="_Toc36655616"/>
      <w:bookmarkStart w:id="35" w:name="Tips_and_Tricks"/>
      <w:bookmarkStart w:id="36"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3"/>
    </w:p>
    <w:p w14:paraId="7AADB753" w14:textId="38550F9C" w:rsidR="00A67357" w:rsidRPr="00C141AF" w:rsidRDefault="00C141AF" w:rsidP="00C141AF">
      <w:pPr>
        <w:pStyle w:val="MIndHeader"/>
        <w:rPr>
          <w:sz w:val="28"/>
          <w:szCs w:val="28"/>
        </w:rPr>
      </w:pPr>
      <w:bookmarkStart w:id="37" w:name="_Toc37932752"/>
      <w:bookmarkEnd w:id="34"/>
      <w:bookmarkEnd w:id="35"/>
      <w:r>
        <w:rPr>
          <w:sz w:val="28"/>
          <w:szCs w:val="28"/>
        </w:rPr>
        <w:t xml:space="preserve">A. </w:t>
      </w:r>
      <w:r w:rsidRPr="00C141AF">
        <w:rPr>
          <w:sz w:val="28"/>
          <w:szCs w:val="28"/>
        </w:rPr>
        <w:t>Definitions of Metadata Concepts</w:t>
      </w:r>
      <w:bookmarkEnd w:id="37"/>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lastRenderedPageBreak/>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w:t>
      </w:r>
      <w:r w:rsidR="008C141D" w:rsidRPr="004962C5">
        <w:lastRenderedPageBreak/>
        <w:t>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lastRenderedPageBreak/>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8" w:name="_Toc37932753"/>
      <w:bookmarkStart w:id="39"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8"/>
    </w:p>
    <w:bookmarkEnd w:id="39"/>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0" w:name="_Toc37932754"/>
      <w:r>
        <w:rPr>
          <w:sz w:val="28"/>
          <w:szCs w:val="28"/>
        </w:rPr>
        <w:t xml:space="preserve">C. </w:t>
      </w:r>
      <w:r w:rsidRPr="004962C5">
        <w:rPr>
          <w:sz w:val="28"/>
          <w:szCs w:val="28"/>
        </w:rPr>
        <w:t>Mapping of IAEG-SDG File Format to SDMX Detailed Concepts</w:t>
      </w:r>
      <w:bookmarkEnd w:id="40"/>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6"/>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64ACA" w:rsidRDefault="00564ACA" w:rsidP="006B0512">
      <w:pPr>
        <w:spacing w:after="0" w:line="240" w:lineRule="auto"/>
      </w:pPr>
      <w:r>
        <w:separator/>
      </w:r>
    </w:p>
  </w:endnote>
  <w:endnote w:type="continuationSeparator" w:id="0">
    <w:p w14:paraId="0652DDFD" w14:textId="77777777" w:rsidR="00564ACA" w:rsidRDefault="00564AC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7C6788F" w:rsidR="00564ACA" w:rsidRDefault="00564ACA">
        <w:pPr>
          <w:pStyle w:val="Footer"/>
          <w:jc w:val="right"/>
        </w:pPr>
        <w:r>
          <w:fldChar w:fldCharType="begin"/>
        </w:r>
        <w:r>
          <w:instrText xml:space="preserve"> PAGE   \* MERGEFORMAT </w:instrText>
        </w:r>
        <w:r>
          <w:fldChar w:fldCharType="separate"/>
        </w:r>
        <w:r w:rsidR="00A17E00">
          <w:rPr>
            <w:noProof/>
          </w:rPr>
          <w:t>3</w:t>
        </w:r>
        <w:r>
          <w:rPr>
            <w:noProof/>
          </w:rPr>
          <w:fldChar w:fldCharType="end"/>
        </w:r>
      </w:p>
    </w:sdtContent>
  </w:sdt>
  <w:p w14:paraId="232AF3D4" w14:textId="77777777" w:rsidR="00564ACA" w:rsidRDefault="00564ACA">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EFE8B43" w:rsidR="00564ACA" w:rsidRDefault="00564ACA">
        <w:pPr>
          <w:pStyle w:val="Footer"/>
          <w:jc w:val="right"/>
        </w:pPr>
        <w:r>
          <w:fldChar w:fldCharType="begin"/>
        </w:r>
        <w:r>
          <w:instrText xml:space="preserve"> PAGE   \* MERGEFORMAT </w:instrText>
        </w:r>
        <w:r>
          <w:fldChar w:fldCharType="separate"/>
        </w:r>
        <w:r w:rsidR="00A17E00">
          <w:rPr>
            <w:noProof/>
          </w:rPr>
          <w:t>1</w:t>
        </w:r>
        <w:r>
          <w:rPr>
            <w:noProof/>
          </w:rPr>
          <w:fldChar w:fldCharType="end"/>
        </w:r>
      </w:p>
    </w:sdtContent>
  </w:sdt>
  <w:p w14:paraId="52FF1B3E" w14:textId="77777777" w:rsidR="00564ACA" w:rsidRDefault="00564ACA">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64ACA" w:rsidRDefault="00564ACA" w:rsidP="006B0512">
      <w:pPr>
        <w:spacing w:after="0" w:line="240" w:lineRule="auto"/>
      </w:pPr>
      <w:r>
        <w:separator/>
      </w:r>
    </w:p>
  </w:footnote>
  <w:footnote w:type="continuationSeparator" w:id="0">
    <w:p w14:paraId="21AE062F" w14:textId="77777777" w:rsidR="00564ACA" w:rsidRDefault="00564ACA" w:rsidP="006B0512">
      <w:pPr>
        <w:spacing w:after="0" w:line="240" w:lineRule="auto"/>
      </w:pPr>
      <w:r>
        <w:continuationSeparator/>
      </w:r>
    </w:p>
  </w:footnote>
  <w:footnote w:id="1">
    <w:p w14:paraId="463C7A6C" w14:textId="3926C0D8" w:rsidR="00564ACA" w:rsidRPr="00B8102F" w:rsidRDefault="00564AC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41813B5A"/>
    <w:multiLevelType w:val="hybridMultilevel"/>
    <w:tmpl w:val="9CB0AA42"/>
    <w:lvl w:ilvl="0" w:tplc="B4C471C8">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E284E77"/>
    <w:multiLevelType w:val="hybridMultilevel"/>
    <w:tmpl w:val="A348AF2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0"/>
  </w:num>
  <w:num w:numId="3">
    <w:abstractNumId w:val="4"/>
  </w:num>
  <w:num w:numId="4">
    <w:abstractNumId w:val="1"/>
  </w:num>
  <w:num w:numId="5">
    <w:abstractNumId w:val="5"/>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FR" w:vendorID="64" w:dllVersion="6" w:nlCheck="1" w:checkStyle="0"/>
  <w:activeWritingStyle w:appName="MSWord" w:lang="en-US" w:vendorID="64" w:dllVersion="6" w:nlCheck="1" w:checkStyle="1"/>
  <w:activeWritingStyle w:appName="MSWord" w:lang="en-GB" w:vendorID="64" w:dllVersion="6" w:nlCheck="1" w:checkStyle="1"/>
  <w:activeWritingStyle w:appName="MSWord" w:lang="en-US" w:vendorID="64" w:dllVersion="0" w:nlCheck="1" w:checkStyle="0"/>
  <w:activeWritingStyle w:appName="MSWord" w:lang="en-GB" w:vendorID="64" w:dllVersion="131078" w:nlCheck="1" w:checkStyle="0"/>
  <w:activeWritingStyle w:appName="MSWord" w:lang="en-US" w:vendorID="64" w:dllVersion="131078" w:nlCheck="1" w:checkStyle="0"/>
  <w:proofState w:spelling="clean" w:grammar="clean"/>
  <w:documentProtection w:edit="readOnly" w:enforcement="1"/>
  <w:defaultTabStop w:val="720"/>
  <w:characterSpacingControl w:val="doNotCompress"/>
  <w:hdrShapeDefaults>
    <o:shapedefaults v:ext="edit" spidmax="5939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481C"/>
    <w:rsid w:val="000149A9"/>
    <w:rsid w:val="0001762F"/>
    <w:rsid w:val="00022D87"/>
    <w:rsid w:val="00034E62"/>
    <w:rsid w:val="00042B85"/>
    <w:rsid w:val="000434EA"/>
    <w:rsid w:val="000639BB"/>
    <w:rsid w:val="000716CF"/>
    <w:rsid w:val="00073907"/>
    <w:rsid w:val="00091352"/>
    <w:rsid w:val="0009691A"/>
    <w:rsid w:val="00097108"/>
    <w:rsid w:val="000A24C4"/>
    <w:rsid w:val="000B1F92"/>
    <w:rsid w:val="000B6681"/>
    <w:rsid w:val="000C2D49"/>
    <w:rsid w:val="000C6D3A"/>
    <w:rsid w:val="000D18BE"/>
    <w:rsid w:val="000E4EFE"/>
    <w:rsid w:val="000F3B8E"/>
    <w:rsid w:val="001034ED"/>
    <w:rsid w:val="00106632"/>
    <w:rsid w:val="001127E6"/>
    <w:rsid w:val="001319A7"/>
    <w:rsid w:val="0013388C"/>
    <w:rsid w:val="0014660A"/>
    <w:rsid w:val="0015178E"/>
    <w:rsid w:val="00151B76"/>
    <w:rsid w:val="00154283"/>
    <w:rsid w:val="0015690D"/>
    <w:rsid w:val="0015725E"/>
    <w:rsid w:val="001734AE"/>
    <w:rsid w:val="00174047"/>
    <w:rsid w:val="00183788"/>
    <w:rsid w:val="00183B38"/>
    <w:rsid w:val="0018734D"/>
    <w:rsid w:val="00197EA7"/>
    <w:rsid w:val="001A0E35"/>
    <w:rsid w:val="001A6F28"/>
    <w:rsid w:val="001B6829"/>
    <w:rsid w:val="001C1BC2"/>
    <w:rsid w:val="001D5B71"/>
    <w:rsid w:val="001E1E26"/>
    <w:rsid w:val="001F0C55"/>
    <w:rsid w:val="001F31C6"/>
    <w:rsid w:val="00202B2D"/>
    <w:rsid w:val="0020618B"/>
    <w:rsid w:val="0022035F"/>
    <w:rsid w:val="00226405"/>
    <w:rsid w:val="002313D6"/>
    <w:rsid w:val="00235F8D"/>
    <w:rsid w:val="002525CC"/>
    <w:rsid w:val="00257C97"/>
    <w:rsid w:val="002607BA"/>
    <w:rsid w:val="00266557"/>
    <w:rsid w:val="002806B7"/>
    <w:rsid w:val="0029558C"/>
    <w:rsid w:val="002A631A"/>
    <w:rsid w:val="002A6E7E"/>
    <w:rsid w:val="002C065D"/>
    <w:rsid w:val="002C550A"/>
    <w:rsid w:val="002E449E"/>
    <w:rsid w:val="002E6DA3"/>
    <w:rsid w:val="003066D9"/>
    <w:rsid w:val="00316CFE"/>
    <w:rsid w:val="003218D9"/>
    <w:rsid w:val="00325D2B"/>
    <w:rsid w:val="00327CC2"/>
    <w:rsid w:val="00344199"/>
    <w:rsid w:val="003514F3"/>
    <w:rsid w:val="00352386"/>
    <w:rsid w:val="0035311B"/>
    <w:rsid w:val="00355460"/>
    <w:rsid w:val="00364F9A"/>
    <w:rsid w:val="00372D21"/>
    <w:rsid w:val="00380958"/>
    <w:rsid w:val="003812B1"/>
    <w:rsid w:val="00383580"/>
    <w:rsid w:val="00391E7F"/>
    <w:rsid w:val="00392332"/>
    <w:rsid w:val="0039535F"/>
    <w:rsid w:val="003A3746"/>
    <w:rsid w:val="003B1388"/>
    <w:rsid w:val="003B3C76"/>
    <w:rsid w:val="003C6477"/>
    <w:rsid w:val="003E117E"/>
    <w:rsid w:val="003E2641"/>
    <w:rsid w:val="003E7389"/>
    <w:rsid w:val="003E7F33"/>
    <w:rsid w:val="0040006A"/>
    <w:rsid w:val="00406983"/>
    <w:rsid w:val="00407E33"/>
    <w:rsid w:val="00413337"/>
    <w:rsid w:val="0041350B"/>
    <w:rsid w:val="00416A6D"/>
    <w:rsid w:val="00417B9F"/>
    <w:rsid w:val="00427945"/>
    <w:rsid w:val="00430958"/>
    <w:rsid w:val="00431B2F"/>
    <w:rsid w:val="00433D18"/>
    <w:rsid w:val="00441182"/>
    <w:rsid w:val="00462DB8"/>
    <w:rsid w:val="00463306"/>
    <w:rsid w:val="00470BED"/>
    <w:rsid w:val="00474834"/>
    <w:rsid w:val="0048556F"/>
    <w:rsid w:val="00490C58"/>
    <w:rsid w:val="0049177C"/>
    <w:rsid w:val="00494CC3"/>
    <w:rsid w:val="004960D8"/>
    <w:rsid w:val="004962C5"/>
    <w:rsid w:val="004A31AD"/>
    <w:rsid w:val="004C06A8"/>
    <w:rsid w:val="004C665C"/>
    <w:rsid w:val="004D6154"/>
    <w:rsid w:val="004D68B6"/>
    <w:rsid w:val="004E3F4C"/>
    <w:rsid w:val="004E5702"/>
    <w:rsid w:val="004E5E1A"/>
    <w:rsid w:val="004F4616"/>
    <w:rsid w:val="004F63E5"/>
    <w:rsid w:val="00500E13"/>
    <w:rsid w:val="005026DC"/>
    <w:rsid w:val="00503263"/>
    <w:rsid w:val="00511FA3"/>
    <w:rsid w:val="00512305"/>
    <w:rsid w:val="00514CB8"/>
    <w:rsid w:val="00514E59"/>
    <w:rsid w:val="0051738B"/>
    <w:rsid w:val="005222F8"/>
    <w:rsid w:val="00522827"/>
    <w:rsid w:val="0052362A"/>
    <w:rsid w:val="0053509F"/>
    <w:rsid w:val="00535955"/>
    <w:rsid w:val="005370AC"/>
    <w:rsid w:val="00537550"/>
    <w:rsid w:val="005377B9"/>
    <w:rsid w:val="00544425"/>
    <w:rsid w:val="00560EB1"/>
    <w:rsid w:val="00560F1A"/>
    <w:rsid w:val="00564ACA"/>
    <w:rsid w:val="00571DE4"/>
    <w:rsid w:val="005740FF"/>
    <w:rsid w:val="00580340"/>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302C"/>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62C2"/>
    <w:rsid w:val="00736C17"/>
    <w:rsid w:val="00736C4F"/>
    <w:rsid w:val="0074764D"/>
    <w:rsid w:val="00751373"/>
    <w:rsid w:val="007519A8"/>
    <w:rsid w:val="00755CB4"/>
    <w:rsid w:val="00772DE4"/>
    <w:rsid w:val="0077584C"/>
    <w:rsid w:val="00776312"/>
    <w:rsid w:val="00786245"/>
    <w:rsid w:val="00791932"/>
    <w:rsid w:val="007A078A"/>
    <w:rsid w:val="007A2617"/>
    <w:rsid w:val="007A28BA"/>
    <w:rsid w:val="007B2E39"/>
    <w:rsid w:val="007B60D5"/>
    <w:rsid w:val="007C2733"/>
    <w:rsid w:val="007C63C4"/>
    <w:rsid w:val="007E4EE0"/>
    <w:rsid w:val="007F2D9F"/>
    <w:rsid w:val="007F5448"/>
    <w:rsid w:val="007F6520"/>
    <w:rsid w:val="007F70C2"/>
    <w:rsid w:val="00806D18"/>
    <w:rsid w:val="00810C60"/>
    <w:rsid w:val="00851DF8"/>
    <w:rsid w:val="008521A2"/>
    <w:rsid w:val="00861571"/>
    <w:rsid w:val="0089513B"/>
    <w:rsid w:val="008A024A"/>
    <w:rsid w:val="008A5100"/>
    <w:rsid w:val="008A7300"/>
    <w:rsid w:val="008C141D"/>
    <w:rsid w:val="008D775E"/>
    <w:rsid w:val="008E09AA"/>
    <w:rsid w:val="008E37A5"/>
    <w:rsid w:val="008E4413"/>
    <w:rsid w:val="008E4D2D"/>
    <w:rsid w:val="008E6037"/>
    <w:rsid w:val="008F0F40"/>
    <w:rsid w:val="0090758E"/>
    <w:rsid w:val="00911199"/>
    <w:rsid w:val="00913DF5"/>
    <w:rsid w:val="009165F2"/>
    <w:rsid w:val="00922163"/>
    <w:rsid w:val="009367AA"/>
    <w:rsid w:val="0095215C"/>
    <w:rsid w:val="0095217A"/>
    <w:rsid w:val="00952376"/>
    <w:rsid w:val="00954FBE"/>
    <w:rsid w:val="00957C60"/>
    <w:rsid w:val="00964097"/>
    <w:rsid w:val="00966507"/>
    <w:rsid w:val="00967137"/>
    <w:rsid w:val="00970668"/>
    <w:rsid w:val="00970B70"/>
    <w:rsid w:val="00970E8E"/>
    <w:rsid w:val="00971FA7"/>
    <w:rsid w:val="00972E38"/>
    <w:rsid w:val="009739C8"/>
    <w:rsid w:val="00975BAF"/>
    <w:rsid w:val="00992B76"/>
    <w:rsid w:val="009A0DCA"/>
    <w:rsid w:val="009A5BA4"/>
    <w:rsid w:val="009D0D1F"/>
    <w:rsid w:val="009D6291"/>
    <w:rsid w:val="009D6F69"/>
    <w:rsid w:val="009E049D"/>
    <w:rsid w:val="009E5D6E"/>
    <w:rsid w:val="009F305C"/>
    <w:rsid w:val="00A167C6"/>
    <w:rsid w:val="00A17E00"/>
    <w:rsid w:val="00A200D3"/>
    <w:rsid w:val="00A242D8"/>
    <w:rsid w:val="00A26EA6"/>
    <w:rsid w:val="00A30085"/>
    <w:rsid w:val="00A3532A"/>
    <w:rsid w:val="00A35656"/>
    <w:rsid w:val="00A36E8B"/>
    <w:rsid w:val="00A4314D"/>
    <w:rsid w:val="00A5114C"/>
    <w:rsid w:val="00A636DF"/>
    <w:rsid w:val="00A64C04"/>
    <w:rsid w:val="00A67357"/>
    <w:rsid w:val="00A804A0"/>
    <w:rsid w:val="00A91915"/>
    <w:rsid w:val="00A92C73"/>
    <w:rsid w:val="00A93C37"/>
    <w:rsid w:val="00AA38A9"/>
    <w:rsid w:val="00AB65AE"/>
    <w:rsid w:val="00AD26C4"/>
    <w:rsid w:val="00AE3150"/>
    <w:rsid w:val="00AE7A74"/>
    <w:rsid w:val="00AF2FE1"/>
    <w:rsid w:val="00AF3E55"/>
    <w:rsid w:val="00AF5810"/>
    <w:rsid w:val="00B0777F"/>
    <w:rsid w:val="00B137EE"/>
    <w:rsid w:val="00B13CEC"/>
    <w:rsid w:val="00B66AF3"/>
    <w:rsid w:val="00B702B9"/>
    <w:rsid w:val="00B71AEA"/>
    <w:rsid w:val="00B74489"/>
    <w:rsid w:val="00B80B65"/>
    <w:rsid w:val="00B8102F"/>
    <w:rsid w:val="00B818CA"/>
    <w:rsid w:val="00B97297"/>
    <w:rsid w:val="00B979B1"/>
    <w:rsid w:val="00BA71B8"/>
    <w:rsid w:val="00BB553B"/>
    <w:rsid w:val="00BC22AC"/>
    <w:rsid w:val="00BC3B51"/>
    <w:rsid w:val="00BD7158"/>
    <w:rsid w:val="00C057EA"/>
    <w:rsid w:val="00C05B22"/>
    <w:rsid w:val="00C141AF"/>
    <w:rsid w:val="00C175B6"/>
    <w:rsid w:val="00C210B4"/>
    <w:rsid w:val="00C22164"/>
    <w:rsid w:val="00C22A2E"/>
    <w:rsid w:val="00C2504B"/>
    <w:rsid w:val="00C47725"/>
    <w:rsid w:val="00C605D4"/>
    <w:rsid w:val="00C94E79"/>
    <w:rsid w:val="00CA6252"/>
    <w:rsid w:val="00CA7FA5"/>
    <w:rsid w:val="00CB7B0D"/>
    <w:rsid w:val="00CC3892"/>
    <w:rsid w:val="00CC5969"/>
    <w:rsid w:val="00CD4533"/>
    <w:rsid w:val="00CF4869"/>
    <w:rsid w:val="00CF504E"/>
    <w:rsid w:val="00CF6B70"/>
    <w:rsid w:val="00D02CF7"/>
    <w:rsid w:val="00D06B49"/>
    <w:rsid w:val="00D12D35"/>
    <w:rsid w:val="00D1504E"/>
    <w:rsid w:val="00D15AD5"/>
    <w:rsid w:val="00D165CA"/>
    <w:rsid w:val="00D17114"/>
    <w:rsid w:val="00D2485A"/>
    <w:rsid w:val="00D31F93"/>
    <w:rsid w:val="00D44269"/>
    <w:rsid w:val="00D51841"/>
    <w:rsid w:val="00D6461B"/>
    <w:rsid w:val="00D815D9"/>
    <w:rsid w:val="00D855E8"/>
    <w:rsid w:val="00D85FBD"/>
    <w:rsid w:val="00D936DA"/>
    <w:rsid w:val="00DA4319"/>
    <w:rsid w:val="00DA69E7"/>
    <w:rsid w:val="00DB1DCD"/>
    <w:rsid w:val="00DC4AE7"/>
    <w:rsid w:val="00DC685E"/>
    <w:rsid w:val="00DD4950"/>
    <w:rsid w:val="00DE10A6"/>
    <w:rsid w:val="00DF78A7"/>
    <w:rsid w:val="00E07CA1"/>
    <w:rsid w:val="00E263EC"/>
    <w:rsid w:val="00E27187"/>
    <w:rsid w:val="00E34E46"/>
    <w:rsid w:val="00E362E3"/>
    <w:rsid w:val="00E44F28"/>
    <w:rsid w:val="00E50AD6"/>
    <w:rsid w:val="00E51B2C"/>
    <w:rsid w:val="00E613BC"/>
    <w:rsid w:val="00E66CDC"/>
    <w:rsid w:val="00E67E00"/>
    <w:rsid w:val="00E74F47"/>
    <w:rsid w:val="00E842C7"/>
    <w:rsid w:val="00E87293"/>
    <w:rsid w:val="00E953F3"/>
    <w:rsid w:val="00EA6E73"/>
    <w:rsid w:val="00EB3760"/>
    <w:rsid w:val="00EC064B"/>
    <w:rsid w:val="00EC6024"/>
    <w:rsid w:val="00ED5A99"/>
    <w:rsid w:val="00EE4BB5"/>
    <w:rsid w:val="00EE79CF"/>
    <w:rsid w:val="00EF453F"/>
    <w:rsid w:val="00EF5BC5"/>
    <w:rsid w:val="00F00FDD"/>
    <w:rsid w:val="00F01713"/>
    <w:rsid w:val="00F02B1E"/>
    <w:rsid w:val="00F07040"/>
    <w:rsid w:val="00F22E58"/>
    <w:rsid w:val="00F2310E"/>
    <w:rsid w:val="00F36367"/>
    <w:rsid w:val="00F41E48"/>
    <w:rsid w:val="00F443FA"/>
    <w:rsid w:val="00F5095C"/>
    <w:rsid w:val="00F54570"/>
    <w:rsid w:val="00F75853"/>
    <w:rsid w:val="00F7784D"/>
    <w:rsid w:val="00F77AB9"/>
    <w:rsid w:val="00F8144F"/>
    <w:rsid w:val="00F83528"/>
    <w:rsid w:val="00F8462A"/>
    <w:rsid w:val="00F862A7"/>
    <w:rsid w:val="00F87743"/>
    <w:rsid w:val="00F90F66"/>
    <w:rsid w:val="00F93763"/>
    <w:rsid w:val="00F939A2"/>
    <w:rsid w:val="00F96E8D"/>
    <w:rsid w:val="00FA20D9"/>
    <w:rsid w:val="00FA28ED"/>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939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861571"/>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https://population.un.org/wpp/Methodolog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irena.org/Statistics"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unsd/energystats/methodology/documents/IRES-web.pdf"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734E40" w:rsidP="00734E40">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C7EAE"/>
    <w:rsid w:val="006153AA"/>
    <w:rsid w:val="0064052E"/>
    <w:rsid w:val="00734E40"/>
    <w:rsid w:val="00760A1F"/>
    <w:rsid w:val="00DA061B"/>
    <w:rsid w:val="00E4246B"/>
    <w:rsid w:val="00E56E3B"/>
    <w:rsid w:val="00E95E77"/>
    <w:rsid w:val="00EA5F8C"/>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34E4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734E40"/>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purl.org/dc/dcmitype/"/>
    <ds:schemaRef ds:uri="http://www.w3.org/XML/1998/namespace"/>
    <ds:schemaRef ds:uri="http://purl.org/dc/elements/1.1/"/>
    <ds:schemaRef ds:uri="http://schemas.microsoft.com/office/infopath/2007/PartnerControls"/>
    <ds:schemaRef ds:uri="http://schemas.microsoft.com/office/2006/documentManagement/types"/>
    <ds:schemaRef ds:uri="http://schemas.microsoft.com/office/2006/metadata/properties"/>
    <ds:schemaRef ds:uri="331bc5fa-37a0-4eaf-92e6-e8f500860589"/>
    <ds:schemaRef ds:uri="http://schemas.openxmlformats.org/package/2006/metadata/core-properties"/>
    <ds:schemaRef ds:uri="efb7f1d3-2f00-4f20-b7f7-b4cd1648c34e"/>
  </ds:schemaRefs>
</ds:datastoreItem>
</file>

<file path=customXml/itemProps4.xml><?xml version="1.0" encoding="utf-8"?>
<ds:datastoreItem xmlns:ds="http://schemas.openxmlformats.org/officeDocument/2006/customXml" ds:itemID="{9C0C5AAF-EC5F-4C37-9BB7-B745B0D9A2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13</Pages>
  <Words>216374</Words>
  <Characters>1233335</Characters>
  <Application>Microsoft Office Word</Application>
  <DocSecurity>8</DocSecurity>
  <Lines>10277</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1446816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3</cp:revision>
  <cp:lastPrinted>2020-04-16T14:23:00Z</cp:lastPrinted>
  <dcterms:created xsi:type="dcterms:W3CDTF">2024-05-08T13:39:00Z</dcterms:created>
  <dcterms:modified xsi:type="dcterms:W3CDTF">2024-05-09T06:32:00Z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