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EB0B7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EB0B7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EB0B7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EB0B7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EB0B7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EB0B7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EB0B7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EB0B7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EB0B7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EB0B7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EB0B7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EB0B7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EB0B7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57CCA1B9" w:rsidR="00355460" w:rsidRPr="00E263EC" w:rsidRDefault="00E73E71"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C90DAC8" w:rsidR="00B66AF3" w:rsidRDefault="00E73E71" w:rsidP="00B66AF3">
          <w:r>
            <w:t>10.1.1 Growth rates of household expenditure or income per capita [10.1.1] (SI_HEI_TOTL)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59E64C51" w:rsidR="00FD54D7" w:rsidRDefault="001C74D2" w:rsidP="002806B7">
      <w:pPr>
        <w:spacing w:after="0"/>
        <w:rPr>
          <w:sz w:val="26"/>
          <w:szCs w:val="26"/>
        </w:rPr>
      </w:pPr>
      <w:r>
        <w:rPr>
          <w:noProof/>
          <w:sz w:val="26"/>
          <w:szCs w:val="26"/>
        </w:rPr>
        <w:drawing>
          <wp:inline distT="0" distB="0" distL="0" distR="0" wp14:anchorId="0620FBD8" wp14:editId="4AC74671">
            <wp:extent cx="914400" cy="3048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12CFB986">
            <wp:extent cx="1165860" cy="3048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5860" cy="30480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0C6401E" w:rsidR="0077584C" w:rsidRDefault="00E73E71"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CB8286F" w:rsidR="00F7784D" w:rsidRDefault="00E73E71"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FEB494B" w:rsidR="00F54570" w:rsidRDefault="001C74D2" w:rsidP="00355460">
      <w:r>
        <w:rPr>
          <w:noProof/>
        </w:rPr>
        <w:drawing>
          <wp:inline distT="0" distB="0" distL="0" distR="0" wp14:anchorId="196EDF24" wp14:editId="5C9D7701">
            <wp:extent cx="177546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5460" cy="304800"/>
                    </a:xfrm>
                    <a:prstGeom prst="rect">
                      <a:avLst/>
                    </a:prstGeom>
                    <a:noFill/>
                    <a:ln>
                      <a:noFill/>
                    </a:ln>
                  </pic:spPr>
                </pic:pic>
              </a:graphicData>
            </a:graphic>
          </wp:inline>
        </w:drawing>
      </w:r>
      <w:r w:rsidR="003E117E">
        <w:t xml:space="preserve">             </w:t>
      </w:r>
      <w:r>
        <w:rPr>
          <w:noProof/>
        </w:rPr>
        <w:drawing>
          <wp:inline distT="0" distB="0" distL="0" distR="0" wp14:anchorId="3CF05049" wp14:editId="51672D33">
            <wp:extent cx="253746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7460" cy="304800"/>
                    </a:xfrm>
                    <a:prstGeom prst="rect">
                      <a:avLst/>
                    </a:prstGeom>
                    <a:noFill/>
                    <a:ln>
                      <a:noFill/>
                    </a:ln>
                  </pic:spPr>
                </pic:pic>
              </a:graphicData>
            </a:graphic>
          </wp:inline>
        </w:drawing>
      </w:r>
    </w:p>
    <w:sdt>
      <w:sdtPr>
        <w:rPr>
          <w:vanish/>
        </w:rPr>
        <w:alias w:val="Imported SDMX DSD"/>
        <w:tag w:val="boxSdmxDsd"/>
        <w:id w:val="-1489243057"/>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F25F274" w:rsidR="005377B9" w:rsidRPr="009F305C" w:rsidRDefault="00AC71D1" w:rsidP="00177C43">
            <w:pPr>
              <w:pStyle w:val="MGTHeader"/>
            </w:pPr>
            <w:r w:rsidRPr="00A02C15">
              <w:t>Goal 10: Reduce inequality within and among countries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7F1EF31" w:rsidR="005377B9" w:rsidRPr="009F305C" w:rsidRDefault="00AC71D1" w:rsidP="00177C43">
            <w:pPr>
              <w:pStyle w:val="MGTHeader"/>
            </w:pPr>
            <w:r w:rsidRPr="00A02C15">
              <w:t>Target 10.1: By 2030, progressively achieve and sustain income growth of the bottom 40 per cent of the population at a rate higher than the national average</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1F5BC2E9" w:rsidR="005377B9" w:rsidRPr="00177C43" w:rsidRDefault="00AC71D1" w:rsidP="00177C43">
            <w:pPr>
              <w:shd w:val="clear" w:color="auto" w:fill="F5F5F5"/>
              <w:spacing w:after="100" w:line="240" w:lineRule="auto"/>
              <w:outlineLvl w:val="4"/>
              <w:rPr>
                <w:rFonts w:ascii="Calibri" w:eastAsia="Times New Roman" w:hAnsi="Calibri" w:cs="Times New Roman"/>
                <w:color w:val="333333"/>
                <w:sz w:val="21"/>
                <w:szCs w:val="21"/>
                <w:lang w:val="en-GB" w:eastAsia="en-GB"/>
              </w:rPr>
            </w:pPr>
            <w:r w:rsidRPr="00AC71D1">
              <w:rPr>
                <w:rFonts w:ascii="Calibri" w:eastAsia="Times New Roman" w:hAnsi="Calibri" w:cs="Times New Roman"/>
                <w:color w:val="333333"/>
                <w:sz w:val="21"/>
                <w:szCs w:val="21"/>
                <w:lang w:val="en-GB" w:eastAsia="en-GB"/>
              </w:rPr>
              <w:t>Indicator 10.1.1: Growth rates of household expenditure or income per capita among the bottom 40 per cent of the population and the total population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43C21E4E"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84A7DB7" w:rsidR="005377B9" w:rsidRPr="009F305C" w:rsidRDefault="00E07F72" w:rsidP="00E9379D">
            <w:r>
              <w:t>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55E1030C" w14:textId="1CDEE147" w:rsidR="003D1EB0" w:rsidRDefault="00177C43" w:rsidP="003D1EB0">
            <w:pPr>
              <w:autoSpaceDE w:val="0"/>
              <w:autoSpaceDN w:val="0"/>
              <w:adjustRightInd w:val="0"/>
              <w:spacing w:after="0" w:line="240" w:lineRule="auto"/>
            </w:pPr>
            <w:r w:rsidRPr="00105938">
              <w:t>1.1.1: Proportion of the population living below the international poverty lin</w:t>
            </w:r>
            <w:bookmarkStart w:id="8" w:name="_GoBack"/>
            <w:bookmarkEnd w:id="8"/>
            <w:r w:rsidRPr="00105938">
              <w:t>e by sex, age, employment status and geographic location (urban/rural)</w:t>
            </w:r>
          </w:p>
          <w:p w14:paraId="2D7531A4" w14:textId="131678BF" w:rsidR="00177C43" w:rsidRDefault="00177C43" w:rsidP="003D1EB0">
            <w:pPr>
              <w:autoSpaceDE w:val="0"/>
              <w:autoSpaceDN w:val="0"/>
              <w:adjustRightInd w:val="0"/>
              <w:spacing w:after="0" w:line="240" w:lineRule="auto"/>
            </w:pPr>
          </w:p>
          <w:p w14:paraId="6022E7DD" w14:textId="32D2273E" w:rsidR="00177C43" w:rsidRDefault="00177C43" w:rsidP="003D1EB0">
            <w:pPr>
              <w:autoSpaceDE w:val="0"/>
              <w:autoSpaceDN w:val="0"/>
              <w:adjustRightInd w:val="0"/>
              <w:spacing w:after="0" w:line="240" w:lineRule="auto"/>
            </w:pPr>
            <w:r>
              <w:t xml:space="preserve">1.2.1: </w:t>
            </w:r>
            <w:r w:rsidRPr="00AF3B0A">
              <w:t>Proportion of population living below the national poverty line, by sex and age</w:t>
            </w:r>
          </w:p>
          <w:p w14:paraId="43383AFB" w14:textId="2894FEEE" w:rsidR="00177C43" w:rsidRDefault="00177C43" w:rsidP="003D1EB0">
            <w:pPr>
              <w:autoSpaceDE w:val="0"/>
              <w:autoSpaceDN w:val="0"/>
              <w:adjustRightInd w:val="0"/>
              <w:spacing w:after="0" w:line="240" w:lineRule="auto"/>
            </w:pPr>
          </w:p>
          <w:p w14:paraId="1D8C2572" w14:textId="30D7FD5E" w:rsidR="005377B9" w:rsidRPr="00177C43" w:rsidRDefault="00177C43" w:rsidP="00177C43">
            <w:pPr>
              <w:autoSpaceDE w:val="0"/>
              <w:autoSpaceDN w:val="0"/>
              <w:adjustRightInd w:val="0"/>
              <w:spacing w:after="0" w:line="240" w:lineRule="auto"/>
              <w:rPr>
                <w:rFonts w:ascii="Calibri" w:hAnsi="Calibri" w:cs="Calibri"/>
                <w:color w:val="000000"/>
                <w:sz w:val="24"/>
                <w:szCs w:val="24"/>
              </w:rPr>
            </w:pPr>
            <w:r>
              <w:t xml:space="preserve">10.2.1: </w:t>
            </w:r>
            <w:r w:rsidRPr="00AF3B0A">
              <w:t>Proportion of people living below 50 per cent of median income, by sex, age and persons with disabilities</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2A3DCAE2" w:rsidR="005377B9" w:rsidRPr="00177C43" w:rsidRDefault="005963D9" w:rsidP="00177C43">
            <w:pPr>
              <w:pStyle w:val="MGTHeader"/>
              <w:rPr>
                <w:color w:val="4A4A4A"/>
              </w:rPr>
            </w:pPr>
            <w:r w:rsidRPr="00A02C15">
              <w:t>World Bank (WB)</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976CAC3" w:rsidR="003E7389" w:rsidRPr="009F305C" w:rsidRDefault="005963D9"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4A788235" w:rsidR="003E7389" w:rsidRPr="009F305C" w:rsidRDefault="002C4A37" w:rsidP="009F305C">
            <w:r>
              <w:t>Senior Manager, Research and Development</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50C0DC8D" w:rsidR="003E7389" w:rsidRPr="009F305C" w:rsidRDefault="00666E4A" w:rsidP="009F305C">
            <w:r>
              <w:t>Research and Development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D434F8A" w:rsidR="003E7389" w:rsidRPr="009F305C" w:rsidRDefault="00666E4A" w:rsidP="009F305C">
            <w:r>
              <w:t>Production, compilation and dissemination of poverty and socio-economic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2D09E485" w:rsidR="003E7389" w:rsidRPr="009F305C" w:rsidRDefault="00D01994" w:rsidP="009F305C">
            <w:r>
              <w:rPr>
                <w:rFonts w:ascii="Arial" w:eastAsia="Arial" w:hAnsi="Arial" w:cs="Arial"/>
                <w:color w:val="BDC1C6"/>
                <w:sz w:val="21"/>
                <w:szCs w:val="21"/>
                <w:shd w:val="clear" w:color="auto" w:fill="202124"/>
              </w:rPr>
              <w:t>+254-202-911-000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262F12BF" w:rsidR="003E7389" w:rsidRPr="009F305C" w:rsidRDefault="00D01994"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DE9AAD1" w:rsidR="003E7389" w:rsidRPr="009F305C" w:rsidRDefault="00D01994" w:rsidP="009F305C">
            <w:r>
              <w:t>dscm@knbs.or.ke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D8E7260" w14:textId="77777777" w:rsidR="00324AED" w:rsidRPr="009E5DAB" w:rsidRDefault="00324AED" w:rsidP="00324AED">
            <w:pPr>
              <w:shd w:val="clear" w:color="auto" w:fill="FFFFFF"/>
              <w:spacing w:after="0"/>
              <w:rPr>
                <w:rFonts w:cs="Times New Roman"/>
                <w:color w:val="4A4A4A"/>
                <w:sz w:val="21"/>
                <w:szCs w:val="21"/>
              </w:rPr>
            </w:pPr>
            <w:r w:rsidRPr="009E5DAB">
              <w:rPr>
                <w:rStyle w:val="Strong"/>
                <w:rFonts w:cs="Times New Roman"/>
                <w:color w:val="4A4A4A"/>
                <w:sz w:val="21"/>
                <w:szCs w:val="21"/>
              </w:rPr>
              <w:t>Definition:</w:t>
            </w:r>
          </w:p>
          <w:p w14:paraId="0CC6CECE" w14:textId="77777777" w:rsidR="00324AED" w:rsidRDefault="00324AED" w:rsidP="00324AED">
            <w:pPr>
              <w:pStyle w:val="form-control-static"/>
              <w:shd w:val="clear" w:color="auto" w:fill="FFFFFF"/>
              <w:spacing w:before="0" w:beforeAutospacing="0" w:after="0" w:afterAutospacing="0"/>
              <w:rPr>
                <w:rFonts w:asciiTheme="minorHAnsi" w:hAnsiTheme="minorHAnsi"/>
                <w:color w:val="4A4A4A"/>
                <w:sz w:val="21"/>
                <w:szCs w:val="21"/>
              </w:rPr>
            </w:pPr>
            <w:r w:rsidRPr="009E5DAB">
              <w:rPr>
                <w:rFonts w:asciiTheme="minorHAnsi" w:hAnsiTheme="minorHAnsi"/>
                <w:color w:val="4A4A4A"/>
                <w:sz w:val="21"/>
                <w:szCs w:val="21"/>
              </w:rPr>
              <w:t>The growth rate in the welfare aggregate of bottom 40% is computed as the annualized average growth rate in per capita real consumption or income of the bottom 40% of the income distribution in a country from household surveys over a roughly 5-year period.</w:t>
            </w:r>
          </w:p>
          <w:p w14:paraId="41F8671D" w14:textId="77777777" w:rsidR="00324AED" w:rsidRPr="009E5DAB" w:rsidRDefault="00324AED" w:rsidP="00324AED">
            <w:pPr>
              <w:pStyle w:val="form-control-static"/>
              <w:shd w:val="clear" w:color="auto" w:fill="FFFFFF"/>
              <w:spacing w:before="0" w:beforeAutospacing="0" w:after="0" w:afterAutospacing="0"/>
              <w:rPr>
                <w:rFonts w:asciiTheme="minorHAnsi" w:hAnsiTheme="minorHAnsi"/>
                <w:color w:val="4A4A4A"/>
                <w:sz w:val="21"/>
                <w:szCs w:val="21"/>
              </w:rPr>
            </w:pPr>
            <w:r w:rsidRPr="009E5DAB">
              <w:rPr>
                <w:rFonts w:asciiTheme="minorHAnsi" w:hAnsiTheme="minorHAnsi"/>
                <w:color w:val="4A4A4A"/>
                <w:sz w:val="21"/>
                <w:szCs w:val="21"/>
              </w:rPr>
              <w:lastRenderedPageBreak/>
              <w:t>The national average growth rate in the welfare aggregate is computed as the annualized average growth rate in per capita real consumption or income of the total population in a country from household surveys over a roughly 5-year period.</w:t>
            </w:r>
          </w:p>
          <w:p w14:paraId="719898CD" w14:textId="77777777" w:rsidR="00324AED" w:rsidRPr="009E5DAB" w:rsidRDefault="00324AED" w:rsidP="00324AED">
            <w:pPr>
              <w:pStyle w:val="form-control-static"/>
              <w:shd w:val="clear" w:color="auto" w:fill="FFFFFF"/>
              <w:spacing w:before="0" w:beforeAutospacing="0" w:after="0" w:afterAutospacing="0"/>
              <w:rPr>
                <w:rFonts w:asciiTheme="minorHAnsi" w:hAnsiTheme="minorHAnsi"/>
                <w:color w:val="4A4A4A"/>
                <w:sz w:val="21"/>
                <w:szCs w:val="21"/>
              </w:rPr>
            </w:pPr>
          </w:p>
          <w:p w14:paraId="062AE571" w14:textId="77777777" w:rsidR="00324AED" w:rsidRPr="009E5DAB" w:rsidRDefault="00324AED" w:rsidP="00324AED">
            <w:pPr>
              <w:shd w:val="clear" w:color="auto" w:fill="FFFFFF"/>
              <w:spacing w:after="0"/>
              <w:rPr>
                <w:rFonts w:cs="Times New Roman"/>
                <w:color w:val="4A4A4A"/>
                <w:sz w:val="21"/>
                <w:szCs w:val="21"/>
              </w:rPr>
            </w:pPr>
            <w:r w:rsidRPr="009E5DAB">
              <w:rPr>
                <w:rStyle w:val="Strong"/>
                <w:rFonts w:cs="Times New Roman"/>
                <w:color w:val="4A4A4A"/>
                <w:sz w:val="21"/>
                <w:szCs w:val="21"/>
              </w:rPr>
              <w:t>Concepts:</w:t>
            </w:r>
          </w:p>
          <w:p w14:paraId="6C84E827" w14:textId="645D1C15" w:rsidR="0015178E" w:rsidRPr="00A839AD" w:rsidRDefault="00324AED" w:rsidP="00A839AD">
            <w:pPr>
              <w:pStyle w:val="form-control-static"/>
              <w:shd w:val="clear" w:color="auto" w:fill="FFFFFF"/>
              <w:spacing w:before="0" w:beforeAutospacing="0" w:after="0" w:afterAutospacing="0"/>
              <w:rPr>
                <w:rFonts w:asciiTheme="minorHAnsi" w:hAnsiTheme="minorHAnsi"/>
                <w:color w:val="4A4A4A"/>
                <w:sz w:val="21"/>
                <w:szCs w:val="21"/>
              </w:rPr>
            </w:pPr>
            <w:r w:rsidRPr="009E5DAB">
              <w:rPr>
                <w:rFonts w:asciiTheme="minorHAnsi" w:hAnsiTheme="minorHAnsi"/>
                <w:color w:val="4A4A4A"/>
                <w:sz w:val="21"/>
                <w:szCs w:val="21"/>
              </w:rPr>
              <w:t>Promoting shared prosperity is defined as fostering income growth of the bottom 40 percent of the welfare distribution in every country and is measured by calculating the annualized growth of mean per capita real income or consumption of the bottom 40 percent. The choice of the bottom 40 percent as the target population is one of practical compromise. The bottom 40 percent change over time within a country</w:t>
            </w:r>
            <w:r w:rsidR="00A839AD">
              <w:rPr>
                <w:rFonts w:asciiTheme="minorHAnsi" w:hAnsiTheme="minorHAnsi"/>
                <w:color w:val="4A4A4A"/>
                <w:sz w:val="21"/>
                <w:szCs w:val="21"/>
              </w:rPr>
              <w:t xml:space="preserve"> depending on the welfare distribution</w:t>
            </w:r>
            <w:r w:rsidRPr="009E5DAB">
              <w:rPr>
                <w:rFonts w:asciiTheme="minorHAnsi" w:hAnsiTheme="minorHAnsi"/>
                <w:color w:val="4A4A4A"/>
                <w:sz w:val="21"/>
                <w:szCs w:val="21"/>
              </w:rPr>
              <w:t>. Because boosting shared prosperity is a country-specific goal, there is no num</w:t>
            </w:r>
            <w:r w:rsidR="00A839AD">
              <w:rPr>
                <w:rFonts w:asciiTheme="minorHAnsi" w:hAnsiTheme="minorHAnsi"/>
                <w:color w:val="4A4A4A"/>
                <w:sz w:val="21"/>
                <w:szCs w:val="21"/>
              </w:rPr>
              <w:t>erical target defined globally.</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D99AB54" w:rsidR="0015178E" w:rsidRPr="009F305C" w:rsidRDefault="00324AED" w:rsidP="00BB6CA7">
            <w:pPr>
              <w:pStyle w:val="MText"/>
            </w:pPr>
            <w:r>
              <w:t>P</w:t>
            </w:r>
            <w:r w:rsidRPr="00F13C6C">
              <w:t>ercent</w:t>
            </w:r>
            <w:r w:rsidR="00BB6CA7">
              <w:t xml:space="preserve">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47A0FCB6" w:rsidR="0015178E" w:rsidRPr="00BB6CA7" w:rsidRDefault="00324AED" w:rsidP="00BB6CA7">
            <w:pPr>
              <w:pStyle w:val="MText"/>
              <w:rPr>
                <w:rFonts w:ascii="Calibri" w:hAnsi="Calibri"/>
              </w:rPr>
            </w:pPr>
            <w:r w:rsidRPr="00B96ABA">
              <w:t>Not applicable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1D2AB34" w:rsidR="0035311B" w:rsidRPr="009F305C" w:rsidRDefault="00BB6CA7" w:rsidP="009F305C">
            <w:r>
              <w:t>Kenya Integrated Household Budget Survey(KIHBS)(2015/16) and Kenya Continuous Household Surveys (KCHS)(2019-2022)</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A660A2D" w:rsidR="0035311B" w:rsidRPr="00E13FAB" w:rsidRDefault="00BB6CA7" w:rsidP="00E13FAB">
            <w:pPr>
              <w:autoSpaceDE w:val="0"/>
              <w:autoSpaceDN w:val="0"/>
              <w:adjustRightInd w:val="0"/>
              <w:spacing w:after="0" w:line="240" w:lineRule="auto"/>
              <w:rPr>
                <w:rFonts w:ascii="GaramondPremrPro" w:eastAsia="GaramondPremrPro" w:cs="GaramondPremrPro"/>
                <w:color w:val="000000"/>
                <w:sz w:val="24"/>
                <w:szCs w:val="24"/>
              </w:rPr>
            </w:pPr>
            <w:r>
              <w:t>Household Surveys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A2CC224" w:rsidR="0035311B" w:rsidRPr="009F305C" w:rsidRDefault="00BB6CA7" w:rsidP="009F305C">
            <w:r>
              <w:t>Every five years for KIHBS and Annually for KCHS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2246B0A" w:rsidR="0035311B" w:rsidRPr="009F305C" w:rsidRDefault="00BB6CA7" w:rsidP="009F305C">
            <w:r>
              <w:t>Within an year after publication</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0AC016CE" w:rsidR="0035311B" w:rsidRPr="009F305C" w:rsidRDefault="00BB6CA7" w:rsidP="009F305C">
            <w:r>
              <w:t>Kenya National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AF600E3" w:rsidR="0035311B" w:rsidRPr="009F305C" w:rsidRDefault="000518B7"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65D8879" w:rsidR="0035311B" w:rsidRPr="009F305C" w:rsidRDefault="000518B7" w:rsidP="009F305C">
            <w:r>
              <w:t>According to the Statistics Act of 2006, 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11B9C52" w14:textId="77777777" w:rsidR="002D2BDA" w:rsidRDefault="002D2BDA" w:rsidP="002D2BDA">
            <w:pPr>
              <w:pStyle w:val="MText"/>
            </w:pPr>
            <w:r>
              <w:t xml:space="preserve">Improvements in shared prosperity require both a growing economy and a consideration of equity. Shared prosperity </w:t>
            </w:r>
            <w:r>
              <w:lastRenderedPageBreak/>
              <w:t>explicitly recognizes that while growth is necessary for improving economic welfare in a society, progress is measured by how those gains are shared with its poorest members. Moreover, in an inclusive society it is not sufficient to raise everyone above an absolute minimum standard of living; it must ensure that economic growth increases prosperity among the poor over time.</w:t>
            </w:r>
          </w:p>
          <w:p w14:paraId="1B48B3E8" w14:textId="77777777" w:rsidR="002D2BDA" w:rsidRDefault="002D2BDA" w:rsidP="002D2BDA">
            <w:pPr>
              <w:pStyle w:val="MText"/>
            </w:pPr>
          </w:p>
          <w:p w14:paraId="2E3517AC" w14:textId="0277198C" w:rsidR="007F2D9F" w:rsidRPr="009F305C" w:rsidRDefault="002D2BDA" w:rsidP="00BB6CA7">
            <w:pPr>
              <w:pStyle w:val="MText"/>
            </w:pPr>
            <w:r>
              <w:t xml:space="preserve">The decision to measure shared prosperity based consumption was not taken to ignore the many other dimensions of welfare. It is motivated by the need for an indicator that is easy to understand, communicate, and measure – though measurement challenges exist. Indeed, shared prosperity comprises many dimensions of well-being of the less well-off, and when </w:t>
            </w:r>
            <w:r w:rsidR="00BA5D9E">
              <w:t>analysing</w:t>
            </w:r>
            <w:r>
              <w:t xml:space="preserve"> shared prosperity in the context of a country, it is important to consider a wide </w:t>
            </w:r>
            <w:r w:rsidR="00BB6CA7">
              <w:t>range of indicators of welfare.</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0457674" w:rsidR="009F4EB6" w:rsidRPr="009F305C" w:rsidRDefault="00492506" w:rsidP="00BA5D9E">
            <w:pPr>
              <w:shd w:val="clear" w:color="auto" w:fill="FFFFFF"/>
              <w:spacing w:after="0"/>
            </w:pPr>
            <w:r w:rsidRPr="009E5DAB">
              <w:rPr>
                <w:color w:val="4A4A4A"/>
                <w:sz w:val="21"/>
                <w:szCs w:val="21"/>
              </w:rPr>
              <w:t>Th</w:t>
            </w:r>
            <w:r w:rsidR="00BA5D9E">
              <w:rPr>
                <w:color w:val="4A4A4A"/>
                <w:sz w:val="21"/>
                <w:szCs w:val="21"/>
              </w:rPr>
              <w:t>ere is limited technical knowhow on the computation of the shared prosperity. The interpretation of the growth rates is also not very clear even in available literature.</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DB8F105" w14:textId="494A4CFE" w:rsidR="00B16C79" w:rsidRDefault="009F4EB6" w:rsidP="009F4EB6">
            <w:pPr>
              <w:pStyle w:val="form-control-static"/>
              <w:keepNext/>
              <w:keepLines/>
              <w:shd w:val="clear" w:color="auto" w:fill="FFFFFF" w:themeFill="background1"/>
              <w:spacing w:before="0" w:beforeAutospacing="0" w:after="0" w:afterAutospacing="0"/>
              <w:rPr>
                <w:rFonts w:asciiTheme="minorHAnsi" w:hAnsiTheme="minorHAnsi"/>
                <w:color w:val="4A4A4A"/>
                <w:sz w:val="21"/>
                <w:szCs w:val="21"/>
              </w:rPr>
            </w:pPr>
            <w:r w:rsidRPr="7DF4E027">
              <w:rPr>
                <w:rFonts w:asciiTheme="minorHAnsi" w:hAnsiTheme="minorHAnsi"/>
                <w:color w:val="4A4A4A"/>
                <w:sz w:val="21"/>
                <w:szCs w:val="21"/>
              </w:rPr>
              <w:t xml:space="preserve">Growth rates are calculated as annualized average growth rates over a roughly five-year period. </w:t>
            </w:r>
            <w:r w:rsidR="00B16C79">
              <w:rPr>
                <w:rFonts w:asciiTheme="minorHAnsi" w:hAnsiTheme="minorHAnsi"/>
                <w:color w:val="4A4A4A"/>
                <w:sz w:val="21"/>
                <w:szCs w:val="21"/>
              </w:rPr>
              <w:t>The base year for calculation of the growth rates 2020, 2021 and 2022 is the 2015/16 Kenya Integrated Household Budget Survey (KIHBS). This translates roughly to an interval period of 5, 6 and 7 years.</w:t>
            </w:r>
          </w:p>
          <w:p w14:paraId="5A8DD16D" w14:textId="77777777" w:rsidR="00B16C79" w:rsidRDefault="00B16C79" w:rsidP="009F4EB6">
            <w:pPr>
              <w:pStyle w:val="form-control-static"/>
              <w:keepNext/>
              <w:keepLines/>
              <w:shd w:val="clear" w:color="auto" w:fill="FFFFFF" w:themeFill="background1"/>
              <w:spacing w:before="0" w:beforeAutospacing="0" w:after="0" w:afterAutospacing="0"/>
              <w:rPr>
                <w:rFonts w:asciiTheme="minorHAnsi" w:hAnsiTheme="minorHAnsi"/>
                <w:color w:val="4A4A4A"/>
                <w:sz w:val="21"/>
                <w:szCs w:val="21"/>
              </w:rPr>
            </w:pPr>
          </w:p>
          <w:p w14:paraId="50251B36" w14:textId="4B451A44" w:rsidR="009F4EB6" w:rsidRDefault="00B16C79" w:rsidP="009F4EB6">
            <w:pPr>
              <w:pStyle w:val="form-control-static"/>
              <w:keepNext/>
              <w:keepLines/>
              <w:shd w:val="clear" w:color="auto" w:fill="FFFFFF" w:themeFill="background1"/>
              <w:spacing w:before="0" w:beforeAutospacing="0" w:after="0" w:afterAutospacing="0"/>
              <w:rPr>
                <w:rFonts w:asciiTheme="minorHAnsi" w:hAnsiTheme="minorHAnsi"/>
                <w:color w:val="4A4A4A"/>
                <w:sz w:val="21"/>
                <w:szCs w:val="21"/>
              </w:rPr>
            </w:pPr>
            <w:r>
              <w:rPr>
                <w:rFonts w:asciiTheme="minorHAnsi" w:hAnsiTheme="minorHAnsi"/>
                <w:color w:val="4A4A4A"/>
                <w:sz w:val="21"/>
                <w:szCs w:val="21"/>
              </w:rPr>
              <w:t>T</w:t>
            </w:r>
            <w:r w:rsidR="009F4EB6" w:rsidRPr="7DF4E027">
              <w:rPr>
                <w:rFonts w:asciiTheme="minorHAnsi" w:hAnsiTheme="minorHAnsi"/>
                <w:color w:val="4A4A4A"/>
                <w:sz w:val="21"/>
                <w:szCs w:val="21"/>
              </w:rPr>
              <w:t>he final year of the growth period (T</w:t>
            </w:r>
            <w:r w:rsidR="009F4EB6" w:rsidRPr="006C6AB9">
              <w:rPr>
                <w:rFonts w:asciiTheme="minorHAnsi" w:hAnsiTheme="minorHAnsi"/>
                <w:color w:val="4A4A4A"/>
                <w:sz w:val="21"/>
                <w:szCs w:val="21"/>
              </w:rPr>
              <w:t>1</w:t>
            </w:r>
            <w:r w:rsidR="009F4EB6" w:rsidRPr="7DF4E027">
              <w:rPr>
                <w:rFonts w:asciiTheme="minorHAnsi" w:hAnsiTheme="minorHAnsi"/>
                <w:color w:val="4A4A4A"/>
                <w:sz w:val="21"/>
                <w:szCs w:val="21"/>
              </w:rPr>
              <w:t xml:space="preserve">) is the most recent year of a survey </w:t>
            </w:r>
            <w:r>
              <w:rPr>
                <w:rFonts w:asciiTheme="minorHAnsi" w:hAnsiTheme="minorHAnsi"/>
                <w:color w:val="4A4A4A"/>
                <w:sz w:val="21"/>
                <w:szCs w:val="21"/>
              </w:rPr>
              <w:t>(2022,2021 and 2020)</w:t>
            </w:r>
            <w:r w:rsidR="009F4EB6" w:rsidRPr="7DF4E027">
              <w:rPr>
                <w:rFonts w:asciiTheme="minorHAnsi" w:hAnsiTheme="minorHAnsi"/>
                <w:color w:val="4A4A4A"/>
                <w:sz w:val="21"/>
                <w:szCs w:val="21"/>
              </w:rPr>
              <w:t>, and the initial year (T</w:t>
            </w:r>
            <w:r w:rsidR="009F4EB6" w:rsidRPr="006C6AB9">
              <w:rPr>
                <w:rFonts w:asciiTheme="minorHAnsi" w:hAnsiTheme="minorHAnsi"/>
                <w:color w:val="4A4A4A"/>
                <w:sz w:val="21"/>
                <w:szCs w:val="21"/>
              </w:rPr>
              <w:t>0</w:t>
            </w:r>
            <w:r w:rsidR="009F4EB6" w:rsidRPr="7DF4E027">
              <w:rPr>
                <w:rFonts w:asciiTheme="minorHAnsi" w:hAnsiTheme="minorHAnsi"/>
                <w:color w:val="4A4A4A"/>
                <w:sz w:val="21"/>
                <w:szCs w:val="21"/>
              </w:rPr>
              <w:t xml:space="preserve">) is </w:t>
            </w:r>
            <w:r>
              <w:rPr>
                <w:rFonts w:asciiTheme="minorHAnsi" w:hAnsiTheme="minorHAnsi"/>
                <w:color w:val="4A4A4A"/>
                <w:sz w:val="21"/>
                <w:szCs w:val="21"/>
              </w:rPr>
              <w:t>the 2015/16</w:t>
            </w:r>
            <w:r w:rsidR="009F4EB6" w:rsidRPr="7DF4E027">
              <w:rPr>
                <w:rFonts w:asciiTheme="minorHAnsi" w:hAnsiTheme="minorHAnsi"/>
                <w:color w:val="4A4A4A"/>
                <w:sz w:val="21"/>
                <w:szCs w:val="21"/>
              </w:rPr>
              <w:t xml:space="preserve">. Thus the gap between initial and final survey </w:t>
            </w:r>
            <w:proofErr w:type="gramStart"/>
            <w:r w:rsidR="009F4EB6" w:rsidRPr="7DF4E027">
              <w:rPr>
                <w:rFonts w:asciiTheme="minorHAnsi" w:hAnsiTheme="minorHAnsi"/>
                <w:color w:val="4A4A4A"/>
                <w:sz w:val="21"/>
                <w:szCs w:val="21"/>
              </w:rPr>
              <w:t>years</w:t>
            </w:r>
            <w:proofErr w:type="gramEnd"/>
            <w:r w:rsidR="009F4EB6" w:rsidRPr="7DF4E027">
              <w:rPr>
                <w:rFonts w:asciiTheme="minorHAnsi" w:hAnsiTheme="minorHAnsi"/>
                <w:color w:val="4A4A4A"/>
                <w:sz w:val="21"/>
                <w:szCs w:val="21"/>
              </w:rPr>
              <w:t xml:space="preserve"> ranges from</w:t>
            </w:r>
            <w:r>
              <w:rPr>
                <w:rFonts w:asciiTheme="minorHAnsi" w:hAnsiTheme="minorHAnsi"/>
                <w:color w:val="4A4A4A"/>
                <w:sz w:val="21"/>
                <w:szCs w:val="21"/>
              </w:rPr>
              <w:t xml:space="preserve"> five</w:t>
            </w:r>
            <w:r w:rsidR="009F4EB6" w:rsidRPr="7DF4E027">
              <w:rPr>
                <w:rFonts w:asciiTheme="minorHAnsi" w:hAnsiTheme="minorHAnsi"/>
                <w:color w:val="4A4A4A"/>
                <w:sz w:val="21"/>
                <w:szCs w:val="21"/>
              </w:rPr>
              <w:t xml:space="preserve"> to seven years. </w:t>
            </w:r>
          </w:p>
          <w:p w14:paraId="3A91CFF8" w14:textId="77777777" w:rsidR="009F4EB6" w:rsidRDefault="009F4EB6" w:rsidP="009F4EB6">
            <w:pPr>
              <w:pStyle w:val="form-control-static"/>
              <w:keepNext/>
              <w:keepLines/>
              <w:shd w:val="clear" w:color="auto" w:fill="FFFFFF" w:themeFill="background1"/>
              <w:spacing w:before="0" w:beforeAutospacing="0" w:after="0" w:afterAutospacing="0"/>
              <w:rPr>
                <w:rFonts w:asciiTheme="minorHAnsi" w:hAnsiTheme="minorHAnsi"/>
                <w:color w:val="4A4A4A"/>
                <w:sz w:val="21"/>
                <w:szCs w:val="21"/>
              </w:rPr>
            </w:pPr>
          </w:p>
          <w:p w14:paraId="06E41F69" w14:textId="0B920D8D" w:rsidR="009F4EB6" w:rsidRDefault="009F4EB6" w:rsidP="009F4EB6">
            <w:pPr>
              <w:pStyle w:val="form-control-static"/>
              <w:keepNext/>
              <w:keepLines/>
              <w:shd w:val="clear" w:color="auto" w:fill="FFFFFF" w:themeFill="background1"/>
              <w:spacing w:before="0" w:beforeAutospacing="0" w:after="0" w:afterAutospacing="0"/>
              <w:rPr>
                <w:rFonts w:asciiTheme="minorHAnsi" w:hAnsiTheme="minorHAnsi"/>
                <w:color w:val="4A4A4A"/>
                <w:sz w:val="21"/>
                <w:szCs w:val="21"/>
              </w:rPr>
            </w:pPr>
            <w:r>
              <w:rPr>
                <w:rFonts w:asciiTheme="minorHAnsi" w:hAnsiTheme="minorHAnsi"/>
                <w:color w:val="4A4A4A"/>
                <w:sz w:val="21"/>
                <w:szCs w:val="21"/>
              </w:rPr>
              <w:t>A roughly five-year period is used because shorter periods may be vulnerable to short-term volatility not strongly related to long term progress. Windows longer than five years, on the other hand, would limit the number of data</w:t>
            </w:r>
            <w:r w:rsidR="00B16C79">
              <w:rPr>
                <w:rFonts w:asciiTheme="minorHAnsi" w:hAnsiTheme="minorHAnsi"/>
                <w:color w:val="4A4A4A"/>
                <w:sz w:val="21"/>
                <w:szCs w:val="21"/>
              </w:rPr>
              <w:t xml:space="preserve"> </w:t>
            </w:r>
            <w:r>
              <w:rPr>
                <w:rFonts w:asciiTheme="minorHAnsi" w:hAnsiTheme="minorHAnsi"/>
                <w:color w:val="4A4A4A"/>
                <w:sz w:val="21"/>
                <w:szCs w:val="21"/>
              </w:rPr>
              <w:t xml:space="preserve">points available due to lack of comparable data within countries over longer periods of time. </w:t>
            </w:r>
          </w:p>
          <w:p w14:paraId="7895A91A" w14:textId="77777777" w:rsidR="009F4EB6" w:rsidRPr="009E5DAB" w:rsidRDefault="009F4EB6" w:rsidP="009F4EB6">
            <w:pPr>
              <w:pStyle w:val="form-control-static"/>
              <w:shd w:val="clear" w:color="auto" w:fill="FFFFFF"/>
              <w:spacing w:before="0" w:beforeAutospacing="0" w:after="0" w:afterAutospacing="0"/>
              <w:rPr>
                <w:rFonts w:asciiTheme="minorHAnsi" w:hAnsiTheme="minorHAnsi"/>
                <w:color w:val="4A4A4A"/>
                <w:sz w:val="21"/>
                <w:szCs w:val="21"/>
              </w:rPr>
            </w:pPr>
          </w:p>
          <w:p w14:paraId="20853FDC" w14:textId="18C3030F" w:rsidR="009F4EB6" w:rsidRDefault="003772F2" w:rsidP="009F4EB6">
            <w:pPr>
              <w:pStyle w:val="form-control-static"/>
              <w:shd w:val="clear" w:color="auto" w:fill="FFFFFF"/>
              <w:spacing w:before="0" w:beforeAutospacing="0" w:after="0" w:afterAutospacing="0"/>
              <w:rPr>
                <w:rFonts w:asciiTheme="minorHAnsi" w:hAnsiTheme="minorHAnsi"/>
                <w:color w:val="4A4A4A"/>
                <w:sz w:val="21"/>
                <w:szCs w:val="21"/>
              </w:rPr>
            </w:pPr>
            <w:r>
              <w:rPr>
                <w:rFonts w:asciiTheme="minorHAnsi" w:hAnsiTheme="minorHAnsi"/>
                <w:color w:val="4A4A4A"/>
                <w:sz w:val="21"/>
                <w:szCs w:val="21"/>
              </w:rPr>
              <w:t>For the three reported years,</w:t>
            </w:r>
            <w:r w:rsidR="009F4EB6" w:rsidRPr="009E5DAB">
              <w:rPr>
                <w:rFonts w:asciiTheme="minorHAnsi" w:hAnsiTheme="minorHAnsi"/>
                <w:color w:val="4A4A4A"/>
                <w:sz w:val="21"/>
                <w:szCs w:val="21"/>
              </w:rPr>
              <w:t xml:space="preserve"> </w:t>
            </w:r>
            <w:r w:rsidR="009F4EB6">
              <w:rPr>
                <w:rFonts w:asciiTheme="minorHAnsi" w:hAnsiTheme="minorHAnsi"/>
                <w:color w:val="4A4A4A"/>
                <w:sz w:val="21"/>
                <w:szCs w:val="21"/>
              </w:rPr>
              <w:t>consumer price indices ar</w:t>
            </w:r>
            <w:r>
              <w:rPr>
                <w:rFonts w:asciiTheme="minorHAnsi" w:hAnsiTheme="minorHAnsi"/>
                <w:color w:val="4A4A4A"/>
                <w:sz w:val="21"/>
                <w:szCs w:val="21"/>
              </w:rPr>
              <w:t xml:space="preserve">e used to express the </w:t>
            </w:r>
            <w:r w:rsidR="009F4EB6">
              <w:rPr>
                <w:rFonts w:asciiTheme="minorHAnsi" w:hAnsiTheme="minorHAnsi"/>
                <w:color w:val="4A4A4A"/>
                <w:sz w:val="21"/>
                <w:szCs w:val="21"/>
              </w:rPr>
              <w:t>consumption of the two surveys in the same year’s prices</w:t>
            </w:r>
            <w:r>
              <w:rPr>
                <w:rFonts w:asciiTheme="minorHAnsi" w:hAnsiTheme="minorHAnsi"/>
                <w:color w:val="4A4A4A"/>
                <w:sz w:val="21"/>
                <w:szCs w:val="21"/>
              </w:rPr>
              <w:t xml:space="preserve"> (2015/16 prices)</w:t>
            </w:r>
            <w:r w:rsidR="009F4EB6">
              <w:rPr>
                <w:rFonts w:asciiTheme="minorHAnsi" w:hAnsiTheme="minorHAnsi"/>
                <w:color w:val="4A4A4A"/>
                <w:sz w:val="21"/>
                <w:szCs w:val="21"/>
              </w:rPr>
              <w:t xml:space="preserve">. Then, </w:t>
            </w:r>
            <w:r w:rsidR="009F4EB6" w:rsidRPr="009E5DAB">
              <w:rPr>
                <w:rFonts w:asciiTheme="minorHAnsi" w:hAnsiTheme="minorHAnsi"/>
                <w:color w:val="4A4A4A"/>
                <w:sz w:val="21"/>
                <w:szCs w:val="21"/>
              </w:rPr>
              <w:t>the annualized growth of mean per capita real income or consumption is computed by first estimating the mean per capita real income or consumption of the bottom 40</w:t>
            </w:r>
            <w:r w:rsidR="009F4EB6">
              <w:rPr>
                <w:rFonts w:asciiTheme="minorHAnsi" w:hAnsiTheme="minorHAnsi"/>
                <w:color w:val="4A4A4A"/>
                <w:sz w:val="21"/>
                <w:szCs w:val="21"/>
              </w:rPr>
              <w:t>%</w:t>
            </w:r>
            <w:r w:rsidR="009F4EB6" w:rsidRPr="009E5DAB">
              <w:rPr>
                <w:rFonts w:asciiTheme="minorHAnsi" w:hAnsiTheme="minorHAnsi"/>
                <w:color w:val="4A4A4A"/>
                <w:sz w:val="21"/>
                <w:szCs w:val="21"/>
              </w:rPr>
              <w:t xml:space="preserve"> of the welfare distribution in years T</w:t>
            </w:r>
            <w:r w:rsidR="009F4EB6" w:rsidRPr="006C6AB9">
              <w:rPr>
                <w:rFonts w:asciiTheme="minorHAnsi" w:hAnsiTheme="minorHAnsi"/>
                <w:color w:val="4A4A4A"/>
                <w:sz w:val="21"/>
                <w:szCs w:val="21"/>
              </w:rPr>
              <w:t>0</w:t>
            </w:r>
            <w:r w:rsidR="009F4EB6" w:rsidRPr="009E5DAB">
              <w:rPr>
                <w:rFonts w:asciiTheme="minorHAnsi" w:hAnsiTheme="minorHAnsi"/>
                <w:color w:val="4A4A4A"/>
                <w:sz w:val="21"/>
                <w:szCs w:val="21"/>
              </w:rPr>
              <w:t xml:space="preserve"> and T</w:t>
            </w:r>
            <w:r w:rsidR="009F4EB6" w:rsidRPr="006C6AB9">
              <w:rPr>
                <w:rFonts w:asciiTheme="minorHAnsi" w:hAnsiTheme="minorHAnsi"/>
                <w:color w:val="4A4A4A"/>
                <w:sz w:val="21"/>
                <w:szCs w:val="21"/>
              </w:rPr>
              <w:t>1</w:t>
            </w:r>
            <w:r w:rsidR="009F4EB6" w:rsidRPr="009E5DAB">
              <w:rPr>
                <w:rFonts w:asciiTheme="minorHAnsi" w:hAnsiTheme="minorHAnsi"/>
                <w:color w:val="4A4A4A"/>
                <w:sz w:val="21"/>
                <w:szCs w:val="21"/>
              </w:rPr>
              <w:t xml:space="preserve"> and then computing the annual average growth rate between those years using a compound growth formula</w:t>
            </w:r>
            <w:r w:rsidR="009F4EB6">
              <w:rPr>
                <w:rFonts w:asciiTheme="minorHAnsi" w:hAnsiTheme="minorHAnsi"/>
                <w:color w:val="4A4A4A"/>
                <w:sz w:val="21"/>
                <w:szCs w:val="21"/>
              </w:rPr>
              <w:t>:</w:t>
            </w:r>
          </w:p>
          <w:p w14:paraId="32EFA6AD" w14:textId="77777777" w:rsidR="009F4EB6" w:rsidRDefault="009F4EB6" w:rsidP="009F4EB6">
            <w:pPr>
              <w:pStyle w:val="form-control-static"/>
              <w:shd w:val="clear" w:color="auto" w:fill="FFFFFF"/>
              <w:spacing w:before="0" w:beforeAutospacing="0" w:after="0" w:afterAutospacing="0"/>
              <w:rPr>
                <w:rFonts w:asciiTheme="minorHAnsi" w:hAnsiTheme="minorHAnsi"/>
                <w:color w:val="4A4A4A"/>
                <w:sz w:val="21"/>
                <w:szCs w:val="21"/>
              </w:rPr>
            </w:pPr>
          </w:p>
          <w:p w14:paraId="2EDA06D4" w14:textId="77777777" w:rsidR="009F4EB6" w:rsidRPr="00C41E06" w:rsidRDefault="009F4EB6" w:rsidP="009F4EB6">
            <w:pPr>
              <w:pStyle w:val="form-control-static"/>
              <w:shd w:val="clear" w:color="auto" w:fill="FFFFFF"/>
              <w:spacing w:before="0" w:beforeAutospacing="0" w:after="0" w:afterAutospacing="0"/>
              <w:rPr>
                <w:rFonts w:asciiTheme="minorHAnsi" w:hAnsiTheme="minorHAnsi"/>
                <w:color w:val="4A4A4A"/>
                <w:sz w:val="21"/>
                <w:szCs w:val="21"/>
              </w:rPr>
            </w:pPr>
            <m:oMathPara>
              <m:oMath>
                <m:r>
                  <m:rPr>
                    <m:sty m:val="p"/>
                  </m:rPr>
                  <w:rPr>
                    <w:rFonts w:ascii="Cambria Math" w:hAnsi="Cambria Math"/>
                    <w:color w:val="4A4A4A"/>
                    <w:sz w:val="21"/>
                    <w:szCs w:val="21"/>
                  </w:rPr>
                  <m:t>Growth income or consumption=</m:t>
                </m:r>
                <m:sSup>
                  <m:sSupPr>
                    <m:ctrlPr>
                      <w:rPr>
                        <w:rFonts w:ascii="Cambria Math" w:hAnsi="Cambria Math"/>
                        <w:color w:val="4A4A4A"/>
                        <w:sz w:val="21"/>
                        <w:szCs w:val="21"/>
                      </w:rPr>
                    </m:ctrlPr>
                  </m:sSupPr>
                  <m:e>
                    <m:r>
                      <m:rPr>
                        <m:sty m:val="p"/>
                      </m:rPr>
                      <w:rPr>
                        <w:rFonts w:ascii="Cambria Math" w:hAnsi="Cambria Math"/>
                        <w:color w:val="4A4A4A"/>
                        <w:sz w:val="21"/>
                        <w:szCs w:val="21"/>
                      </w:rPr>
                      <m:t>(</m:t>
                    </m:r>
                    <m:f>
                      <m:fPr>
                        <m:ctrlPr>
                          <w:rPr>
                            <w:rFonts w:ascii="Cambria Math" w:hAnsi="Cambria Math"/>
                            <w:color w:val="4A4A4A"/>
                            <w:sz w:val="21"/>
                            <w:szCs w:val="21"/>
                          </w:rPr>
                        </m:ctrlPr>
                      </m:fPr>
                      <m:num>
                        <m:r>
                          <m:rPr>
                            <m:sty m:val="p"/>
                          </m:rPr>
                          <w:rPr>
                            <w:rFonts w:ascii="Cambria Math" w:hAnsi="Cambria Math"/>
                            <w:color w:val="4A4A4A"/>
                            <w:sz w:val="21"/>
                            <w:szCs w:val="21"/>
                          </w:rPr>
                          <m:t xml:space="preserve">Mean in </m:t>
                        </m:r>
                        <m:sSub>
                          <m:sSubPr>
                            <m:ctrlPr>
                              <w:rPr>
                                <w:rFonts w:ascii="Cambria Math" w:hAnsi="Cambria Math"/>
                                <w:color w:val="4A4A4A"/>
                                <w:sz w:val="21"/>
                                <w:szCs w:val="21"/>
                              </w:rPr>
                            </m:ctrlPr>
                          </m:sSubPr>
                          <m:e>
                            <m:r>
                              <m:rPr>
                                <m:sty m:val="p"/>
                              </m:rPr>
                              <w:rPr>
                                <w:rFonts w:ascii="Cambria Math" w:hAnsi="Cambria Math"/>
                                <w:color w:val="4A4A4A"/>
                                <w:sz w:val="21"/>
                                <w:szCs w:val="21"/>
                              </w:rPr>
                              <m:t>T</m:t>
                            </m:r>
                          </m:e>
                          <m:sub>
                            <m:r>
                              <m:rPr>
                                <m:sty m:val="p"/>
                              </m:rPr>
                              <w:rPr>
                                <w:rFonts w:ascii="Cambria Math" w:hAnsi="Cambria Math"/>
                                <w:color w:val="4A4A4A"/>
                                <w:sz w:val="21"/>
                                <w:szCs w:val="21"/>
                              </w:rPr>
                              <m:t>1</m:t>
                            </m:r>
                          </m:sub>
                        </m:sSub>
                      </m:num>
                      <m:den>
                        <m:r>
                          <m:rPr>
                            <m:sty m:val="p"/>
                          </m:rPr>
                          <w:rPr>
                            <w:rFonts w:ascii="Cambria Math" w:hAnsi="Cambria Math"/>
                            <w:color w:val="4A4A4A"/>
                            <w:sz w:val="21"/>
                            <w:szCs w:val="21"/>
                          </w:rPr>
                          <m:t xml:space="preserve">Mean in </m:t>
                        </m:r>
                        <m:sSub>
                          <m:sSubPr>
                            <m:ctrlPr>
                              <w:rPr>
                                <w:rFonts w:ascii="Cambria Math" w:hAnsi="Cambria Math"/>
                                <w:color w:val="4A4A4A"/>
                                <w:sz w:val="21"/>
                                <w:szCs w:val="21"/>
                              </w:rPr>
                            </m:ctrlPr>
                          </m:sSubPr>
                          <m:e>
                            <m:r>
                              <m:rPr>
                                <m:sty m:val="p"/>
                              </m:rPr>
                              <w:rPr>
                                <w:rFonts w:ascii="Cambria Math" w:hAnsi="Cambria Math"/>
                                <w:color w:val="4A4A4A"/>
                                <w:sz w:val="21"/>
                                <w:szCs w:val="21"/>
                              </w:rPr>
                              <m:t>T</m:t>
                            </m:r>
                          </m:e>
                          <m:sub>
                            <m:r>
                              <m:rPr>
                                <m:sty m:val="p"/>
                              </m:rPr>
                              <w:rPr>
                                <w:rFonts w:ascii="Cambria Math" w:hAnsi="Cambria Math"/>
                                <w:color w:val="4A4A4A"/>
                                <w:sz w:val="21"/>
                                <w:szCs w:val="21"/>
                              </w:rPr>
                              <m:t>0</m:t>
                            </m:r>
                          </m:sub>
                        </m:sSub>
                      </m:den>
                    </m:f>
                    <m:r>
                      <m:rPr>
                        <m:sty m:val="p"/>
                      </m:rPr>
                      <w:rPr>
                        <w:rFonts w:ascii="Cambria Math" w:hAnsi="Cambria Math"/>
                        <w:color w:val="4A4A4A"/>
                        <w:sz w:val="21"/>
                        <w:szCs w:val="21"/>
                      </w:rPr>
                      <m:t>)</m:t>
                    </m:r>
                  </m:e>
                  <m:sup>
                    <m:r>
                      <m:rPr>
                        <m:sty m:val="p"/>
                      </m:rPr>
                      <w:rPr>
                        <w:rFonts w:ascii="Cambria Math" w:hAnsi="Cambria Math"/>
                        <w:color w:val="4A4A4A"/>
                        <w:sz w:val="21"/>
                        <w:szCs w:val="21"/>
                      </w:rPr>
                      <m:t>(</m:t>
                    </m:r>
                    <m:f>
                      <m:fPr>
                        <m:type m:val="skw"/>
                        <m:ctrlPr>
                          <w:rPr>
                            <w:rFonts w:ascii="Cambria Math" w:hAnsi="Cambria Math"/>
                            <w:color w:val="4A4A4A"/>
                            <w:sz w:val="21"/>
                            <w:szCs w:val="21"/>
                          </w:rPr>
                        </m:ctrlPr>
                      </m:fPr>
                      <m:num>
                        <m:r>
                          <m:rPr>
                            <m:sty m:val="p"/>
                          </m:rPr>
                          <w:rPr>
                            <w:rFonts w:ascii="Cambria Math" w:hAnsi="Cambria Math"/>
                            <w:color w:val="4A4A4A"/>
                            <w:sz w:val="21"/>
                            <w:szCs w:val="21"/>
                          </w:rPr>
                          <m:t>1</m:t>
                        </m:r>
                      </m:num>
                      <m:den>
                        <m:sSub>
                          <m:sSubPr>
                            <m:ctrlPr>
                              <w:rPr>
                                <w:rFonts w:ascii="Cambria Math" w:hAnsi="Cambria Math"/>
                                <w:color w:val="4A4A4A"/>
                                <w:sz w:val="21"/>
                                <w:szCs w:val="21"/>
                              </w:rPr>
                            </m:ctrlPr>
                          </m:sSubPr>
                          <m:e>
                            <m:r>
                              <m:rPr>
                                <m:sty m:val="p"/>
                              </m:rPr>
                              <w:rPr>
                                <w:rFonts w:ascii="Cambria Math" w:hAnsi="Cambria Math"/>
                                <w:color w:val="4A4A4A"/>
                                <w:sz w:val="21"/>
                                <w:szCs w:val="21"/>
                              </w:rPr>
                              <m:t>(T</m:t>
                            </m:r>
                          </m:e>
                          <m:sub>
                            <m:r>
                              <m:rPr>
                                <m:sty m:val="p"/>
                              </m:rPr>
                              <w:rPr>
                                <w:rFonts w:ascii="Cambria Math" w:hAnsi="Cambria Math"/>
                                <w:color w:val="4A4A4A"/>
                                <w:sz w:val="21"/>
                                <w:szCs w:val="21"/>
                              </w:rPr>
                              <m:t>1</m:t>
                            </m:r>
                          </m:sub>
                        </m:sSub>
                        <m:r>
                          <m:rPr>
                            <m:sty m:val="p"/>
                          </m:rPr>
                          <w:rPr>
                            <w:rFonts w:ascii="Cambria Math" w:hAnsi="Cambria Math"/>
                            <w:color w:val="4A4A4A"/>
                            <w:sz w:val="21"/>
                            <w:szCs w:val="21"/>
                          </w:rPr>
                          <m:t>-</m:t>
                        </m:r>
                        <m:sSub>
                          <m:sSubPr>
                            <m:ctrlPr>
                              <w:rPr>
                                <w:rFonts w:ascii="Cambria Math" w:hAnsi="Cambria Math"/>
                                <w:color w:val="4A4A4A"/>
                                <w:sz w:val="21"/>
                                <w:szCs w:val="21"/>
                              </w:rPr>
                            </m:ctrlPr>
                          </m:sSubPr>
                          <m:e>
                            <m:r>
                              <m:rPr>
                                <m:sty m:val="p"/>
                              </m:rPr>
                              <w:rPr>
                                <w:rFonts w:ascii="Cambria Math" w:hAnsi="Cambria Math"/>
                                <w:color w:val="4A4A4A"/>
                                <w:sz w:val="21"/>
                                <w:szCs w:val="21"/>
                              </w:rPr>
                              <m:t>T</m:t>
                            </m:r>
                          </m:e>
                          <m:sub>
                            <m:r>
                              <m:rPr>
                                <m:sty m:val="p"/>
                              </m:rPr>
                              <w:rPr>
                                <w:rFonts w:ascii="Cambria Math" w:hAnsi="Cambria Math"/>
                                <w:color w:val="4A4A4A"/>
                                <w:sz w:val="21"/>
                                <w:szCs w:val="21"/>
                              </w:rPr>
                              <m:t>0</m:t>
                            </m:r>
                          </m:sub>
                        </m:sSub>
                        <m:r>
                          <m:rPr>
                            <m:sty m:val="p"/>
                          </m:rPr>
                          <w:rPr>
                            <w:rFonts w:ascii="Cambria Math" w:hAnsi="Cambria Math"/>
                            <w:color w:val="4A4A4A"/>
                            <w:sz w:val="21"/>
                            <w:szCs w:val="21"/>
                          </w:rPr>
                          <m:t>)</m:t>
                        </m:r>
                      </m:den>
                    </m:f>
                    <m:r>
                      <m:rPr>
                        <m:sty m:val="p"/>
                      </m:rPr>
                      <w:rPr>
                        <w:rFonts w:ascii="Cambria Math" w:hAnsi="Cambria Math"/>
                        <w:color w:val="4A4A4A"/>
                        <w:sz w:val="21"/>
                        <w:szCs w:val="21"/>
                      </w:rPr>
                      <m:t>)</m:t>
                    </m:r>
                  </m:sup>
                </m:sSup>
                <m:r>
                  <m:rPr>
                    <m:sty m:val="p"/>
                  </m:rPr>
                  <w:rPr>
                    <w:rFonts w:ascii="Cambria Math" w:hAnsi="Cambria Math"/>
                    <w:color w:val="4A4A4A"/>
                    <w:sz w:val="21"/>
                    <w:szCs w:val="21"/>
                  </w:rPr>
                  <m:t>-1</m:t>
                </m:r>
              </m:oMath>
            </m:oMathPara>
          </w:p>
          <w:p w14:paraId="7D44AD88" w14:textId="77777777" w:rsidR="009F4EB6" w:rsidRDefault="009F4EB6" w:rsidP="009F4EB6">
            <w:pPr>
              <w:pStyle w:val="form-control-static"/>
              <w:shd w:val="clear" w:color="auto" w:fill="FFFFFF"/>
              <w:spacing w:before="0" w:beforeAutospacing="0" w:after="0" w:afterAutospacing="0"/>
              <w:rPr>
                <w:rFonts w:asciiTheme="minorHAnsi" w:hAnsiTheme="minorHAnsi"/>
                <w:color w:val="4A4A4A"/>
                <w:sz w:val="21"/>
                <w:szCs w:val="21"/>
              </w:rPr>
            </w:pPr>
          </w:p>
          <w:p w14:paraId="5A53B8A7" w14:textId="0BD76505" w:rsidR="007F2D9F" w:rsidRPr="008A468B" w:rsidRDefault="009F4EB6" w:rsidP="008A468B">
            <w:pPr>
              <w:pStyle w:val="form-control-static"/>
              <w:shd w:val="clear" w:color="auto" w:fill="FFFFFF"/>
              <w:spacing w:before="0" w:beforeAutospacing="0" w:after="0" w:afterAutospacing="0"/>
              <w:rPr>
                <w:rFonts w:asciiTheme="minorHAnsi" w:hAnsiTheme="minorHAnsi"/>
                <w:color w:val="4A4A4A"/>
                <w:sz w:val="21"/>
                <w:szCs w:val="21"/>
              </w:rPr>
            </w:pPr>
            <w:r w:rsidRPr="009E5DAB">
              <w:rPr>
                <w:rFonts w:asciiTheme="minorHAnsi" w:hAnsiTheme="minorHAnsi"/>
                <w:color w:val="4A4A4A"/>
                <w:sz w:val="21"/>
                <w:szCs w:val="21"/>
              </w:rPr>
              <w:lastRenderedPageBreak/>
              <w:t>Growth of mean per capita real income or consumption of the total population is computed in the same way using</w:t>
            </w:r>
            <w:r w:rsidR="008A468B">
              <w:rPr>
                <w:rFonts w:asciiTheme="minorHAnsi" w:hAnsiTheme="minorHAnsi"/>
                <w:color w:val="4A4A4A"/>
                <w:sz w:val="21"/>
                <w:szCs w:val="21"/>
              </w:rPr>
              <w:t xml:space="preserve"> data for the total population.</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48B040D9" w:rsidR="007F2D9F" w:rsidRPr="001D1CBB" w:rsidRDefault="00A9617C" w:rsidP="001D1CBB">
            <w:pPr>
              <w:pStyle w:val="form-control-static"/>
              <w:spacing w:before="0" w:beforeAutospacing="0" w:after="0" w:afterAutospacing="0" w:line="276" w:lineRule="auto"/>
              <w:rPr>
                <w:rFonts w:asciiTheme="minorHAnsi" w:hAnsiTheme="minorHAnsi"/>
                <w:color w:val="4A4A4A"/>
                <w:sz w:val="21"/>
                <w:szCs w:val="21"/>
              </w:rPr>
            </w:pPr>
            <w:r w:rsidRPr="00193B03">
              <w:rPr>
                <w:rFonts w:asciiTheme="minorHAnsi" w:hAnsiTheme="minorHAnsi"/>
                <w:color w:val="4A4A4A"/>
                <w:sz w:val="21"/>
                <w:szCs w:val="21"/>
              </w:rPr>
              <w:t xml:space="preserve">Statistics produced undergoes a rigorous process of peer </w:t>
            </w:r>
            <w:del w:id="26" w:author="Jerry Odenya" w:date="2023-12-12T23:12:00Z">
              <w:r w:rsidRPr="00193B03">
                <w:rPr>
                  <w:rFonts w:asciiTheme="minorHAnsi" w:hAnsiTheme="minorHAnsi"/>
                  <w:color w:val="4A4A4A"/>
                  <w:sz w:val="21"/>
                  <w:szCs w:val="21"/>
                </w:rPr>
                <w:delText>revenue</w:delText>
              </w:r>
            </w:del>
            <w:ins w:id="27" w:author="Jerry Odenya" w:date="2023-12-12T23:12:00Z">
              <w:r w:rsidRPr="00193B03">
                <w:rPr>
                  <w:rFonts w:asciiTheme="minorHAnsi" w:hAnsiTheme="minorHAnsi"/>
                  <w:color w:val="4A4A4A"/>
                  <w:sz w:val="21"/>
                  <w:szCs w:val="21"/>
                </w:rPr>
                <w:t xml:space="preserve"> review</w:t>
              </w:r>
            </w:ins>
            <w:r w:rsidRPr="00193B03">
              <w:rPr>
                <w:rFonts w:asciiTheme="minorHAnsi" w:hAnsiTheme="minorHAnsi"/>
                <w:color w:val="4A4A4A"/>
                <w:sz w:val="21"/>
                <w:szCs w:val="21"/>
              </w:rPr>
              <w:t xml:space="preserve"> from our partners who include </w:t>
            </w:r>
            <w:r w:rsidR="001D1CBB">
              <w:rPr>
                <w:rFonts w:asciiTheme="minorHAnsi" w:hAnsiTheme="minorHAnsi"/>
                <w:color w:val="4A4A4A"/>
                <w:sz w:val="21"/>
                <w:szCs w:val="21"/>
              </w:rPr>
              <w:t>World Bank and UNICEF</w:t>
            </w:r>
            <w:r w:rsidRPr="00193B03">
              <w:rPr>
                <w:rFonts w:asciiTheme="minorHAnsi" w:hAnsiTheme="minorHAnsi"/>
                <w:color w:val="4A4A4A"/>
                <w:sz w:val="21"/>
                <w:szCs w:val="21"/>
              </w:rPr>
              <w:t xml:space="preserve"> and other stakeholders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3801AB74" w:rsidR="007F2D9F" w:rsidRPr="009F305C" w:rsidRDefault="00A9617C" w:rsidP="009F305C">
            <w: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25F8B79F" w:rsidR="007F2D9F" w:rsidRPr="009F305C" w:rsidRDefault="00A9617C" w:rsidP="009F305C">
            <w: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1B12E9D2" w:rsidR="007F2D9F" w:rsidRPr="009F305C" w:rsidRDefault="00A9617C" w:rsidP="00A26873">
            <w:r w:rsidRPr="00D26D7C">
              <w:t>Shared prosperity indicat</w:t>
            </w:r>
            <w:r w:rsidR="00A26873">
              <w:t>ors are count</w:t>
            </w:r>
            <w:r w:rsidR="00B96403">
              <w:t>r</w:t>
            </w:r>
            <w:r w:rsidR="00A26873">
              <w:t>y</w:t>
            </w:r>
            <w:r w:rsidRPr="00D26D7C">
              <w:t>-specific because the welfare distribution is count</w:t>
            </w:r>
            <w:r w:rsidR="00B96403">
              <w:t>r</w:t>
            </w:r>
            <w:r w:rsidR="00A26873">
              <w:t>y-specific.</w:t>
            </w:r>
            <w:r w:rsidR="00B96403">
              <w:t xml:space="preserve"> However, the indicator is disaggregated by rural/urban and Counties</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664BF41" w14:textId="34234884" w:rsidR="00AA2CD9" w:rsidRDefault="00AA2CD9" w:rsidP="00AA2CD9">
            <w:pPr>
              <w:pStyle w:val="MText"/>
            </w:pPr>
            <w:r>
              <w:t>May refer to the report “</w:t>
            </w:r>
            <w:r w:rsidRPr="001A18F4">
              <w:t xml:space="preserve">On the Construction of </w:t>
            </w:r>
            <w:r>
              <w:t>a</w:t>
            </w:r>
          </w:p>
          <w:p w14:paraId="120A16B4" w14:textId="77777777" w:rsidR="00AA2CD9" w:rsidRDefault="00AA2CD9" w:rsidP="00AA2CD9">
            <w:pPr>
              <w:pStyle w:val="MText"/>
            </w:pPr>
            <w:r w:rsidRPr="001A18F4">
              <w:t xml:space="preserve"> Consumption Aggregate for Inequality and Poverty Analysis</w:t>
            </w:r>
            <w:r>
              <w:t>”. The report is available here:</w:t>
            </w:r>
          </w:p>
          <w:p w14:paraId="2815B50F" w14:textId="1522673F" w:rsidR="00AA2CD9" w:rsidRDefault="00EB0B76" w:rsidP="00AA2CD9">
            <w:pPr>
              <w:pStyle w:val="MText"/>
            </w:pPr>
            <w:hyperlink r:id="rId17" w:history="1">
              <w:r w:rsidR="00AA2CD9" w:rsidRPr="00880391">
                <w:rPr>
                  <w:rStyle w:val="Hyperlink"/>
                </w:rPr>
                <w:t>https://documents.worldbank.org/en/publication/documents-reports/documentdetail/099225003092220001/p1694340e80f9a00a09b20042de5a9cd47e</w:t>
              </w:r>
            </w:hyperlink>
            <w:r w:rsidR="00AA2CD9">
              <w:t xml:space="preserve"> </w:t>
            </w:r>
          </w:p>
          <w:p w14:paraId="63DF8F96" w14:textId="23BCF82E" w:rsidR="00B96403" w:rsidRDefault="00B96403" w:rsidP="00AA2CD9">
            <w:pPr>
              <w:pStyle w:val="MText"/>
            </w:pPr>
          </w:p>
          <w:p w14:paraId="0232E6B5" w14:textId="380B7131" w:rsidR="007F2D9F" w:rsidRPr="009F305C" w:rsidRDefault="00EB0B76" w:rsidP="00B96403">
            <w:pPr>
              <w:pStyle w:val="MText"/>
            </w:pPr>
            <w:hyperlink r:id="rId18" w:history="1">
              <w:r w:rsidR="00B96403" w:rsidRPr="00B96403">
                <w:rPr>
                  <w:rStyle w:val="Hyperlink"/>
                </w:rPr>
                <w:t>http://www.worldbank.org/content/dam/Worldbank/document/WB-goals2013.pdf.</w:t>
              </w:r>
            </w:hyperlink>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1A44BEA7" w:rsidR="007F2D9F" w:rsidRPr="009F305C" w:rsidRDefault="00726FD1" w:rsidP="009F305C">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3DDF5D83" w14:textId="77777777" w:rsidR="000C3BFB" w:rsidRDefault="000C3BFB" w:rsidP="000C3BFB">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3D134BEC" w:rsidR="007F2D9F" w:rsidRPr="009F305C" w:rsidRDefault="000C3BFB" w:rsidP="000C3BFB">
            <w:r>
              <w:t>Data consistency and quality checks are conducted through Technical Working Groups (TWGs) before publication and dissemination. A quality assurance report on poverty estimates is also produced.</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4F6E4102" w:rsidR="007F2D9F" w:rsidRPr="009F305C" w:rsidRDefault="000C3BFB" w:rsidP="009F305C">
            <w:r w:rsidRPr="006B5F99">
              <w:t>The processes of compilation, production, publication and dissemination of data, including quality control are subjected to a set criteria and standards to ensure conformity.</w:t>
            </w:r>
            <w:r>
              <w:t xml:space="preserve"> Before estimates are produced, they are assessed by the World Bank team for quality.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8" w:name="_Toc36655613"/>
            <w:bookmarkStart w:id="29" w:name="_Toc36812576"/>
            <w:bookmarkStart w:id="30" w:name="_Toc36812689"/>
            <w:bookmarkStart w:id="31" w:name="_Toc36813076"/>
            <w:bookmarkStart w:id="32" w:name="_Toc37932748"/>
            <w:r w:rsidRPr="00776312">
              <w:rPr>
                <w:sz w:val="32"/>
                <w:szCs w:val="32"/>
              </w:rPr>
              <w:t>5. Data availability and disaggregation</w:t>
            </w:r>
            <w:bookmarkEnd w:id="28"/>
            <w:bookmarkEnd w:id="29"/>
            <w:bookmarkEnd w:id="30"/>
            <w:bookmarkEnd w:id="31"/>
            <w:bookmarkEnd w:id="32"/>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255DD00" w:rsidR="00776312" w:rsidRPr="009F305C" w:rsidRDefault="009E4F21" w:rsidP="009F305C">
            <w:r>
              <w:t xml:space="preserve">The reported poverty estimates are disaggregated by rural/urban and county level. Data is available both in aggregate and item level and can be accessed through </w:t>
            </w:r>
            <w:hyperlink r:id="rId19" w:history="1">
              <w:r w:rsidRPr="0080656F">
                <w:rPr>
                  <w:rStyle w:val="Hyperlink"/>
                </w:rPr>
                <w:t>https://statistics.knbs.or.ke/nada/index.php/home</w:t>
              </w:r>
            </w:hyperlink>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AC3FACC" w:rsidR="006A7EF1" w:rsidRPr="009F305C" w:rsidRDefault="00A5692D" w:rsidP="009E4F21">
            <w:pPr>
              <w:pStyle w:val="MText"/>
            </w:pPr>
            <w:r>
              <w:t>T</w:t>
            </w:r>
            <w:r w:rsidRPr="00D26D7C">
              <w:t>he main sources of differences could be different welfare aggregates and years of surveys used in the calculation.</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A97CB1C" w14:textId="77777777" w:rsidR="00901DA4" w:rsidRDefault="00EB0B76" w:rsidP="00901DA4">
            <w:hyperlink r:id="rId20" w:history="1">
              <w:r w:rsidR="00901DA4" w:rsidRPr="007B2649">
                <w:rPr>
                  <w:rStyle w:val="Hyperlink"/>
                </w:rPr>
                <w:t>https://www.knbs.or.ke/publications/</w:t>
              </w:r>
            </w:hyperlink>
          </w:p>
          <w:p w14:paraId="7C579C8D" w14:textId="77777777" w:rsidR="00901DA4" w:rsidRDefault="00EB0B76" w:rsidP="00901DA4">
            <w:hyperlink r:id="rId21" w:history="1">
              <w:r w:rsidR="00901DA4" w:rsidRPr="0080656F">
                <w:rPr>
                  <w:rStyle w:val="Hyperlink"/>
                </w:rPr>
                <w:t>https://documents.worldbank.org/en/publication/documents-reports/documentdetail/099225003092220001/p1694340e80f9a00a09b20042de5a9cd47e</w:t>
              </w:r>
            </w:hyperlink>
          </w:p>
          <w:p w14:paraId="0A1D682E" w14:textId="481DD3F2" w:rsidR="00A5692D" w:rsidRDefault="00EB0B76" w:rsidP="00901DA4">
            <w:hyperlink r:id="rId22" w:history="1">
              <w:r w:rsidR="00901DA4" w:rsidRPr="0080656F">
                <w:rPr>
                  <w:rStyle w:val="Hyperlink"/>
                </w:rPr>
                <w:t>https://statistics.knbs.or.ke/nada/index.php/home</w:t>
              </w:r>
            </w:hyperlink>
          </w:p>
          <w:p w14:paraId="32E14D0B" w14:textId="77777777" w:rsidR="00802E86" w:rsidRPr="006C6AB9" w:rsidRDefault="00802E86" w:rsidP="00802E86">
            <w:r w:rsidRPr="006C6AB9">
              <w:rPr>
                <w:color w:val="4A4A4A"/>
                <w:sz w:val="21"/>
                <w:szCs w:val="21"/>
              </w:rPr>
              <w:t xml:space="preserve">The Global Database of Shared Prosperity, World Bank, </w:t>
            </w:r>
            <w:hyperlink r:id="rId23" w:history="1">
              <w:r w:rsidRPr="006C6AB9">
                <w:rPr>
                  <w:rStyle w:val="Hyperlink"/>
                </w:rPr>
                <w:t>http://www.worldbank.org/en/topic/poverty/brief/global-database-of-shared-prosperity</w:t>
              </w:r>
            </w:hyperlink>
            <w:r w:rsidRPr="006C6AB9">
              <w:rPr>
                <w:color w:val="4A4A4A"/>
                <w:sz w:val="21"/>
                <w:szCs w:val="21"/>
              </w:rPr>
              <w:t>. World Development Indicators, World Bank.</w:t>
            </w:r>
          </w:p>
          <w:p w14:paraId="127FB56F" w14:textId="09E3FAE9" w:rsidR="00802E86" w:rsidRPr="009F305C" w:rsidRDefault="00802E86"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3" w:name="_Toc37932751"/>
      <w:bookmarkStart w:id="34" w:name="_Toc36655616"/>
      <w:bookmarkStart w:id="35" w:name="Tips_and_Tricks"/>
      <w:bookmarkStart w:id="36"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3"/>
    </w:p>
    <w:p w14:paraId="7AADB753" w14:textId="38550F9C" w:rsidR="00A67357" w:rsidRPr="00C141AF" w:rsidRDefault="00C141AF" w:rsidP="00C141AF">
      <w:pPr>
        <w:pStyle w:val="MIndHeader"/>
        <w:rPr>
          <w:sz w:val="28"/>
          <w:szCs w:val="28"/>
        </w:rPr>
      </w:pPr>
      <w:bookmarkStart w:id="37" w:name="_Toc37932752"/>
      <w:bookmarkEnd w:id="34"/>
      <w:bookmarkEnd w:id="35"/>
      <w:r>
        <w:rPr>
          <w:sz w:val="28"/>
          <w:szCs w:val="28"/>
        </w:rPr>
        <w:t xml:space="preserve">A. </w:t>
      </w:r>
      <w:r w:rsidRPr="00C141AF">
        <w:rPr>
          <w:sz w:val="28"/>
          <w:szCs w:val="28"/>
        </w:rPr>
        <w:t>Definitions of Metadata Concepts</w:t>
      </w:r>
      <w:bookmarkEnd w:id="37"/>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lastRenderedPageBreak/>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8" w:name="_Toc37932753"/>
      <w:bookmarkStart w:id="39"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8"/>
    </w:p>
    <w:bookmarkEnd w:id="39"/>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0" w:name="_Toc37932754"/>
      <w:r>
        <w:rPr>
          <w:sz w:val="28"/>
          <w:szCs w:val="28"/>
        </w:rPr>
        <w:t xml:space="preserve">C. </w:t>
      </w:r>
      <w:r w:rsidRPr="004962C5">
        <w:rPr>
          <w:sz w:val="28"/>
          <w:szCs w:val="28"/>
        </w:rPr>
        <w:t>Mapping of IAEG-SDG File Format to SDMX Detailed Concepts</w:t>
      </w:r>
      <w:bookmarkEnd w:id="40"/>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6"/>
    </w:tbl>
    <w:p w14:paraId="5B3D21C9" w14:textId="5B399369" w:rsidR="0039535F" w:rsidRDefault="0039535F" w:rsidP="00F07040">
      <w:pPr>
        <w:pStyle w:val="MText"/>
      </w:pPr>
    </w:p>
    <w:sectPr w:rsidR="0039535F" w:rsidSect="00042B85">
      <w:footerReference w:type="default" r:id="rId24"/>
      <w:footerReference w:type="first" r:id="rId25"/>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0882AEB0" w14:textId="77777777" w:rsidR="00EB0B76" w:rsidRDefault="00EB0B76" w:rsidP="006B0512">
      <w:pPr>
        <w:spacing w:after="0" w:line="240" w:lineRule="auto"/>
      </w:pPr>
      <w:r>
        <w:separator/>
      </w:r>
    </w:p>
  </w:endnote>
  <w:endnote w:type="continuationSeparator" w:id="0">
    <w:p w14:paraId="40FA7021" w14:textId="77777777" w:rsidR="00EB0B76" w:rsidRDefault="00EB0B76"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GaramondPremrPro">
    <w:altName w:val="MS Gothic"/>
    <w:panose1 w:val="00000000000000000000"/>
    <w:charset w:val="80"/>
    <w:family w:val="roman"/>
    <w:notTrueType/>
    <w:pitch w:val="default"/>
    <w:sig w:usb0="00000000" w:usb1="08070000" w:usb2="00000010" w:usb3="00000000" w:csb0="00020000"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5D68A70F" w:rsidR="001A5CA6" w:rsidRDefault="001A5CA6">
        <w:pPr>
          <w:pStyle w:val="Footer"/>
          <w:jc w:val="right"/>
        </w:pPr>
        <w:r>
          <w:fldChar w:fldCharType="begin"/>
        </w:r>
        <w:r>
          <w:instrText xml:space="preserve"> PAGE   \* MERGEFORMAT </w:instrText>
        </w:r>
        <w:r>
          <w:fldChar w:fldCharType="separate"/>
        </w:r>
        <w:r w:rsidR="00E07F72">
          <w:rPr>
            <w:noProof/>
          </w:rPr>
          <w:t>13</w:t>
        </w:r>
        <w:r>
          <w:rPr>
            <w:noProof/>
          </w:rPr>
          <w:fldChar w:fldCharType="end"/>
        </w:r>
      </w:p>
    </w:sdtContent>
  </w:sdt>
  <w:p w14:paraId="232AF3D4" w14:textId="77777777" w:rsidR="001A5CA6" w:rsidRDefault="001A5CA6">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2D9289F3" w:rsidR="001A5CA6" w:rsidRDefault="001A5CA6">
        <w:pPr>
          <w:pStyle w:val="Footer"/>
          <w:jc w:val="right"/>
        </w:pPr>
        <w:r>
          <w:fldChar w:fldCharType="begin"/>
        </w:r>
        <w:r>
          <w:instrText xml:space="preserve"> PAGE   \* MERGEFORMAT </w:instrText>
        </w:r>
        <w:r>
          <w:fldChar w:fldCharType="separate"/>
        </w:r>
        <w:r w:rsidR="00E07F72">
          <w:rPr>
            <w:noProof/>
          </w:rPr>
          <w:t>1</w:t>
        </w:r>
        <w:r>
          <w:rPr>
            <w:noProof/>
          </w:rPr>
          <w:fldChar w:fldCharType="end"/>
        </w:r>
      </w:p>
    </w:sdtContent>
  </w:sdt>
  <w:p w14:paraId="52FF1B3E" w14:textId="77777777" w:rsidR="001A5CA6" w:rsidRDefault="001A5CA6">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D34422C" w14:textId="77777777" w:rsidR="00EB0B76" w:rsidRDefault="00EB0B76" w:rsidP="006B0512">
      <w:pPr>
        <w:spacing w:after="0" w:line="240" w:lineRule="auto"/>
      </w:pPr>
      <w:r>
        <w:separator/>
      </w:r>
    </w:p>
  </w:footnote>
  <w:footnote w:type="continuationSeparator" w:id="0">
    <w:p w14:paraId="42FE23C2" w14:textId="77777777" w:rsidR="00EB0B76" w:rsidRDefault="00EB0B76" w:rsidP="006B0512">
      <w:pPr>
        <w:spacing w:after="0" w:line="240" w:lineRule="auto"/>
      </w:pPr>
      <w:r>
        <w:continuationSeparator/>
      </w:r>
    </w:p>
  </w:footnote>
  <w:footnote w:id="1">
    <w:p w14:paraId="463C7A6C" w14:textId="3926C0D8" w:rsidR="001A5CA6" w:rsidRPr="00B8102F" w:rsidRDefault="001A5CA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518B7"/>
    <w:rsid w:val="000639BB"/>
    <w:rsid w:val="000716CF"/>
    <w:rsid w:val="00073907"/>
    <w:rsid w:val="00091352"/>
    <w:rsid w:val="0009691A"/>
    <w:rsid w:val="00097108"/>
    <w:rsid w:val="000A24C4"/>
    <w:rsid w:val="000B1F92"/>
    <w:rsid w:val="000B6681"/>
    <w:rsid w:val="000C3BFB"/>
    <w:rsid w:val="000C6D3A"/>
    <w:rsid w:val="000E4EFE"/>
    <w:rsid w:val="000F3B8E"/>
    <w:rsid w:val="001034ED"/>
    <w:rsid w:val="00106632"/>
    <w:rsid w:val="001127E6"/>
    <w:rsid w:val="00124DCA"/>
    <w:rsid w:val="0013388C"/>
    <w:rsid w:val="0014660A"/>
    <w:rsid w:val="0015178E"/>
    <w:rsid w:val="00151B76"/>
    <w:rsid w:val="00154283"/>
    <w:rsid w:val="0015690D"/>
    <w:rsid w:val="0015725E"/>
    <w:rsid w:val="001734AE"/>
    <w:rsid w:val="00177C43"/>
    <w:rsid w:val="00183788"/>
    <w:rsid w:val="0018427D"/>
    <w:rsid w:val="0018734D"/>
    <w:rsid w:val="00193B03"/>
    <w:rsid w:val="001A0E35"/>
    <w:rsid w:val="001A5CA6"/>
    <w:rsid w:val="001A6F28"/>
    <w:rsid w:val="001B332E"/>
    <w:rsid w:val="001B6829"/>
    <w:rsid w:val="001C1BC2"/>
    <w:rsid w:val="001C74D2"/>
    <w:rsid w:val="001D1CBB"/>
    <w:rsid w:val="001D5B71"/>
    <w:rsid w:val="001E1E26"/>
    <w:rsid w:val="001F0C55"/>
    <w:rsid w:val="001F31C6"/>
    <w:rsid w:val="00202B2D"/>
    <w:rsid w:val="0020618B"/>
    <w:rsid w:val="0022035F"/>
    <w:rsid w:val="00221AF1"/>
    <w:rsid w:val="002313D6"/>
    <w:rsid w:val="002328D4"/>
    <w:rsid w:val="00235F8D"/>
    <w:rsid w:val="002525CC"/>
    <w:rsid w:val="002607BA"/>
    <w:rsid w:val="00266557"/>
    <w:rsid w:val="002752D2"/>
    <w:rsid w:val="002806B7"/>
    <w:rsid w:val="0028178C"/>
    <w:rsid w:val="0029558C"/>
    <w:rsid w:val="00297C4F"/>
    <w:rsid w:val="002A631A"/>
    <w:rsid w:val="002A6E7E"/>
    <w:rsid w:val="002C065D"/>
    <w:rsid w:val="002C4A37"/>
    <w:rsid w:val="002C550A"/>
    <w:rsid w:val="002D2BDA"/>
    <w:rsid w:val="002E449E"/>
    <w:rsid w:val="002E6DA3"/>
    <w:rsid w:val="002F73EA"/>
    <w:rsid w:val="00316CFE"/>
    <w:rsid w:val="003218D9"/>
    <w:rsid w:val="00324AED"/>
    <w:rsid w:val="00325D2B"/>
    <w:rsid w:val="00344199"/>
    <w:rsid w:val="003514F3"/>
    <w:rsid w:val="00352386"/>
    <w:rsid w:val="00352C25"/>
    <w:rsid w:val="0035311B"/>
    <w:rsid w:val="00355460"/>
    <w:rsid w:val="00372D21"/>
    <w:rsid w:val="003772F2"/>
    <w:rsid w:val="00380958"/>
    <w:rsid w:val="003812B1"/>
    <w:rsid w:val="0039535F"/>
    <w:rsid w:val="003A3746"/>
    <w:rsid w:val="003B1388"/>
    <w:rsid w:val="003B3C76"/>
    <w:rsid w:val="003D1EB0"/>
    <w:rsid w:val="003E117E"/>
    <w:rsid w:val="003E7389"/>
    <w:rsid w:val="003E7F33"/>
    <w:rsid w:val="00402F73"/>
    <w:rsid w:val="00406983"/>
    <w:rsid w:val="00413337"/>
    <w:rsid w:val="0041350B"/>
    <w:rsid w:val="00416A6D"/>
    <w:rsid w:val="00417B9F"/>
    <w:rsid w:val="00430958"/>
    <w:rsid w:val="00431B2F"/>
    <w:rsid w:val="00433D18"/>
    <w:rsid w:val="00462DB8"/>
    <w:rsid w:val="00463306"/>
    <w:rsid w:val="00470BED"/>
    <w:rsid w:val="004744B1"/>
    <w:rsid w:val="00474834"/>
    <w:rsid w:val="0048556F"/>
    <w:rsid w:val="00490C58"/>
    <w:rsid w:val="00492506"/>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3D9"/>
    <w:rsid w:val="005966A8"/>
    <w:rsid w:val="005B293A"/>
    <w:rsid w:val="005B657A"/>
    <w:rsid w:val="005C091C"/>
    <w:rsid w:val="005C570B"/>
    <w:rsid w:val="005C76A1"/>
    <w:rsid w:val="005E7735"/>
    <w:rsid w:val="005F5729"/>
    <w:rsid w:val="005F7272"/>
    <w:rsid w:val="005F7B42"/>
    <w:rsid w:val="00604A6A"/>
    <w:rsid w:val="00611159"/>
    <w:rsid w:val="0061331D"/>
    <w:rsid w:val="00633477"/>
    <w:rsid w:val="00643134"/>
    <w:rsid w:val="006459EE"/>
    <w:rsid w:val="006560A4"/>
    <w:rsid w:val="00666E4A"/>
    <w:rsid w:val="0068379D"/>
    <w:rsid w:val="00683B98"/>
    <w:rsid w:val="00693674"/>
    <w:rsid w:val="006A7EF1"/>
    <w:rsid w:val="006B0512"/>
    <w:rsid w:val="006B3527"/>
    <w:rsid w:val="006B5630"/>
    <w:rsid w:val="006C075C"/>
    <w:rsid w:val="006C6768"/>
    <w:rsid w:val="006C783E"/>
    <w:rsid w:val="006E1A7D"/>
    <w:rsid w:val="006F104C"/>
    <w:rsid w:val="006F2038"/>
    <w:rsid w:val="006F50E8"/>
    <w:rsid w:val="007100BD"/>
    <w:rsid w:val="00721781"/>
    <w:rsid w:val="00726FD1"/>
    <w:rsid w:val="0072791E"/>
    <w:rsid w:val="00736C17"/>
    <w:rsid w:val="00736C4F"/>
    <w:rsid w:val="00751373"/>
    <w:rsid w:val="00772DE4"/>
    <w:rsid w:val="0077584C"/>
    <w:rsid w:val="00776312"/>
    <w:rsid w:val="00791932"/>
    <w:rsid w:val="007A078A"/>
    <w:rsid w:val="007A2617"/>
    <w:rsid w:val="007A28BA"/>
    <w:rsid w:val="007B2E39"/>
    <w:rsid w:val="007C2733"/>
    <w:rsid w:val="007C63C4"/>
    <w:rsid w:val="007D6309"/>
    <w:rsid w:val="007E4EE0"/>
    <w:rsid w:val="007E66F7"/>
    <w:rsid w:val="007F2D9F"/>
    <w:rsid w:val="007F5448"/>
    <w:rsid w:val="007F5544"/>
    <w:rsid w:val="007F6520"/>
    <w:rsid w:val="00802E86"/>
    <w:rsid w:val="00806D18"/>
    <w:rsid w:val="00810C60"/>
    <w:rsid w:val="008256F0"/>
    <w:rsid w:val="00851DF8"/>
    <w:rsid w:val="008521A2"/>
    <w:rsid w:val="008A468B"/>
    <w:rsid w:val="008A7300"/>
    <w:rsid w:val="008C141D"/>
    <w:rsid w:val="008D775E"/>
    <w:rsid w:val="008E09AA"/>
    <w:rsid w:val="008E4413"/>
    <w:rsid w:val="008E4D2D"/>
    <w:rsid w:val="008E6037"/>
    <w:rsid w:val="008F0F40"/>
    <w:rsid w:val="00901DA4"/>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4F21"/>
    <w:rsid w:val="009E5D6E"/>
    <w:rsid w:val="009F305C"/>
    <w:rsid w:val="009F4EB6"/>
    <w:rsid w:val="00A167C6"/>
    <w:rsid w:val="00A200D3"/>
    <w:rsid w:val="00A242D8"/>
    <w:rsid w:val="00A26873"/>
    <w:rsid w:val="00A3532A"/>
    <w:rsid w:val="00A35656"/>
    <w:rsid w:val="00A36E8B"/>
    <w:rsid w:val="00A4314D"/>
    <w:rsid w:val="00A5114C"/>
    <w:rsid w:val="00A5692D"/>
    <w:rsid w:val="00A64C04"/>
    <w:rsid w:val="00A67357"/>
    <w:rsid w:val="00A804A0"/>
    <w:rsid w:val="00A839AD"/>
    <w:rsid w:val="00A91915"/>
    <w:rsid w:val="00A92C73"/>
    <w:rsid w:val="00A9617C"/>
    <w:rsid w:val="00AA2CD9"/>
    <w:rsid w:val="00AA38A9"/>
    <w:rsid w:val="00AB6352"/>
    <w:rsid w:val="00AB65AE"/>
    <w:rsid w:val="00AC71D1"/>
    <w:rsid w:val="00AD26C4"/>
    <w:rsid w:val="00AE7A74"/>
    <w:rsid w:val="00AF2FE1"/>
    <w:rsid w:val="00AF7CDD"/>
    <w:rsid w:val="00B137EE"/>
    <w:rsid w:val="00B13CEC"/>
    <w:rsid w:val="00B16C79"/>
    <w:rsid w:val="00B66AF3"/>
    <w:rsid w:val="00B71AEA"/>
    <w:rsid w:val="00B74489"/>
    <w:rsid w:val="00B8102F"/>
    <w:rsid w:val="00B818CA"/>
    <w:rsid w:val="00B96403"/>
    <w:rsid w:val="00B97297"/>
    <w:rsid w:val="00B979B1"/>
    <w:rsid w:val="00BA5D9E"/>
    <w:rsid w:val="00BA71B8"/>
    <w:rsid w:val="00BB553B"/>
    <w:rsid w:val="00BB6CA7"/>
    <w:rsid w:val="00BD7158"/>
    <w:rsid w:val="00C057EA"/>
    <w:rsid w:val="00C05B22"/>
    <w:rsid w:val="00C141AF"/>
    <w:rsid w:val="00C175B6"/>
    <w:rsid w:val="00C210B4"/>
    <w:rsid w:val="00C22A2E"/>
    <w:rsid w:val="00C47725"/>
    <w:rsid w:val="00C5626E"/>
    <w:rsid w:val="00C605D4"/>
    <w:rsid w:val="00C94E79"/>
    <w:rsid w:val="00CA1CE9"/>
    <w:rsid w:val="00CA6252"/>
    <w:rsid w:val="00CA7FA5"/>
    <w:rsid w:val="00CB7B0D"/>
    <w:rsid w:val="00CC5969"/>
    <w:rsid w:val="00CD4533"/>
    <w:rsid w:val="00CF304D"/>
    <w:rsid w:val="00CF4869"/>
    <w:rsid w:val="00CF504E"/>
    <w:rsid w:val="00D01994"/>
    <w:rsid w:val="00D12D35"/>
    <w:rsid w:val="00D15AD5"/>
    <w:rsid w:val="00D165CA"/>
    <w:rsid w:val="00D17114"/>
    <w:rsid w:val="00D2485A"/>
    <w:rsid w:val="00D31F93"/>
    <w:rsid w:val="00D44269"/>
    <w:rsid w:val="00D51841"/>
    <w:rsid w:val="00D6461B"/>
    <w:rsid w:val="00D815D9"/>
    <w:rsid w:val="00D855E8"/>
    <w:rsid w:val="00D94887"/>
    <w:rsid w:val="00DA69E7"/>
    <w:rsid w:val="00DB1DCD"/>
    <w:rsid w:val="00DC4AE7"/>
    <w:rsid w:val="00DC4E9B"/>
    <w:rsid w:val="00DD46BC"/>
    <w:rsid w:val="00DD4950"/>
    <w:rsid w:val="00DE10A6"/>
    <w:rsid w:val="00DF78A7"/>
    <w:rsid w:val="00E07CA1"/>
    <w:rsid w:val="00E07F72"/>
    <w:rsid w:val="00E12A19"/>
    <w:rsid w:val="00E13FAB"/>
    <w:rsid w:val="00E263EC"/>
    <w:rsid w:val="00E27187"/>
    <w:rsid w:val="00E362E3"/>
    <w:rsid w:val="00E44F28"/>
    <w:rsid w:val="00E50AD6"/>
    <w:rsid w:val="00E51B2C"/>
    <w:rsid w:val="00E613BC"/>
    <w:rsid w:val="00E66CDC"/>
    <w:rsid w:val="00E67E00"/>
    <w:rsid w:val="00E73E71"/>
    <w:rsid w:val="00E74F47"/>
    <w:rsid w:val="00E842C7"/>
    <w:rsid w:val="00E9379D"/>
    <w:rsid w:val="00E953F3"/>
    <w:rsid w:val="00EA1427"/>
    <w:rsid w:val="00EA6E73"/>
    <w:rsid w:val="00EB0B76"/>
    <w:rsid w:val="00EB3760"/>
    <w:rsid w:val="00EC064B"/>
    <w:rsid w:val="00EC6024"/>
    <w:rsid w:val="00EE4BB5"/>
    <w:rsid w:val="00EE79CF"/>
    <w:rsid w:val="00EF453F"/>
    <w:rsid w:val="00F00FDD"/>
    <w:rsid w:val="00F01713"/>
    <w:rsid w:val="00F02B1E"/>
    <w:rsid w:val="00F07040"/>
    <w:rsid w:val="00F2310E"/>
    <w:rsid w:val="00F41424"/>
    <w:rsid w:val="00F457A1"/>
    <w:rsid w:val="00F54570"/>
    <w:rsid w:val="00F75853"/>
    <w:rsid w:val="00F7784D"/>
    <w:rsid w:val="00F8144F"/>
    <w:rsid w:val="00F8462A"/>
    <w:rsid w:val="00F862A7"/>
    <w:rsid w:val="00F93763"/>
    <w:rsid w:val="00F939A2"/>
    <w:rsid w:val="00F96E8D"/>
    <w:rsid w:val="00FA20D9"/>
    <w:rsid w:val="00FB03D0"/>
    <w:rsid w:val="00FD3572"/>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6B1EF2FD"/>
  <w15:docId w15:val="{373F30FA-81B6-4DE2-87B3-69C32E055BA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customStyle="1" w:styleId="form-control-static">
    <w:name w:val="form-control-static"/>
    <w:basedOn w:val="Normal"/>
    <w:rsid w:val="00324AED"/>
    <w:pPr>
      <w:spacing w:before="100" w:beforeAutospacing="1" w:after="100" w:afterAutospacing="1" w:line="240" w:lineRule="auto"/>
    </w:pPr>
    <w:rPr>
      <w:rFonts w:ascii="Times New Roman" w:eastAsia="Times New Roman" w:hAnsi="Times New Roman" w:cs="Times New Roman"/>
      <w:sz w:val="24"/>
      <w:szCs w:val="24"/>
      <w:lang w:val="en-GB" w:eastAsia="en-GB"/>
    </w:rPr>
  </w:style>
  <w:style w:type="character" w:styleId="Strong">
    <w:name w:val="Strong"/>
    <w:basedOn w:val="DefaultParagraphFont"/>
    <w:uiPriority w:val="22"/>
    <w:qFormat/>
    <w:rsid w:val="00324AED"/>
    <w:rPr>
      <w:b/>
      <w:bCs/>
    </w:rPr>
  </w:style>
  <w:style w:type="character" w:customStyle="1" w:styleId="apple-converted-space">
    <w:name w:val="apple-converted-space"/>
    <w:basedOn w:val="DefaultParagraphFont"/>
    <w:rsid w:val="00492506"/>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hyperlink" Target="http://www.worldbank.org/content/dam/Worldbank/document/WB-goals2013.pdf." TargetMode="External"/><Relationship Id="rId26" Type="http://schemas.openxmlformats.org/officeDocument/2006/relationships/fontTable" Target="fontTable.xml"/><Relationship Id="rId3" Type="http://schemas.openxmlformats.org/officeDocument/2006/relationships/customXml" Target="../customXml/item2.xml"/><Relationship Id="rId21" Type="http://schemas.openxmlformats.org/officeDocument/2006/relationships/hyperlink" Target="https://documents.worldbank.org/en/publication/documents-reports/documentdetail/099225003092220001/p1694340e80f9a00a09b20042de5a9cd47e"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https://documents.worldbank.org/en/publication/documents-reports/documentdetail/099225003092220001/p1694340e80f9a00a09b20042de5a9cd47e" TargetMode="External"/><Relationship Id="rId25"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hyperlink" Target="https://www.knbs.or.ke/publications/"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1.xml"/><Relationship Id="rId5" Type="http://schemas.openxmlformats.org/officeDocument/2006/relationships/customXml" Target="../customXml/item4.xml"/><Relationship Id="rId15" Type="http://schemas.openxmlformats.org/officeDocument/2006/relationships/image" Target="media/image3.wmf"/><Relationship Id="rId23" Type="http://schemas.openxmlformats.org/officeDocument/2006/relationships/hyperlink" Target="http://www.worldbank.org/en/topic/poverty/brief/global-database-of-shared-prosperity" TargetMode="External"/><Relationship Id="rId28"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hyperlink" Target="https://statistics.knbs.or.ke/nada/index.php/home"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hyperlink" Target="https://statistics.knbs.or.ke/nada/index.php/home" TargetMode="Externa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GaramondPremrPro">
    <w:altName w:val="MS Gothic"/>
    <w:panose1 w:val="00000000000000000000"/>
    <w:charset w:val="80"/>
    <w:family w:val="roman"/>
    <w:notTrueType/>
    <w:pitch w:val="default"/>
    <w:sig w:usb0="00000000" w:usb1="08070000" w:usb2="00000010" w:usb3="00000000" w:csb0="00020000"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comment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02EA6"/>
    <w:rsid w:val="00090308"/>
    <w:rsid w:val="00296525"/>
    <w:rsid w:val="0036646D"/>
    <w:rsid w:val="004A089A"/>
    <w:rsid w:val="005A6351"/>
    <w:rsid w:val="006153AA"/>
    <w:rsid w:val="0064052E"/>
    <w:rsid w:val="00642333"/>
    <w:rsid w:val="00730765"/>
    <w:rsid w:val="00760A1F"/>
    <w:rsid w:val="00B850D2"/>
    <w:rsid w:val="00D33D45"/>
    <w:rsid w:val="00DA061B"/>
    <w:rsid w:val="00E4246B"/>
    <w:rsid w:val="00E71D9E"/>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D1683E5-D836-48FA-8EE0-1898BB2AB81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168</TotalTime>
  <Pages>1</Pages>
  <Words>216578</Words>
  <Characters>1234496</Characters>
  <Application>Microsoft Office Word</Application>
  <DocSecurity>8</DocSecurity>
  <Lines>10287</Lines>
  <Paragraphs>2896</Paragraphs>
  <ScaleCrop>false</ScaleCrop>
  <HeadingPairs>
    <vt:vector size="4" baseType="variant">
      <vt:variant>
        <vt:lpstr>Title</vt:lpstr>
      </vt:variant>
      <vt:variant>
        <vt:i4>1</vt:i4>
      </vt:variant>
      <vt:variant>
        <vt:lpstr>Headings</vt:lpstr>
      </vt:variant>
      <vt:variant>
        <vt:i4>2</vt:i4>
      </vt:variant>
    </vt:vector>
  </HeadingPairs>
  <TitlesOfParts>
    <vt:vector size="3" baseType="lpstr">
      <vt:lpstr/>
      <vt:lpstr>Metadata Attachment</vt:lpstr>
      <vt:lpstr>    Import Data Structure Definition</vt:lpstr>
    </vt:vector>
  </TitlesOfParts>
  <Company>JCON</Company>
  <LinksUpToDate>false</LinksUpToDate>
  <CharactersWithSpaces>1448178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ok</cp:lastModifiedBy>
  <cp:revision>19</cp:revision>
  <cp:lastPrinted>2020-04-16T14:23:00Z</cp:lastPrinted>
  <dcterms:created xsi:type="dcterms:W3CDTF">2024-05-09T08:40:00Z</dcterms:created>
  <dcterms:modified xsi:type="dcterms:W3CDTF">2024-05-10T06:38:00Z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