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27FB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27FB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27FB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27FB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27FB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27FB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27FB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27FB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27FB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27FB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27FB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27FB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27FB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E678A07" w:rsidR="00355460" w:rsidRPr="00E263EC" w:rsidRDefault="00BF5B5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37367BD" w:rsidR="00B66AF3" w:rsidRDefault="00627FBE"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A0DEBF4"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563440DE" w:rsidR="0077584C" w:rsidRDefault="00BF5B5C"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5A352B1" w:rsidR="00F7784D" w:rsidRDefault="00BF5B5C"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7075F37"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6A143EE" w:rsidR="005377B9" w:rsidRPr="009F305C" w:rsidRDefault="00BF5B5C" w:rsidP="009F305C">
            <w:r w:rsidRPr="000B529C">
              <w:t>11</w:t>
            </w:r>
            <w:r>
              <w:t>:</w:t>
            </w:r>
            <w:r w:rsidRPr="000B529C">
              <w:t xml:space="preserve"> Make cities and human settlements inclusive, safe, resilient and sustainable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229662D" w:rsidR="005377B9" w:rsidRPr="009F305C" w:rsidRDefault="00BF5B5C" w:rsidP="009F305C">
            <w:r w:rsidRPr="00210532">
              <w:t xml:space="preserve">11.5 By 2030, significantly reduce the number of deaths and the number of people affected and substantially decrease the direct economic losses relative to global gross domestic product caused by disasters, including water-related </w:t>
            </w:r>
            <w:r w:rsidRPr="00210532">
              <w:lastRenderedPageBreak/>
              <w:t>disasters, with a focus on protecting the poor and people in vulnerable situations</w:t>
            </w:r>
            <w:r>
              <w:t>.</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560E395A" w:rsidR="005377B9" w:rsidRPr="009F305C" w:rsidRDefault="00BF5B5C" w:rsidP="009F305C">
            <w:r w:rsidRPr="00210532">
              <w:t>11.5.1 Number of deaths, missing persons and directly affected persons attributed to disasters per 100,000 population</w:t>
            </w:r>
            <w:r>
              <w: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08691D1" w:rsidR="005377B9" w:rsidRPr="009F305C" w:rsidRDefault="00BF5B5C"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50EE83C0" w:rsidR="005377B9" w:rsidRPr="009F305C" w:rsidRDefault="00BF5B5C" w:rsidP="009F305C">
            <w:r>
              <w:t>13.1.1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DD3395C" w:rsidR="005377B9" w:rsidRPr="009F305C" w:rsidRDefault="00BF5B5C" w:rsidP="009F305C">
            <w:r>
              <w:t>United Nations Office for Disaster Reduction (UNISDR)</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11F49909" w:rsidR="003E7389" w:rsidRPr="009F305C" w:rsidRDefault="00BF5B5C" w:rsidP="009F305C">
            <w:r w:rsidRPr="007E758F">
              <w:rPr>
                <w:rFonts w:ascii="Basic" w:hAnsi="Basic"/>
              </w:rP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1753315" w:rsidR="003E7389" w:rsidRPr="009F305C" w:rsidRDefault="00BF5B5C" w:rsidP="009F305C">
            <w:r w:rsidRPr="007E758F">
              <w:rPr>
                <w:rFonts w:ascii="Basic" w:hAnsi="Basic"/>
              </w:rP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875BF62" w:rsidR="003E7389" w:rsidRPr="009F305C" w:rsidRDefault="00BF5B5C"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B6F8C5F" w:rsidR="003E7389" w:rsidRPr="009F305C" w:rsidRDefault="00BF5B5C" w:rsidP="009F305C">
            <w:r>
              <w:t>Food Monitoring, Nutrition and Environment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D03112C" w:rsidR="003E7389" w:rsidRPr="009F305C" w:rsidRDefault="00BF5B5C" w:rsidP="009F305C">
            <w:r w:rsidRPr="007E758F">
              <w:rPr>
                <w:rFonts w:ascii="Basic" w:hAnsi="Basic"/>
              </w:rPr>
              <w:t>Compiling Environment and Natural Resources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C8CFC73" w:rsidR="003E7389" w:rsidRPr="009F305C" w:rsidRDefault="00BF5B5C" w:rsidP="009F305C">
            <w:r w:rsidRPr="007E758F">
              <w:rPr>
                <w:rFonts w:ascii="Basic" w:hAnsi="Basic"/>
              </w:rPr>
              <w:t>+254-202-911-000</w:t>
            </w:r>
            <w:r>
              <w:rPr>
                <w:rFonts w:ascii="Basic" w:hAnsi="Basic"/>
              </w:rPr>
              <w:t xml:space="preserve"> |</w:t>
            </w:r>
            <w:r w:rsidRPr="007E758F">
              <w:rPr>
                <w:rFonts w:ascii="Basic" w:hAnsi="Basic"/>
              </w:rPr>
              <w:t>+254-202-911-00</w:t>
            </w:r>
            <w:r>
              <w:rPr>
                <w:rFonts w:ascii="Basic" w:hAnsi="Basic"/>
              </w:rPr>
              <w:t>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569EFCF" w:rsidR="003E7389" w:rsidRPr="009F305C" w:rsidRDefault="00BF5B5C" w:rsidP="009F305C">
            <w:r w:rsidRPr="007E758F">
              <w:rPr>
                <w:rFonts w:ascii="Basic" w:hAnsi="Basic"/>
              </w:rP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E3C9C6D" w:rsidR="003E7389" w:rsidRPr="009F305C" w:rsidRDefault="00627FBE" w:rsidP="009F305C">
            <w:hyperlink r:id="rId21" w:history="1">
              <w:r w:rsidR="00BF5B5C" w:rsidRPr="007B2276">
                <w:rPr>
                  <w:rStyle w:val="Hyperlink"/>
                </w:rPr>
                <w:t>dps@knbs.or.ke</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F6C3655" w14:textId="77777777" w:rsidR="00BF5B5C" w:rsidRPr="0079705C" w:rsidRDefault="00BF5B5C" w:rsidP="0079705C">
            <w:r w:rsidRPr="0079705C">
              <w:t>Definition:</w:t>
            </w:r>
          </w:p>
          <w:p w14:paraId="556D3C96" w14:textId="77777777" w:rsidR="00BF5B5C" w:rsidRPr="0079705C" w:rsidRDefault="00BF5B5C" w:rsidP="0079705C">
            <w:r w:rsidRPr="0079705C">
              <w:t xml:space="preserve">This indicator measures the number of people who died, went missing or were directly affected by disasters per 100,000 population. </w:t>
            </w:r>
          </w:p>
          <w:p w14:paraId="5ABA1AEF" w14:textId="77777777" w:rsidR="00BF5B5C" w:rsidRPr="005707CE" w:rsidRDefault="00BF5B5C" w:rsidP="00BF5B5C">
            <w:pPr>
              <w:pStyle w:val="paragraph"/>
              <w:shd w:val="clear" w:color="auto" w:fill="FFFFFF"/>
              <w:spacing w:before="0" w:beforeAutospacing="0" w:after="0" w:afterAutospacing="0" w:line="276" w:lineRule="auto"/>
              <w:textAlignment w:val="baseline"/>
              <w:rPr>
                <w:rFonts w:ascii="Segoe UI" w:hAnsi="Segoe UI" w:cs="Segoe UI"/>
                <w:sz w:val="18"/>
                <w:szCs w:val="18"/>
              </w:rPr>
            </w:pPr>
          </w:p>
          <w:p w14:paraId="30A837DD" w14:textId="77777777" w:rsidR="00BF5B5C" w:rsidRPr="0079705C" w:rsidRDefault="00BF5B5C" w:rsidP="0079705C">
            <w:r w:rsidRPr="0079705C">
              <w:lastRenderedPageBreak/>
              <w:t>Concepts:</w:t>
            </w:r>
          </w:p>
          <w:p w14:paraId="4073E87C" w14:textId="77777777" w:rsidR="00BF5B5C" w:rsidRPr="0079705C" w:rsidRDefault="00BF5B5C" w:rsidP="0079705C">
            <w:r w:rsidRPr="0079705C">
              <w:t>Death: The number of people who died during the disaster, or directly after, as a direct result of the hazardous event.</w:t>
            </w:r>
          </w:p>
          <w:p w14:paraId="39AAB6A9" w14:textId="77777777" w:rsidR="00BF5B5C" w:rsidRPr="0079705C" w:rsidRDefault="00BF5B5C" w:rsidP="0079705C">
            <w:r w:rsidRPr="0079705C">
              <w:t>Missing: The number of people whose whereabouts is unknown since the hazardous event. It includes people who are presumed dead, for whom there is no physical evidence such as a body, and for which an official/legal report has been filed with competent authorities.</w:t>
            </w:r>
          </w:p>
          <w:p w14:paraId="6C84E827" w14:textId="652E5486" w:rsidR="0015178E" w:rsidRPr="009F305C" w:rsidRDefault="00BF5B5C" w:rsidP="00BF5B5C">
            <w:r w:rsidRPr="0079705C">
              <w:t>Directly affected:  The number of people who have suffered injury, illness or other health effects; who were evacuated, displaced, relocated or have suffered direct damage to their livelihoods, economic, physical, social, cultural and environmental assets. Indirectly affected are people who have suffered consequences, other than or in addition to direct effects, over time, due to disruption or changes in economy, critical infrastructure, basic services, commerce or work, or social, health and psychological consequences.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B761FBB" w:rsidR="0015178E" w:rsidRPr="009F305C" w:rsidRDefault="00BF5B5C" w:rsidP="009F305C">
            <w:r>
              <w:t>Number</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9C3ED31" w:rsidR="0015178E" w:rsidRPr="009F305C" w:rsidRDefault="00BF5B5C" w:rsidP="009F305C">
            <w:r>
              <w:t>N/A</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C6F1DD5" w14:textId="77777777" w:rsidR="00BF5B5C" w:rsidRPr="0079705C" w:rsidRDefault="00BF5B5C" w:rsidP="0079705C">
            <w:r w:rsidRPr="0079705C">
              <w:t xml:space="preserve">Administrative data reported through the National Disaster Operation Centre  </w:t>
            </w:r>
          </w:p>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4096659" w:rsidR="0035311B" w:rsidRPr="009F305C" w:rsidRDefault="00BF5B5C" w:rsidP="009F305C">
            <w:r>
              <w:t>National Disaster Operation Centre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2B26CCE" w:rsidR="0035311B" w:rsidRPr="009F305C" w:rsidRDefault="00BF5B5C" w:rsidP="009F305C">
            <w:r>
              <w:t>KNBS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2C98DCFF" w14:textId="77777777" w:rsidR="00BF5B5C" w:rsidRPr="0079705C" w:rsidRDefault="00BF5B5C" w:rsidP="00BF5B5C">
            <w:pPr>
              <w:pStyle w:val="NormalWeb"/>
              <w:shd w:val="clear" w:color="auto" w:fill="FFFFFF"/>
              <w:spacing w:before="180" w:after="0"/>
              <w:rPr>
                <w:rFonts w:ascii="Gentium Basic" w:eastAsiaTheme="minorHAnsi" w:hAnsi="Gentium Basic" w:cstheme="minorBidi"/>
                <w:color w:val="000000"/>
                <w:sz w:val="22"/>
                <w:szCs w:val="22"/>
              </w:rPr>
            </w:pPr>
            <w:r w:rsidRPr="0079705C">
              <w:rPr>
                <w:rFonts w:asciiTheme="minorHAnsi" w:eastAsiaTheme="minorHAnsi" w:hAnsiTheme="minorHAnsi" w:cstheme="minorBidi"/>
                <w:sz w:val="22"/>
                <w:szCs w:val="22"/>
              </w:rPr>
              <w:t>The Kenya National Bureau of Statistics (KNBS) is established under the Statistics Act, 2006 as the</w:t>
            </w:r>
            <w:r w:rsidRPr="0079705C">
              <w:rPr>
                <w:rFonts w:ascii="Gentium Basic" w:eastAsiaTheme="minorHAnsi" w:hAnsi="Gentium Basic" w:cstheme="minorBidi"/>
                <w:color w:val="000000"/>
                <w:sz w:val="22"/>
                <w:szCs w:val="22"/>
              </w:rPr>
              <w:t xml:space="preserve"> </w:t>
            </w:r>
            <w:r w:rsidRPr="0079705C">
              <w:rPr>
                <w:rFonts w:asciiTheme="minorHAnsi" w:eastAsiaTheme="minorHAnsi" w:hAnsiTheme="minorHAnsi" w:cstheme="minorBidi"/>
                <w:sz w:val="22"/>
                <w:szCs w:val="22"/>
              </w:rPr>
              <w:t>principal agency of the government for collecting, analyzing and disseminating</w:t>
            </w:r>
            <w:r w:rsidRPr="0079705C">
              <w:rPr>
                <w:rFonts w:ascii="Gentium Basic" w:eastAsiaTheme="minorHAnsi" w:hAnsi="Gentium Basic" w:cstheme="minorBidi"/>
                <w:color w:val="000000"/>
                <w:sz w:val="22"/>
                <w:szCs w:val="22"/>
              </w:rPr>
              <w:t xml:space="preserve"> </w:t>
            </w:r>
            <w:r w:rsidRPr="0079705C">
              <w:rPr>
                <w:rFonts w:asciiTheme="minorHAnsi" w:eastAsiaTheme="minorHAnsi" w:hAnsiTheme="minorHAnsi" w:cstheme="minorBidi"/>
                <w:sz w:val="22"/>
                <w:szCs w:val="22"/>
              </w:rPr>
              <w:lastRenderedPageBreak/>
              <w:t>statistical data in Kenya as well as the custodian of official statistical information.</w:t>
            </w:r>
          </w:p>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A326536" w14:textId="77777777" w:rsidR="008F0644" w:rsidRPr="0079705C" w:rsidRDefault="008F0644" w:rsidP="0079705C">
            <w:r w:rsidRPr="0079705C">
              <w:t>The Sendai Framework for Disaster Risk Reduction 2015-2030 was adopted by UN Member States in March 2015 as a global policy of disaster risk reduction. Among the global targets, “Target A: Substantially reduce global disaster mortality by 2030, aiming to lower average per 100,000 global mortality between 2020-2030 compared with 2005-2015” and “Target B: Substantially reduce the number of affected people globally by 2030, aiming to lower the average global figure per 100,000 between 2020-2030 compared with 2005-2015” will contribute to sustainable development and strengthen economic, social, health and environmental resilience. The economic, environmental and social perspectives would include poverty eradication, urban resilience, and climate change adaptation.</w:t>
            </w:r>
          </w:p>
          <w:p w14:paraId="1A61974B" w14:textId="77777777" w:rsidR="008F0644" w:rsidRPr="0079705C" w:rsidRDefault="008F0644" w:rsidP="0079705C"/>
          <w:p w14:paraId="2CF5E772" w14:textId="77777777" w:rsidR="008F0644" w:rsidRPr="0079705C" w:rsidRDefault="008F0644" w:rsidP="0079705C">
            <w:r w:rsidRPr="0079705C">
              <w:t>Disaster loss data is greatly influenced by large-scale catastrophic events, which represent important outliers. UNISDR recommends the data be reported by event, so that complementary analysis can be undertaken to obtain trends and patterns in which such catastrophic events (that can represent outliers) can be included or excluded.</w:t>
            </w:r>
          </w:p>
          <w:p w14:paraId="70BCDA07" w14:textId="77777777" w:rsidR="008F0644" w:rsidRPr="0079705C" w:rsidRDefault="008F0644" w:rsidP="008F0644">
            <w:pPr>
              <w:autoSpaceDE w:val="0"/>
              <w:autoSpaceDN w:val="0"/>
              <w:adjustRightInd w:val="0"/>
              <w:spacing w:after="0" w:line="240" w:lineRule="auto"/>
              <w:rPr>
                <w:rFonts w:ascii="Gentium Basic" w:hAnsi="Gentium Basic"/>
                <w:color w:val="000000"/>
              </w:rPr>
            </w:pP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62F8823" w14:textId="77777777" w:rsidR="008F0644" w:rsidRPr="0079705C" w:rsidRDefault="00627FBE" w:rsidP="0079705C">
            <m:oMathPara>
              <m:oMath>
                <m:sSub>
                  <m:sSubPr>
                    <m:ctrlPr>
                      <w:rPr>
                        <w:rFonts w:ascii="Cambria Math" w:hAnsi="Cambria Math"/>
                      </w:rPr>
                    </m:ctrlPr>
                  </m:sSubPr>
                  <m:e>
                    <m:r>
                      <w:rPr>
                        <w:rFonts w:ascii="Cambria Math" w:hAnsi="Cambria Math"/>
                      </w:rPr>
                      <m:t>X</m:t>
                    </m:r>
                  </m:e>
                  <m:sub/>
                </m:sSub>
                <m:r>
                  <m:rPr>
                    <m:sty m:val="p"/>
                  </m:rPr>
                  <w:rPr>
                    <w:rFonts w:ascii="Cambria Math" w:hAnsi="Cambria Math"/>
                  </w:rPr>
                  <m:t>=</m:t>
                </m:r>
                <m:f>
                  <m:fPr>
                    <m:ctrlPr>
                      <w:rPr>
                        <w:rFonts w:ascii="Cambria Math" w:hAnsi="Cambria Math"/>
                      </w:rPr>
                    </m:ctrlPr>
                  </m:fPr>
                  <m:num>
                    <m:r>
                      <m:rPr>
                        <m:sty m:val="p"/>
                      </m:rPr>
                      <w:rPr>
                        <w:rFonts w:ascii="Cambria Math" w:hAnsi="Cambria Math"/>
                      </w:rPr>
                      <m:t>(</m:t>
                    </m:r>
                    <m:sSub>
                      <m:sSubPr>
                        <m:ctrlPr>
                          <w:rPr>
                            <w:rFonts w:ascii="Cambria Math" w:hAnsi="Cambria Math"/>
                          </w:rPr>
                        </m:ctrlPr>
                      </m:sSubPr>
                      <m:e>
                        <m:r>
                          <w:rPr>
                            <w:rFonts w:ascii="Cambria Math" w:hAnsi="Cambria Math"/>
                          </w:rPr>
                          <m:t>A</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w:rPr>
                            <w:rFonts w:ascii="Cambria Math" w:hAnsi="Cambria Math"/>
                          </w:rPr>
                          <m:t>A</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w:rPr>
                            <w:rFonts w:ascii="Cambria Math" w:hAnsi="Cambria Math"/>
                          </w:rPr>
                          <m:t>B</m:t>
                        </m:r>
                      </m:e>
                      <m:sub>
                        <m:r>
                          <m:rPr>
                            <m:sty m:val="p"/>
                          </m:rPr>
                          <w:rPr>
                            <w:rFonts w:ascii="Cambria Math" w:hAnsi="Cambria Math"/>
                          </w:rPr>
                          <m:t>1</m:t>
                        </m:r>
                      </m:sub>
                    </m:sSub>
                    <m:r>
                      <m:rPr>
                        <m:sty m:val="p"/>
                      </m:rPr>
                      <w:rPr>
                        <w:rFonts w:ascii="Cambria Math" w:hAnsi="Cambria Math"/>
                      </w:rPr>
                      <m:t>)</m:t>
                    </m:r>
                  </m:num>
                  <m:den>
                    <m:r>
                      <w:rPr>
                        <w:rFonts w:ascii="Cambria Math" w:hAnsi="Cambria Math"/>
                      </w:rPr>
                      <m:t>Global</m:t>
                    </m:r>
                    <m:r>
                      <m:rPr>
                        <m:sty m:val="p"/>
                      </m:rPr>
                      <w:rPr>
                        <w:rFonts w:ascii="Cambria Math" w:hAnsi="Cambria Math"/>
                      </w:rPr>
                      <m:t xml:space="preserve"> </m:t>
                    </m:r>
                    <m:r>
                      <w:rPr>
                        <w:rFonts w:ascii="Cambria Math" w:hAnsi="Cambria Math"/>
                      </w:rPr>
                      <m:t>Population</m:t>
                    </m:r>
                  </m:den>
                </m:f>
                <m:r>
                  <m:rPr>
                    <m:sty m:val="p"/>
                  </m:rPr>
                  <w:rPr>
                    <w:rFonts w:ascii="Cambria Math" w:hAnsi="Cambria Math"/>
                  </w:rPr>
                  <m:t xml:space="preserve"> ×100,000</m:t>
                </m:r>
              </m:oMath>
            </m:oMathPara>
          </w:p>
          <w:p w14:paraId="00E2644F" w14:textId="77777777" w:rsidR="008F0644" w:rsidRPr="0079705C" w:rsidRDefault="008F0644" w:rsidP="0079705C">
            <w:r w:rsidRPr="0079705C">
              <w:t>Where:</w:t>
            </w:r>
          </w:p>
          <w:p w14:paraId="082EE419" w14:textId="77777777" w:rsidR="008F0644" w:rsidRPr="0079705C" w:rsidRDefault="008F0644" w:rsidP="0079705C">
            <w:r w:rsidRPr="0079705C">
              <w:t xml:space="preserve">A2  Number of deaths attributed to disasters; </w:t>
            </w:r>
          </w:p>
          <w:p w14:paraId="09F14BCF" w14:textId="77777777" w:rsidR="008F0644" w:rsidRPr="0079705C" w:rsidRDefault="008F0644" w:rsidP="0079705C">
            <w:r w:rsidRPr="0079705C">
              <w:t xml:space="preserve">A3 Number of missing persons attributed to disasters; and </w:t>
            </w:r>
          </w:p>
          <w:p w14:paraId="5A53B8A7" w14:textId="08F5F013" w:rsidR="007F2D9F" w:rsidRPr="009F305C" w:rsidRDefault="008F0644" w:rsidP="008F0644">
            <w:r w:rsidRPr="0079705C">
              <w:lastRenderedPageBreak/>
              <w:t>B1 Number of directly affected people attributed to disasters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3221E36A" w:rsidR="007F2D9F" w:rsidRPr="009F305C" w:rsidRDefault="008F0644" w:rsidP="009F305C">
            <w:r w:rsidRPr="0079705C">
              <w:t>Upon receiving filled-in data templates, KNBS reviews and validates the data as per the Kenya Statistical Quality Assurance Framework (</w:t>
            </w:r>
            <w:proofErr w:type="spellStart"/>
            <w:r w:rsidRPr="0079705C">
              <w:t>KeSQAF</w:t>
            </w:r>
            <w:proofErr w:type="spellEnd"/>
            <w:r w:rsidRPr="0079705C">
              <w:t>) and Principles of Official statistics through Technical Working Committees</w:t>
            </w:r>
            <w:r w:rsidRPr="0079705C">
              <w:rPr>
                <w:rFonts w:ascii="Gentium Basic" w:hAnsi="Gentium Basic"/>
                <w:color w:val="000000"/>
              </w:rPr>
              <w:t>.</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4C1851B" w14:textId="77777777" w:rsidR="008F0644" w:rsidRPr="0079705C" w:rsidRDefault="008F0644" w:rsidP="0079705C">
            <w:r w:rsidRPr="0079705C">
              <w:t>At country level:</w:t>
            </w:r>
          </w:p>
          <w:p w14:paraId="5F1C1D9F" w14:textId="77777777" w:rsidR="008F0644" w:rsidRPr="0079705C" w:rsidRDefault="008F0644" w:rsidP="0079705C">
            <w:r w:rsidRPr="0079705C">
              <w:t>If no data are available, missing values are left blank.</w:t>
            </w:r>
          </w:p>
          <w:p w14:paraId="54A93B2C" w14:textId="77777777" w:rsidR="008F0644" w:rsidRPr="0079705C" w:rsidRDefault="008F0644" w:rsidP="0079705C">
            <w:r w:rsidRPr="0079705C">
              <w:t>At Regional level:</w:t>
            </w:r>
          </w:p>
          <w:p w14:paraId="55C0FDEF" w14:textId="7B4FDBBA" w:rsidR="007F2D9F" w:rsidRPr="009F305C" w:rsidRDefault="008F0644" w:rsidP="008F0644">
            <w:r w:rsidRPr="0079705C">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AFC0EFB" w:rsidR="007F2D9F" w:rsidRPr="009F305C" w:rsidRDefault="008F0644" w:rsidP="009F305C">
            <w:r w:rsidRPr="0079705C">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4CDE24B" w14:textId="77777777" w:rsidR="008F0644" w:rsidRPr="00891E76" w:rsidRDefault="008F0644" w:rsidP="008F0644">
            <w:pPr>
              <w:jc w:val="both"/>
              <w:rPr>
                <w:rFonts w:ascii="Times New Roman" w:hAnsi="Times New Roman" w:cs="Times New Roman"/>
                <w:sz w:val="24"/>
                <w:szCs w:val="24"/>
              </w:rPr>
            </w:pPr>
            <w:r w:rsidRPr="0079705C">
              <w:t>The KNBS adheres to Kenya Statistical Quality Assurance Framework (</w:t>
            </w:r>
            <w:proofErr w:type="spellStart"/>
            <w:r w:rsidRPr="0079705C">
              <w:t>KesQAF</w:t>
            </w:r>
            <w:proofErr w:type="spellEnd"/>
            <w:r w:rsidRPr="0079705C">
              <w:t>) that underlines principles to be assured in managing the statistical production processes and output</w:t>
            </w:r>
            <w:r w:rsidRPr="00891E76">
              <w:rPr>
                <w:rFonts w:ascii="Times New Roman" w:hAnsi="Times New Roman" w:cs="Times New Roman"/>
                <w:sz w:val="24"/>
                <w:szCs w:val="24"/>
              </w:rPr>
              <w:t xml:space="preserve">.  </w:t>
            </w:r>
          </w:p>
          <w:p w14:paraId="49CC4A3F" w14:textId="6E596887" w:rsidR="007F2D9F" w:rsidRPr="009F305C" w:rsidRDefault="008F0644" w:rsidP="009F305C">
            <w:r w:rsidRPr="0079705C">
              <w:t>Data consistency and quality checks are conducted through Technical Working Groups (TWGs) before publication and dissemination</w:t>
            </w:r>
            <w:r w:rsidRPr="00891E76">
              <w:rPr>
                <w:rFonts w:ascii="Times New Roman" w:hAnsi="Times New Roman" w:cs="Times New Roman"/>
                <w:sz w:val="24"/>
                <w:szCs w:val="24"/>
              </w:rPr>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C5773FD" w:rsidR="007F2D9F" w:rsidRPr="009F305C" w:rsidRDefault="008F0644" w:rsidP="009F305C">
            <w:r w:rsidRPr="0079705C">
              <w:t>The processes of compilation, production, publication and dissemination of data, including quality control are subjected to a set criteria and standards to ensure conformity</w:t>
            </w:r>
            <w:r w:rsidRPr="00891E76">
              <w:rPr>
                <w:rFonts w:ascii="Times New Roman" w:hAnsi="Times New Roman" w:cs="Times New Roman"/>
                <w:sz w:val="24"/>
                <w:szCs w:val="24"/>
              </w:rPr>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FBE07A6" w14:textId="77777777" w:rsidR="008F0644" w:rsidRDefault="008F0644" w:rsidP="008F0644">
            <w:r>
              <w:t>Data available at National level</w:t>
            </w:r>
          </w:p>
          <w:p w14:paraId="01C127E1" w14:textId="77777777" w:rsidR="008F0644" w:rsidRPr="0079705C" w:rsidRDefault="008F0644" w:rsidP="0079705C">
            <w:r>
              <w:lastRenderedPageBreak/>
              <w:t xml:space="preserve">Disaggregation: </w:t>
            </w:r>
            <w:r w:rsidRPr="0079705C">
              <w:t xml:space="preserve">Number of deaths attributed to disasters; </w:t>
            </w:r>
          </w:p>
          <w:p w14:paraId="6A239E3B" w14:textId="77777777" w:rsidR="008F0644" w:rsidRPr="0079705C" w:rsidRDefault="008F0644" w:rsidP="0079705C">
            <w:r w:rsidRPr="0079705C">
              <w:t xml:space="preserve">Number of missing persons attributed to disasters; and </w:t>
            </w:r>
          </w:p>
          <w:p w14:paraId="737A1FD0" w14:textId="77777777" w:rsidR="008F0644" w:rsidRPr="0079705C" w:rsidRDefault="008F0644" w:rsidP="0079705C">
            <w:r w:rsidRPr="0079705C">
              <w:t xml:space="preserve">Number of directly affected people attributed to disasters. </w:t>
            </w:r>
          </w:p>
          <w:p w14:paraId="2F23725D" w14:textId="77777777" w:rsidR="008F0644" w:rsidRPr="0079705C" w:rsidRDefault="008F0644" w:rsidP="0079705C"/>
          <w:p w14:paraId="7DE720BD" w14:textId="77777777" w:rsidR="008F0644" w:rsidRPr="0079705C" w:rsidRDefault="008F0644" w:rsidP="0079705C">
            <w:r w:rsidRPr="0079705C">
              <w:t xml:space="preserve"> [Desirable Disaggregation]:</w:t>
            </w:r>
          </w:p>
          <w:p w14:paraId="26DFF364" w14:textId="77777777" w:rsidR="008F0644" w:rsidRPr="0079705C" w:rsidRDefault="008F0644" w:rsidP="0079705C">
            <w:r w:rsidRPr="0079705C">
              <w:t>Hazard</w:t>
            </w:r>
          </w:p>
          <w:p w14:paraId="7888F933" w14:textId="77777777" w:rsidR="008F0644" w:rsidRPr="0079705C" w:rsidRDefault="008F0644" w:rsidP="0079705C">
            <w:r w:rsidRPr="0079705C">
              <w:t>Geography (Administrative Unit)</w:t>
            </w:r>
          </w:p>
          <w:p w14:paraId="39CD0A5F" w14:textId="77777777" w:rsidR="008F0644" w:rsidRPr="0079705C" w:rsidRDefault="008F0644" w:rsidP="0079705C">
            <w:r w:rsidRPr="0079705C">
              <w:t>Sex</w:t>
            </w:r>
          </w:p>
          <w:p w14:paraId="0A13A745" w14:textId="77777777" w:rsidR="008F0644" w:rsidRPr="0079705C" w:rsidRDefault="008F0644" w:rsidP="0079705C">
            <w:r w:rsidRPr="0079705C">
              <w:t>Age (3 categories)</w:t>
            </w:r>
          </w:p>
          <w:p w14:paraId="2F04C3DB" w14:textId="77777777" w:rsidR="008F0644" w:rsidRPr="0079705C" w:rsidRDefault="008F0644" w:rsidP="0079705C">
            <w:r w:rsidRPr="0079705C">
              <w:t>Disability</w:t>
            </w:r>
          </w:p>
          <w:p w14:paraId="64DA6E77" w14:textId="77777777" w:rsidR="008F0644" w:rsidRPr="0079705C" w:rsidRDefault="008F0644" w:rsidP="0079705C">
            <w:r w:rsidRPr="0079705C">
              <w:t>Income</w:t>
            </w:r>
          </w:p>
          <w:p w14:paraId="39185D77" w14:textId="2ACCB721"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4CB423D" w:rsidR="006A7EF1" w:rsidRPr="009F305C" w:rsidRDefault="0079705C" w:rsidP="009F305C">
            <w:r>
              <w:t>N/A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31FB5B8" w14:textId="77777777" w:rsidR="0079705C" w:rsidRPr="0079705C" w:rsidRDefault="0079705C" w:rsidP="0079705C">
            <w:r w:rsidRPr="0079705C">
              <w:t xml:space="preserve">Internationally agreed methodology and guideline URL: </w:t>
            </w:r>
          </w:p>
          <w:p w14:paraId="028B3A46" w14:textId="77777777" w:rsidR="0079705C" w:rsidRPr="0079705C" w:rsidRDefault="0079705C" w:rsidP="0079705C">
            <w:r w:rsidRPr="0079705C">
              <w:t>Technical guidance for monitoring and reporting on progress in achieving the global targets of the Sendai Framework for Disaster Risk Reduction (UNISDR 2017)</w:t>
            </w:r>
          </w:p>
          <w:p w14:paraId="31D4E654" w14:textId="77777777" w:rsidR="0079705C" w:rsidRDefault="00627FBE" w:rsidP="0079705C">
            <w:pPr>
              <w:rPr>
                <w:rFonts w:ascii="Calibri" w:eastAsia="Times New Roman" w:hAnsi="Calibri" w:cs="Times New Roman"/>
                <w:color w:val="0563C1"/>
                <w:sz w:val="21"/>
                <w:szCs w:val="21"/>
                <w:u w:val="single"/>
                <w:lang w:eastAsia="en-GB"/>
              </w:rPr>
            </w:pPr>
            <w:hyperlink r:id="rId22" w:history="1">
              <w:r w:rsidR="0079705C" w:rsidRPr="006C5AAA">
                <w:rPr>
                  <w:rFonts w:ascii="Calibri" w:eastAsia="Times New Roman" w:hAnsi="Calibri" w:cs="Times New Roman"/>
                  <w:color w:val="0563C1"/>
                  <w:sz w:val="21"/>
                  <w:szCs w:val="21"/>
                  <w:u w:val="single"/>
                  <w:lang w:eastAsia="en-GB"/>
                </w:rPr>
                <w:t>https://www.preventionweb.net/files/54970_collectionoftechnicalguidancenoteso.pdf</w:t>
              </w:r>
            </w:hyperlink>
          </w:p>
          <w:sdt>
            <w:sdtPr>
              <w:tag w:val="goog_rdk_16"/>
              <w:id w:val="-1776786538"/>
            </w:sdtPr>
            <w:sdtEndPr/>
            <w:sdtContent>
              <w:p w14:paraId="0C6DC526" w14:textId="4F94F117" w:rsidR="0079705C" w:rsidRPr="0079705C" w:rsidRDefault="0079705C" w:rsidP="0079705C">
                <w:r w:rsidRPr="0079705C">
                  <w:t>References: Technical guidance for monitoring and reporting on progress in achieving the global targets of the Sendai Framework for Disaster Risk Reduction (UNISDR 2017)</w:t>
                </w:r>
                <w:r>
                  <w:t>.</w:t>
                </w:r>
              </w:p>
              <w:p w14:paraId="6A310D48" w14:textId="77777777" w:rsidR="0079705C" w:rsidRDefault="00627FBE" w:rsidP="0079705C"/>
            </w:sdtContent>
          </w:sdt>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Basic">
    <w:altName w:val="Calibri"/>
    <w:charset w:val="00"/>
    <w:family w:val="auto"/>
    <w:pitch w:val="default"/>
  </w:font>
  <w:font w:name="Gentium Basic">
    <w:altName w:val="Times New Roman"/>
    <w:charset w:val="00"/>
    <w:family w:val="auto"/>
    <w:pitch w:val="default"/>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137991840">
    <w:abstractNumId w:val="2"/>
  </w:num>
  <w:num w:numId="2" w16cid:durableId="1813866143">
    <w:abstractNumId w:val="0"/>
  </w:num>
  <w:num w:numId="3" w16cid:durableId="1022365761">
    <w:abstractNumId w:val="3"/>
  </w:num>
  <w:num w:numId="4" w16cid:durableId="72144144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27FBE"/>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705C"/>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644"/>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5B5C"/>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E3F17"/>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customStyle="1" w:styleId="paragraph">
    <w:name w:val="paragraph"/>
    <w:basedOn w:val="Normal"/>
    <w:rsid w:val="00BF5B5C"/>
    <w:pPr>
      <w:spacing w:before="100" w:beforeAutospacing="1" w:after="100" w:afterAutospacing="1" w:line="240" w:lineRule="auto"/>
    </w:pPr>
    <w:rPr>
      <w:rFonts w:ascii="Times New Roman" w:eastAsia="Times New Roman" w:hAnsi="Times New Roman" w:cs="Times New Roman"/>
      <w:sz w:val="24"/>
      <w:szCs w:val="24"/>
    </w:rPr>
  </w:style>
  <w:style w:type="paragraph" w:styleId="NormalWeb">
    <w:name w:val="Normal (Web)"/>
    <w:basedOn w:val="Normal"/>
    <w:uiPriority w:val="99"/>
    <w:unhideWhenUsed/>
    <w:rsid w:val="00BF5B5C"/>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mailto:dps@knbs.or.k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www.preventionweb.net/files/54970_collectionoftechnicalguidancenoteso.pdf"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Basic">
    <w:altName w:val="Calibri"/>
    <w:charset w:val="00"/>
    <w:family w:val="auto"/>
    <w:pitch w:val="default"/>
  </w:font>
  <w:font w:name="Gentium Basic">
    <w:altName w:val="Times New Roman"/>
    <w:charset w:val="00"/>
    <w:family w:val="auto"/>
    <w:pitch w:val="default"/>
  </w:font>
  <w:font w:name="Cambria Math">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A813D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13</Pages>
  <Words>216207</Words>
  <Characters>1232381</Characters>
  <Application>Microsoft Office Word</Application>
  <DocSecurity>8</DocSecurity>
  <Lines>10269</Lines>
  <Paragraphs>2891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1445697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Abdi Mohamud Ali</cp:lastModifiedBy>
  <cp:revision>3</cp:revision>
  <cp:lastPrinted>2020-04-16T14:23:00Z</cp:lastPrinted>
  <dcterms:created xsi:type="dcterms:W3CDTF">2024-05-07T12:25:00Z</dcterms:created>
  <dcterms:modified xsi:type="dcterms:W3CDTF">2024-05-07T13:39:00Z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