
<file path=[Content_Types].xml><?xml version="1.0" encoding="utf-8"?>
<Types xmlns="http://schemas.openxmlformats.org/package/2006/content-types">
  <Default ContentType="image/x-wmf" Extension="wmf"/>
  <Default ContentType="application/xml" Extension="xml"/>
  <Default ContentType="application/vnd.openxmlformats-package.relationships+xml" Extension="rels"/>
  <Override ContentType="application/vnd.openxmlformats-officedocument.wordprocessingml.settings+xml" PartName="/word/settings.xml"/>
  <Override ContentType="application/xml" PartName="/customXML/item1.xml"/>
  <Override ContentType="application/vnd.openxmlformats-officedocument.custom-properties+xml" PartName="/docProps/custom.xml"/>
  <Override ContentType="application/vnd.openxmlformats-officedocument.customXmlProperties+xml" PartName="/customXML/itemProps1.xml"/>
  <Override ContentType="application/vnd.openxmlformats-officedocument.wordprocessingml.styles+xml" PartName="/word/styles.xml"/>
  <Override ContentType="application/vnd.openxmlformats-officedocument.wordprocessingml.footer+xml" PartName="/word/footer2.xml"/>
  <Override ContentType="application/vnd.openxmlformats-officedocument.wordprocessingml.footer+xml" PartName="/word/footer1.xml"/>
  <Override ContentType="application/vnd.openxmlformats-officedocument.wordprocessingml.footnotes+xml" PartName="/word/footnotes.xml"/>
  <Override ContentType="application/vnd.openxmlformats-officedocument.wordprocessingml.fontTable+xml" PartName="/word/fontTable.xml"/>
  <Override ContentType="application/vnd.openxmlformats-officedocument.wordprocessingml.numbering+xml" PartName="/word/numbering.xml"/>
  <Override ContentType="application/vnd.openxmlformats-package.core-properties+xml" PartName="/docProps/core.xml"/>
  <Override ContentType="application/vnd.openxmlformats-officedocument.wordprocessingml.document.main+xml" PartName="/word/document.xml"/>
  <Override ContentType="application/vnd.openxmlformats-officedocument.theme+xml" PartName="/word/theme/theme1.xml"/>
</Types>
</file>

<file path=_rels/.rels><?xml version="1.0" encoding="UTF-8" standalone="yes"?><Relationships xmlns="http://schemas.openxmlformats.org/package/2006/relationships"><Relationship Id="rId1" Type="http://schemas.openxmlformats.org/officeDocument/2006/relationships/custom-properties" Target="docProps/custom.xml"/><Relationship Id="rId2" Type="http://schemas.openxmlformats.org/package/2006/relationships/metadata/core-properties" Target="docProps/core.xml"/><Relationship Id="rId3" Type="http://schemas.openxmlformats.org/officeDocument/2006/relationships/officeDocument" Target="word/document.xml"/></Relationships>
</file>

<file path=word/document.xml><?xml version="1.0" encoding="utf-8"?>
<w:document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body>
    <w:p w:rsidR="00000000" w:rsidDel="00000000" w:rsidP="00000000" w:rsidRDefault="00000000" w:rsidRPr="00000000" w14:paraId="00000001">
      <w:pPr>
        <w:keepNext w:val="0"/>
        <w:keepLines w:val="0"/>
        <w:pageBreakBefore w:val="0"/>
        <w:widowControl w:val="0"/>
        <w:pBdr>
          <w:top w:space="0" w:sz="0" w:val="nil"/>
          <w:left w:space="0" w:sz="0" w:val="nil"/>
          <w:bottom w:space="0" w:sz="0" w:val="nil"/>
          <w:right w:space="0" w:sz="0" w:val="nil"/>
          <w:between w:space="0" w:sz="0" w:val="nil"/>
        </w:pBdr>
        <w:shd w:fill="auto" w:val="clear"/>
        <w:spacing w:after="0" w:before="0" w:line="276" w:lineRule="auto"/>
        <w:ind w:left="0" w:right="0" w:firstLine="0"/>
        <w:jc w:val="left"/>
      </w:pPr>
      <w:r w:rsidDel="00000000" w:rsidR="00000000" w:rsidRPr="00000000">
        <w:pict>
          <v:shapetype id="_x0000_t75" coordsize="21600,21600" filled="f" stroked="f" o:spt="75.0" o:preferrelative="t" path="m@4@5l@4@11@9@11@9@5xe">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connecttype="rect" o:extrusionok="f" gradientshapeok="t"/>
            <o:lock v:ext="edit" aspectratio="t"/>
          </v:shapetype>
        </w:pict>
      </w:r>
    </w:p>
    <w:p w:rsidR="00000000" w:rsidDel="00000000" w:rsidP="00000000" w:rsidRDefault="00000000" w:rsidRPr="00000000" w14:paraId="00000002">
      <w:pPr>
        <w:pStyle w:val="Title"/>
        <w:jc w:val="center"/>
        <w:rPr>
          <w:sz w:val="48"/>
          <w:szCs w:val="48"/>
        </w:rPr>
      </w:pPr>
      <w:r w:rsidDel="00000000" w:rsidR="00000000" w:rsidRPr="00000000">
        <w:rPr>
          <w:sz w:val="48"/>
          <w:szCs w:val="48"/>
          <w:rtl w:val="0"/>
        </w:rPr>
        <w:t xml:space="preserve">SDG Metadata Authoring Tool Template</w:t>
      </w:r>
    </w:p>
    <w:p w:rsidR="00000000" w:rsidDel="00000000" w:rsidP="00000000" w:rsidRDefault="00000000" w:rsidRPr="00000000" w14:paraId="00000003">
      <w:pPr>
        <w:pStyle w:val="Subtitle"/>
        <w:jc w:val="center"/>
        <w:rPr/>
      </w:pPr>
      <w:r w:rsidDel="00000000" w:rsidR="00000000" w:rsidRPr="00000000">
        <w:rPr>
          <w:rtl w:val="0"/>
        </w:rPr>
        <w:t xml:space="preserve">Word Version 3.4 (DRAFT)</w:t>
      </w:r>
    </w:p>
    <w:p w:rsidR="00000000" w:rsidDel="00000000" w:rsidP="00000000" w:rsidRDefault="00000000" w:rsidRPr="00000000" w14:paraId="00000004">
      <w:pPr>
        <w:jc w:val="center"/>
        <w:rPr/>
      </w:pPr>
      <w:r w:rsidDel="00000000" w:rsidR="00000000" w:rsidRPr="00000000">
        <w:rPr>
          <w:rtl w:val="0"/>
        </w:rPr>
        <w:t xml:space="preserve">Main and Detailed Concept Collection Form</w:t>
      </w:r>
    </w:p>
    <w:p w:rsidR="00000000" w:rsidDel="00000000" w:rsidP="00000000" w:rsidRDefault="00000000" w:rsidRPr="00000000" w14:paraId="00000005">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40" w:line="259" w:lineRule="auto"/>
        <w:ind w:left="0" w:right="0" w:firstLine="0"/>
        <w:jc w:val="left"/>
        <w:rPr>
          <w:rFonts w:ascii="Calibri" w:cs="Calibri" w:eastAsia="Calibri" w:hAnsi="Calibri"/>
          <w:b w:val="0"/>
          <w:i w:val="0"/>
          <w:smallCaps w:val="0"/>
          <w:strike w:val="0"/>
          <w:color w:val="2e75b5"/>
          <w:sz w:val="32"/>
          <w:szCs w:val="32"/>
          <w:u w:val="none"/>
          <w:shd w:fill="auto" w:val="clear"/>
          <w:vertAlign w:val="baseline"/>
        </w:rPr>
      </w:pPr>
      <w:r w:rsidDel="00000000" w:rsidR="00000000" w:rsidRPr="00000000">
        <w:rPr>
          <w:rFonts w:ascii="Calibri" w:cs="Calibri" w:eastAsia="Calibri" w:hAnsi="Calibri"/>
          <w:b w:val="0"/>
          <w:i w:val="0"/>
          <w:smallCaps w:val="0"/>
          <w:strike w:val="0"/>
          <w:color w:val="2e75b5"/>
          <w:sz w:val="32"/>
          <w:szCs w:val="32"/>
          <w:u w:val="none"/>
          <w:shd w:fill="auto" w:val="clear"/>
          <w:vertAlign w:val="baseline"/>
          <w:rtl w:val="0"/>
        </w:rPr>
        <w:t xml:space="preserve">Contents</w:t>
      </w:r>
    </w:p>
    <w:sdt>
      <w:sdtPr>
        <w:id w:val="-325499999"/>
        <w:docPartObj>
          <w:docPartGallery w:val="Table of Contents"/>
          <w:docPartUnique w:val="1"/>
        </w:docPartObj>
      </w:sdtPr>
      <w:sdtContent>
        <w:p w:rsidR="00000000" w:rsidDel="00000000" w:rsidP="00000000" w:rsidRDefault="00000000" w:rsidRPr="00000000" w14:paraId="00000006">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fldChar w:fldCharType="begin"/>
            <w:instrText xml:space="preserve"> TOC \h \u \z \t "Heading 1,1,Heading 2,2,Heading 3,3,"</w:instrText>
            <w:fldChar w:fldCharType="separate"/>
          </w:r>
          <w:hyperlink w:anchor="_heading=h.rwf6d1wd6wfx">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Metadata Attachment</w:t>
              <w:tab/>
              <w:t xml:space="preserve">2</w:t>
            </w:r>
          </w:hyperlink>
          <w:r w:rsidDel="00000000" w:rsidR="00000000" w:rsidRPr="00000000">
            <w:rPr>
              <w:rtl w:val="0"/>
            </w:rPr>
          </w:r>
        </w:p>
        <w:p w:rsidR="00000000" w:rsidDel="00000000" w:rsidP="00000000" w:rsidRDefault="00000000" w:rsidRPr="00000000" w14:paraId="00000007">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oktnqlt5f4je">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Metadata Submission Form</w:t>
              <w:tab/>
              <w:t xml:space="preserve">2</w:t>
            </w:r>
          </w:hyperlink>
          <w:r w:rsidDel="00000000" w:rsidR="00000000" w:rsidRPr="00000000">
            <w:rPr>
              <w:rtl w:val="0"/>
            </w:rPr>
          </w:r>
        </w:p>
        <w:p w:rsidR="00000000" w:rsidDel="00000000" w:rsidP="00000000" w:rsidRDefault="00000000" w:rsidRPr="00000000" w14:paraId="00000008">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qojyr6deyg29">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0. Indicator information</w:t>
              <w:tab/>
              <w:t xml:space="preserve">2</w:t>
            </w:r>
          </w:hyperlink>
          <w:r w:rsidDel="00000000" w:rsidR="00000000" w:rsidRPr="00000000">
            <w:rPr>
              <w:rtl w:val="0"/>
            </w:rPr>
          </w:r>
        </w:p>
        <w:p w:rsidR="00000000" w:rsidDel="00000000" w:rsidP="00000000" w:rsidRDefault="00000000" w:rsidRPr="00000000" w14:paraId="00000009">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vpdz8x10c9ln">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1. Data reporter</w:t>
              <w:tab/>
              <w:t xml:space="preserve">2</w:t>
            </w:r>
          </w:hyperlink>
          <w:r w:rsidDel="00000000" w:rsidR="00000000" w:rsidRPr="00000000">
            <w:rPr>
              <w:rtl w:val="0"/>
            </w:rPr>
          </w:r>
        </w:p>
        <w:p w:rsidR="00000000" w:rsidDel="00000000" w:rsidP="00000000" w:rsidRDefault="00000000" w:rsidRPr="00000000" w14:paraId="0000000A">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93if2heqp40y">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2. Definition, concepts, and classifications</w:t>
              <w:tab/>
              <w:t xml:space="preserve">3</w:t>
            </w:r>
          </w:hyperlink>
          <w:r w:rsidDel="00000000" w:rsidR="00000000" w:rsidRPr="00000000">
            <w:rPr>
              <w:rtl w:val="0"/>
            </w:rPr>
          </w:r>
        </w:p>
        <w:p w:rsidR="00000000" w:rsidDel="00000000" w:rsidP="00000000" w:rsidRDefault="00000000" w:rsidRPr="00000000" w14:paraId="0000000B">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sscppe6cev71">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3. Data source type and data collection method</w:t>
              <w:tab/>
              <w:t xml:space="preserve">3</w:t>
            </w:r>
          </w:hyperlink>
          <w:r w:rsidDel="00000000" w:rsidR="00000000" w:rsidRPr="00000000">
            <w:rPr>
              <w:rtl w:val="0"/>
            </w:rPr>
          </w:r>
        </w:p>
        <w:p w:rsidR="00000000" w:rsidDel="00000000" w:rsidP="00000000" w:rsidRDefault="00000000" w:rsidRPr="00000000" w14:paraId="0000000C">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ek1ww7i7h6n">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4. Other methodological considerations</w:t>
              <w:tab/>
              <w:t xml:space="preserve">3</w:t>
            </w:r>
          </w:hyperlink>
          <w:r w:rsidDel="00000000" w:rsidR="00000000" w:rsidRPr="00000000">
            <w:rPr>
              <w:rtl w:val="0"/>
            </w:rPr>
          </w:r>
        </w:p>
        <w:p w:rsidR="00000000" w:rsidDel="00000000" w:rsidP="00000000" w:rsidRDefault="00000000" w:rsidRPr="00000000" w14:paraId="0000000D">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vczcl9th5pl">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5. Data availability and disaggregation</w:t>
              <w:tab/>
              <w:t xml:space="preserve">4</w:t>
            </w:r>
          </w:hyperlink>
          <w:r w:rsidDel="00000000" w:rsidR="00000000" w:rsidRPr="00000000">
            <w:rPr>
              <w:rtl w:val="0"/>
            </w:rPr>
          </w:r>
        </w:p>
        <w:p w:rsidR="00000000" w:rsidDel="00000000" w:rsidP="00000000" w:rsidRDefault="00000000" w:rsidRPr="00000000" w14:paraId="0000000E">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jhqpeo519mzw">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6. Comparability/deviation from international standards</w:t>
              <w:tab/>
              <w:t xml:space="preserve">4</w:t>
            </w:r>
          </w:hyperlink>
          <w:r w:rsidDel="00000000" w:rsidR="00000000" w:rsidRPr="00000000">
            <w:rPr>
              <w:rtl w:val="0"/>
            </w:rPr>
          </w:r>
        </w:p>
        <w:p w:rsidR="00000000" w:rsidDel="00000000" w:rsidP="00000000" w:rsidRDefault="00000000" w:rsidRPr="00000000" w14:paraId="0000000F">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s9xn6o7vcrtd">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7. References and documentation</w:t>
              <w:tab/>
              <w:t xml:space="preserve">4</w:t>
            </w:r>
          </w:hyperlink>
          <w:r w:rsidDel="00000000" w:rsidR="00000000" w:rsidRPr="00000000">
            <w:rPr>
              <w:rtl w:val="0"/>
            </w:rPr>
          </w:r>
        </w:p>
        <w:p w:rsidR="00000000" w:rsidDel="00000000" w:rsidP="00000000" w:rsidRDefault="00000000" w:rsidRPr="00000000" w14:paraId="00000010">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q4rm6vc33dyg">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Appendices</w:t>
              <w:tab/>
              <w:t xml:space="preserve">4</w:t>
            </w:r>
          </w:hyperlink>
          <w:r w:rsidDel="00000000" w:rsidR="00000000" w:rsidRPr="00000000">
            <w:rPr>
              <w:rtl w:val="0"/>
            </w:rPr>
          </w:r>
        </w:p>
        <w:p w:rsidR="00000000" w:rsidDel="00000000" w:rsidP="00000000" w:rsidRDefault="00000000" w:rsidRPr="00000000" w14:paraId="00000011">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372ymyphgef1">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A. Definitions of Metadata Concepts</w:t>
              <w:tab/>
              <w:t xml:space="preserve">4</w:t>
            </w:r>
          </w:hyperlink>
          <w:r w:rsidDel="00000000" w:rsidR="00000000" w:rsidRPr="00000000">
            <w:rPr>
              <w:rtl w:val="0"/>
            </w:rPr>
          </w:r>
        </w:p>
        <w:p w:rsidR="00000000" w:rsidDel="00000000" w:rsidP="00000000" w:rsidRDefault="00000000" w:rsidRPr="00000000" w14:paraId="00000012">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6kiguik7j815">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B. Mapping of SDMX Detailed Concepts to IAEG-SDG File Format</w:t>
              <w:tab/>
              <w:t xml:space="preserve">7</w:t>
            </w:r>
          </w:hyperlink>
          <w:r w:rsidDel="00000000" w:rsidR="00000000" w:rsidRPr="00000000">
            <w:rPr>
              <w:rtl w:val="0"/>
            </w:rPr>
          </w:r>
        </w:p>
        <w:p w:rsidR="00000000" w:rsidDel="00000000" w:rsidP="00000000" w:rsidRDefault="00000000" w:rsidRPr="00000000" w14:paraId="00000013">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1"/>
              <w:i w:val="0"/>
              <w:smallCaps w:val="0"/>
              <w:strike w:val="0"/>
              <w:color w:val="000000"/>
              <w:sz w:val="22"/>
              <w:szCs w:val="22"/>
              <w:u w:val="none"/>
              <w:shd w:fill="auto" w:val="clear"/>
              <w:vertAlign w:val="baseline"/>
            </w:rPr>
          </w:pPr>
          <w:hyperlink w:anchor="_heading=h.mj5z9kohg2wj">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C. Mapping of IAEG-SDG File Format to SDMX Detailed Concepts</w:t>
              <w:tab/>
              <w:t xml:space="preserve">8</w:t>
            </w:r>
          </w:hyperlink>
          <w:r w:rsidDel="00000000" w:rsidR="00000000" w:rsidRPr="00000000">
            <w:rPr>
              <w:rtl w:val="0"/>
            </w:rPr>
          </w:r>
          <w:r w:rsidDel="00000000" w:rsidR="00000000" w:rsidRPr="00000000">
            <w:fldChar w:fldCharType="end"/>
          </w:r>
        </w:p>
      </w:sdtContent>
    </w:sdt>
    <w:p w:rsidR="00000000" w:rsidDel="00000000" w:rsidP="00000000" w:rsidRDefault="00000000" w:rsidRPr="00000000" w14:paraId="00000014">
      <w:pPr>
        <w:keepNext w:val="0"/>
        <w:keepLines w:val="0"/>
        <w:pageBreakBefore w:val="0"/>
        <w:widowControl w:val="1"/>
        <w:pBdr>
          <w:top w:space="0" w:sz="0" w:val="nil"/>
          <w:left w:space="0" w:sz="0" w:val="nil"/>
          <w:bottom w:color="dddddd" w:space="4" w:sz="12" w:val="single"/>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1c75bc"/>
          <w:sz w:val="36"/>
          <w:szCs w:val="36"/>
          <w:u w:val="none"/>
          <w:shd w:fill="auto" w:val="clear"/>
          <w:vertAlign w:val="baseline"/>
        </w:rPr>
      </w:pPr>
      <w:r w:rsidDel="00000000" w:rsidR="00000000" w:rsidRPr="00000000">
        <w:rPr>
          <w:rFonts w:ascii="Calibri" w:cs="Calibri" w:eastAsia="Calibri" w:hAnsi="Calibri"/>
          <w:b w:val="0"/>
          <w:i w:val="0"/>
          <w:smallCaps w:val="0"/>
          <w:strike w:val="0"/>
          <w:color w:val="1c75bc"/>
          <w:sz w:val="36"/>
          <w:szCs w:val="36"/>
          <w:u w:val="none"/>
          <w:shd w:fill="auto" w:val="clear"/>
          <w:vertAlign w:val="baseline"/>
          <w:rtl w:val="0"/>
        </w:rPr>
        <w:t xml:space="preserve">Instructions</w:t>
      </w:r>
    </w:p>
    <w:p w:rsidR="00000000" w:rsidDel="00000000" w:rsidP="00000000" w:rsidRDefault="00000000" w:rsidRPr="00000000" w14:paraId="00000015">
      <w:pPr>
        <w:rPr/>
      </w:pPr>
      <w:r w:rsidDel="00000000" w:rsidR="00000000" w:rsidRPr="00000000">
        <w:rPr>
          <w:b w:val="1"/>
          <w:rtl w:val="0"/>
        </w:rPr>
        <w:t xml:space="preserve">This is a template for providing metadata for SDG indicators</w:t>
      </w:r>
      <w:r w:rsidDel="00000000" w:rsidR="00000000" w:rsidRPr="00000000">
        <w:rPr>
          <w:rtl w:val="0"/>
        </w:rPr>
        <w:t xml:space="preserve">. The tables listed below use the SDMX Metadata Concepts prepared by the SDG SDMX Working Group of the IAEG-SDGs to provide a standard format for your metadata. This enables more efficient and accurate processing. </w:t>
      </w:r>
    </w:p>
    <w:p w:rsidR="00000000" w:rsidDel="00000000" w:rsidP="00000000" w:rsidRDefault="00000000" w:rsidRPr="00000000" w14:paraId="00000016">
      <w:pPr>
        <w:rPr/>
      </w:pPr>
      <w:r w:rsidDel="00000000" w:rsidR="00000000" w:rsidRPr="00000000">
        <w:rPr>
          <w:b w:val="1"/>
          <w:rtl w:val="0"/>
        </w:rPr>
        <w:t xml:space="preserve">Both national and global metadata can be submitted using this tool.</w:t>
      </w:r>
      <w:r w:rsidDel="00000000" w:rsidR="00000000" w:rsidRPr="00000000">
        <w:rPr>
          <w:rtl w:val="0"/>
        </w:rPr>
        <w:t xml:space="preserve"> Headers, text, bullets, tables, formulas, and images can be cut and pasted into their corresponding cell without additional formatting.</w:t>
      </w:r>
      <w:r w:rsidDel="00000000" w:rsidR="00000000" w:rsidRPr="00000000">
        <w:rPr>
          <w:vertAlign w:val="superscript"/>
        </w:rPr>
        <w:footnoteReference w:customMarkFollows="0" w:id="0"/>
      </w:r>
      <w:r w:rsidDel="00000000" w:rsidR="00000000" w:rsidRPr="00000000">
        <w:rPr>
          <w:rtl w:val="0"/>
        </w:rPr>
        <w:t xml:space="preserve"> A </w:t>
      </w:r>
      <w:hyperlink w:anchor="bookmark=id.vlbu4yuv84im">
        <w:r w:rsidDel="00000000" w:rsidR="00000000" w:rsidRPr="00000000">
          <w:rPr>
            <w:color w:val="0563c1"/>
            <w:u w:val="single"/>
            <w:rtl w:val="0"/>
          </w:rPr>
          <w:t xml:space="preserve">mapping</w:t>
        </w:r>
      </w:hyperlink>
      <w:r w:rsidDel="00000000" w:rsidR="00000000" w:rsidRPr="00000000">
        <w:rPr>
          <w:rtl w:val="0"/>
        </w:rPr>
        <w:t xml:space="preserve"> of the IAEG-SDG metadata file format to SDMX metadata concepts is also provided.</w:t>
      </w:r>
    </w:p>
    <w:p w:rsidR="00000000" w:rsidDel="00000000" w:rsidP="00000000" w:rsidRDefault="00000000" w:rsidRPr="00000000" w14:paraId="00000017">
      <w:pPr>
        <w:rPr/>
      </w:pPr>
      <w:r w:rsidDel="00000000" w:rsidR="00000000" w:rsidRPr="00000000">
        <w:rPr>
          <w:b w:val="1"/>
          <w:rtl w:val="0"/>
        </w:rPr>
        <w:t xml:space="preserve">Use only the metadata concepts provided</w:t>
      </w:r>
      <w:r w:rsidDel="00000000" w:rsidR="00000000" w:rsidRPr="00000000">
        <w:rPr>
          <w:rtl w:val="0"/>
        </w:rP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bookmark=id.2atl7uciex6t">
        <w:r w:rsidDel="00000000" w:rsidR="00000000" w:rsidRPr="00000000">
          <w:rPr>
            <w:color w:val="0563c1"/>
            <w:u w:val="single"/>
            <w:rtl w:val="0"/>
          </w:rPr>
          <w:t xml:space="preserve">descriptions</w:t>
        </w:r>
      </w:hyperlink>
      <w:r w:rsidDel="00000000" w:rsidR="00000000" w:rsidRPr="00000000">
        <w:rPr>
          <w:rtl w:val="0"/>
        </w:rPr>
        <w:t xml:space="preserve"> provided. </w:t>
      </w:r>
    </w:p>
    <w:p w:rsidR="00000000" w:rsidDel="00000000" w:rsidP="00000000" w:rsidRDefault="00000000" w:rsidRPr="00000000" w14:paraId="00000018">
      <w:pPr>
        <w:rPr/>
      </w:pPr>
      <w:r w:rsidDel="00000000" w:rsidR="00000000" w:rsidRPr="00000000">
        <w:rPr>
          <w:b w:val="1"/>
          <w:rtl w:val="0"/>
        </w:rPr>
        <w:t xml:space="preserve">Submit one set of tables for each SDG indicator metadata file</w:t>
      </w:r>
      <w:r w:rsidDel="00000000" w:rsidR="00000000" w:rsidRPr="00000000">
        <w:rPr>
          <w:rtl w:val="0"/>
        </w:rPr>
        <w:t xml:space="preserve">.</w:t>
      </w:r>
    </w:p>
    <w:p w:rsidR="00000000" w:rsidDel="00000000" w:rsidP="00000000" w:rsidRDefault="00000000" w:rsidRPr="00000000" w14:paraId="00000019">
      <w:pPr>
        <w:rPr/>
      </w:pPr>
      <w:r w:rsidDel="00000000" w:rsidR="00000000" w:rsidRPr="00000000">
        <w:rPr>
          <w:rtl w:val="0"/>
        </w:rPr>
      </w:r>
    </w:p>
    <w:p w:rsidR="00000000" w:rsidDel="00000000" w:rsidP="00000000" w:rsidRDefault="00000000" w:rsidRPr="00000000" w14:paraId="0000001A">
      <w:pPr>
        <w:keepNext w:val="0"/>
        <w:keepLines w:val="0"/>
        <w:pageBreakBefore w:val="0"/>
        <w:widowControl w:val="1"/>
        <w:pBdr>
          <w:top w:space="0" w:sz="0" w:val="nil"/>
          <w:left w:space="0" w:sz="0" w:val="nil"/>
          <w:bottom w:color="dddddd" w:space="4" w:sz="12" w:val="single"/>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1c75bc"/>
          <w:sz w:val="36"/>
          <w:szCs w:val="36"/>
          <w:u w:val="none"/>
          <w:shd w:fill="auto" w:val="clear"/>
          <w:vertAlign w:val="baseline"/>
        </w:rPr>
      </w:pPr>
      <w:bookmarkStart w:colFirst="0" w:colLast="0" w:name="_heading=h.rwf6d1wd6wfx" w:id="0"/>
      <w:bookmarkEnd w:id="0"/>
      <w:r w:rsidDel="00000000" w:rsidR="00000000" w:rsidRPr="00000000">
        <w:rPr>
          <w:rFonts w:ascii="Calibri" w:cs="Calibri" w:eastAsia="Calibri" w:hAnsi="Calibri"/>
          <w:b w:val="0"/>
          <w:i w:val="0"/>
          <w:smallCaps w:val="0"/>
          <w:strike w:val="0"/>
          <w:color w:val="1c75bc"/>
          <w:sz w:val="36"/>
          <w:szCs w:val="36"/>
          <w:u w:val="none"/>
          <w:shd w:fill="auto" w:val="clear"/>
          <w:vertAlign w:val="baseline"/>
          <w:rtl w:val="0"/>
        </w:rPr>
        <w:t xml:space="preserve">Metadata Attachment</w:t>
      </w:r>
    </w:p>
    <w:p w:rsidR="00000000" w:rsidDel="00000000" w:rsidP="00000000" w:rsidRDefault="00000000" w:rsidRPr="00000000" w14:paraId="0000001B">
      <w:pPr>
        <w:spacing w:after="0" w:lineRule="auto"/>
        <w:rPr>
          <w:sz w:val="26"/>
          <w:szCs w:val="26"/>
        </w:rPr>
      </w:pPr>
      <w:r w:rsidDel="00000000" w:rsidR="00000000" w:rsidRPr="00000000">
        <w:rPr>
          <w:sz w:val="26"/>
          <w:szCs w:val="26"/>
          <w:rtl w:val="0"/>
        </w:rPr>
        <w:t xml:space="preserve">Reporting type</w:t>
      </w:r>
    </w:p>
    <w:p w:rsidR="00000000" w:rsidDel="00000000" w:rsidP="00000000" w:rsidRDefault="00000000" w:rsidRPr="00000000" w14:paraId="0000001C">
      <w:pPr>
        <w:rPr/>
      </w:pPr>
      <w:r w:rsidDel="00000000" w:rsidR="00000000" w:rsidRPr="00000000">
        <w:rPr>
          <w:rtl w:val="0"/>
        </w:rPr>
        <w:t xml:space="preserve">National (N)</w:t>
      </w:r>
    </w:p>
    <w:p w:rsidR="00000000" w:rsidDel="00000000" w:rsidP="00000000" w:rsidRDefault="00000000" w:rsidRPr="00000000" w14:paraId="0000001D">
      <w:pPr>
        <w:spacing w:after="0" w:lineRule="auto"/>
        <w:rPr>
          <w:sz w:val="26"/>
          <w:szCs w:val="26"/>
        </w:rPr>
      </w:pPr>
      <w:r w:rsidDel="00000000" w:rsidR="00000000" w:rsidRPr="00000000">
        <w:rPr>
          <w:sz w:val="26"/>
          <w:szCs w:val="26"/>
          <w:rtl w:val="0"/>
        </w:rPr>
        <w:t xml:space="preserve">SDG series</w:t>
      </w:r>
    </w:p>
    <w:p w:rsidR="00000000" w:rsidDel="00000000" w:rsidP="00000000" w:rsidRDefault="00000000" w:rsidRPr="00000000" w14:paraId="0000001E">
      <w:pPr>
        <w:rPr/>
      </w:pPr>
      <w:bookmarkStart w:colFirst="0" w:colLast="0" w:name="_heading=h.fp80c7ej7ddz" w:id="1"/>
      <w:bookmarkEnd w:id="1"/>
      <w:r w:rsidDel="00000000" w:rsidR="00000000" w:rsidRPr="00000000">
        <w:rPr>
          <w:rtl w:val="0"/>
        </w:rPr>
        <w:t xml:space="preserve">4.1.1 Proportion of children and young people achieving at least a  minimum proficiency level in reading and mathematics [4.1.1] (SE_TOT_PRFL)</w:t>
      </w:r>
    </w:p>
    <w:p w:rsidR="00000000" w:rsidDel="00000000" w:rsidP="00000000" w:rsidRDefault="00000000" w:rsidRPr="00000000" w14:paraId="0000001F">
      <w:pPr>
        <w:spacing w:after="0" w:lineRule="auto"/>
        <w:rPr>
          <w:sz w:val="26"/>
          <w:szCs w:val="26"/>
        </w:rPr>
      </w:pPr>
      <w:r w:rsidDel="00000000" w:rsidR="00000000" w:rsidRPr="00000000">
        <w:rPr>
          <w:rtl w:val="0"/>
        </w:rPr>
      </w:r>
    </w:p>
    <w:p w:rsidR="00000000" w:rsidDel="00000000" w:rsidP="00000000" w:rsidRDefault="00000000" w:rsidRPr="00000000" w14:paraId="00000020">
      <w:pPr>
        <w:spacing w:after="0" w:lineRule="auto"/>
        <w:rPr>
          <w:sz w:val="26"/>
          <w:szCs w:val="26"/>
        </w:rPr>
      </w:pPr>
      <w:r w:rsidDel="00000000" w:rsidR="00000000" w:rsidRPr="00000000">
        <w:rPr>
          <w:sz w:val="26"/>
          <w:szCs w:val="26"/>
        </w:rPr>
        <w:pict>
          <v:shape id="_x0000_i1026" style="width:1in;height:24pt" o:ole="" type="#_x0000_t75">
            <v:imagedata r:id="rId1" o:title=""/>
          </v:shape>
        </w:pict>
      </w:r>
      <w:r w:rsidDel="00000000" w:rsidR="00000000" w:rsidRPr="00000000">
        <w:rPr>
          <w:sz w:val="26"/>
          <w:szCs w:val="26"/>
          <w:rtl w:val="0"/>
        </w:rPr>
        <w:t xml:space="preserve">   </w:t>
      </w:r>
      <w:r w:rsidDel="00000000" w:rsidR="00000000" w:rsidRPr="00000000">
        <w:rPr>
          <w:sz w:val="26"/>
          <w:szCs w:val="26"/>
        </w:rPr>
        <w:pict>
          <v:shape id="_x0000_i1028" style="width:91.5pt;height:24pt" o:ole="" type="#_x0000_t75">
            <v:imagedata r:id="rId2" o:title=""/>
          </v:shape>
        </w:pict>
      </w:r>
      <w:r w:rsidDel="00000000" w:rsidR="00000000" w:rsidRPr="00000000">
        <w:rPr>
          <w:rtl w:val="0"/>
        </w:rPr>
      </w:r>
    </w:p>
    <w:p w:rsidR="00000000" w:rsidDel="00000000" w:rsidP="00000000" w:rsidRDefault="00000000" w:rsidRPr="00000000" w14:paraId="00000021">
      <w:pPr>
        <w:spacing w:after="0" w:lineRule="auto"/>
        <w:rPr>
          <w:sz w:val="26"/>
          <w:szCs w:val="26"/>
        </w:rPr>
      </w:pPr>
      <w:r w:rsidDel="00000000" w:rsidR="00000000" w:rsidRPr="00000000">
        <w:rPr>
          <w:rtl w:val="0"/>
        </w:rPr>
      </w:r>
    </w:p>
    <w:p w:rsidR="00000000" w:rsidDel="00000000" w:rsidP="00000000" w:rsidRDefault="00000000" w:rsidRPr="00000000" w14:paraId="00000022">
      <w:pPr>
        <w:spacing w:after="0" w:lineRule="auto"/>
        <w:rPr>
          <w:sz w:val="26"/>
          <w:szCs w:val="26"/>
        </w:rPr>
      </w:pPr>
      <w:r w:rsidDel="00000000" w:rsidR="00000000" w:rsidRPr="00000000">
        <w:rPr>
          <w:sz w:val="26"/>
          <w:szCs w:val="26"/>
          <w:rtl w:val="0"/>
        </w:rPr>
        <w:t xml:space="preserve">Reference area</w:t>
      </w:r>
    </w:p>
    <w:p w:rsidR="00000000" w:rsidDel="00000000" w:rsidP="00000000" w:rsidRDefault="00000000" w:rsidRPr="00000000" w14:paraId="00000023">
      <w:pPr>
        <w:rPr/>
      </w:pPr>
      <w:r w:rsidDel="00000000" w:rsidR="00000000" w:rsidRPr="00000000">
        <w:rPr>
          <w:rtl w:val="0"/>
        </w:rPr>
        <w:t xml:space="preserve">Kenya (404)</w:t>
      </w:r>
    </w:p>
    <w:p w:rsidR="00000000" w:rsidDel="00000000" w:rsidP="00000000" w:rsidRDefault="00000000" w:rsidRPr="00000000" w14:paraId="00000024">
      <w:pPr>
        <w:spacing w:after="0" w:lineRule="auto"/>
        <w:rPr>
          <w:sz w:val="26"/>
          <w:szCs w:val="26"/>
        </w:rPr>
      </w:pPr>
      <w:r w:rsidDel="00000000" w:rsidR="00000000" w:rsidRPr="00000000">
        <w:rPr>
          <w:sz w:val="26"/>
          <w:szCs w:val="26"/>
          <w:rtl w:val="0"/>
        </w:rPr>
        <w:t xml:space="preserve">Metadata language </w:t>
      </w:r>
    </w:p>
    <w:p w:rsidR="00000000" w:rsidDel="00000000" w:rsidP="00000000" w:rsidRDefault="00000000" w:rsidRPr="00000000" w14:paraId="00000025">
      <w:pPr>
        <w:rPr/>
      </w:pPr>
      <w:r w:rsidDel="00000000" w:rsidR="00000000" w:rsidRPr="00000000">
        <w:rPr>
          <w:rtl w:val="0"/>
        </w:rPr>
        <w:t xml:space="preserve">en</w:t>
      </w:r>
    </w:p>
    <w:p w:rsidR="00000000" w:rsidDel="00000000" w:rsidP="00000000" w:rsidRDefault="00000000" w:rsidRPr="00000000" w14:paraId="00000026">
      <w:pPr>
        <w:rPr/>
      </w:pPr>
      <w:r w:rsidDel="00000000" w:rsidR="00000000" w:rsidRPr="00000000">
        <w:rPr>
          <w:rtl w:val="0"/>
        </w:rPr>
        <w:t xml:space="preserve">Please use a 2-letter ISO 639-1 language code. Full list is available at the </w:t>
      </w:r>
      <w:hyperlink r:id="rId12">
        <w:r w:rsidDel="00000000" w:rsidR="00000000" w:rsidRPr="00000000">
          <w:rPr>
            <w:color w:val="0563c1"/>
            <w:u w:val="single"/>
            <w:rtl w:val="0"/>
          </w:rPr>
          <w:t xml:space="preserve">ISO web page</w:t>
        </w:r>
      </w:hyperlink>
      <w:r w:rsidDel="00000000" w:rsidR="00000000" w:rsidRPr="00000000">
        <w:rPr>
          <w:rtl w:val="0"/>
        </w:rPr>
        <w:t xml:space="preserve">.</w:t>
      </w:r>
    </w:p>
    <w:p w:rsidR="00000000" w:rsidDel="00000000" w:rsidP="00000000" w:rsidRDefault="00000000" w:rsidRPr="00000000" w14:paraId="00000027">
      <w:pPr>
        <w:rPr/>
      </w:pPr>
      <w:r w:rsidDel="00000000" w:rsidR="00000000" w:rsidRPr="00000000">
        <w:rPr>
          <w:rtl w:val="0"/>
        </w:rPr>
      </w:r>
    </w:p>
    <w:p w:rsidR="00000000" w:rsidDel="00000000" w:rsidP="00000000" w:rsidRDefault="00000000" w:rsidRPr="00000000" w14:paraId="00000028">
      <w:pPr>
        <w:pStyle w:val="Heading2"/>
        <w:rPr/>
      </w:pPr>
      <w:r w:rsidDel="00000000" w:rsidR="00000000" w:rsidRPr="00000000">
        <w:rPr>
          <w:rtl w:val="0"/>
        </w:rPr>
        <w:t xml:space="preserve">Import Data Structure Definition</w:t>
      </w:r>
    </w:p>
    <w:p w:rsidR="00000000" w:rsidDel="00000000" w:rsidP="00000000" w:rsidRDefault="00000000" w:rsidRPr="00000000" w14:paraId="00000029">
      <w:pPr>
        <w:rPr/>
      </w:pPr>
      <w:r w:rsidDel="00000000" w:rsidR="00000000" w:rsidRPr="00000000">
        <w:rPr>
          <w:rtl w:val="0"/>
        </w:rPr>
        <w:t xml:space="preserve">To update the options in the dropdowns according to an SDMX DSD, click one of the buttons below:</w:t>
      </w:r>
    </w:p>
    <w:p w:rsidR="00000000" w:rsidDel="00000000" w:rsidP="00000000" w:rsidRDefault="00000000" w:rsidRPr="00000000" w14:paraId="0000002A">
      <w:pPr>
        <w:rPr/>
      </w:pPr>
      <w:r w:rsidDel="00000000" w:rsidR="00000000" w:rsidRPr="00000000">
        <w:rPr/>
        <w:pict>
          <v:shape id="_x0000_i1030" style="width:140.25pt;height:24pt" o:ole="" type="#_x0000_t75">
            <v:imagedata r:id="rId3" o:title=""/>
          </v:shape>
        </w:pict>
      </w:r>
      <w:r w:rsidDel="00000000" w:rsidR="00000000" w:rsidRPr="00000000">
        <w:rPr>
          <w:rtl w:val="0"/>
        </w:rPr>
        <w:t xml:space="preserve">             </w:t>
      </w:r>
      <w:r w:rsidDel="00000000" w:rsidR="00000000" w:rsidRPr="00000000">
        <w:rPr/>
        <w:pict>
          <v:shape id="_x0000_i1032" style="width:200.25pt;height:24pt" o:ole="" type="#_x0000_t75">
            <v:imagedata r:id="rId4" o:title=""/>
          </v:shape>
        </w:pict>
      </w:r>
      <w:r w:rsidDel="00000000" w:rsidR="00000000" w:rsidRPr="00000000">
        <w:rPr>
          <w:rtl w:val="0"/>
        </w:rPr>
      </w:r>
    </w:p>
    <w:p w:rsidR="00000000" w:rsidDel="00000000" w:rsidP="00000000" w:rsidRDefault="00000000" w:rsidRPr="00000000" w14:paraId="0000002B">
      <w:pPr>
        <w:rPr/>
      </w:pPr>
      <w:r w:rsidDel="00000000" w:rsidR="00000000" w:rsidRPr="00000000">
        <w:rPr>
          <w:rtl w:val="0"/>
        </w:rPr>
      </w:r>
    </w:p>
    <w:p w:rsidR="00000000" w:rsidDel="00000000" w:rsidP="00000000" w:rsidRDefault="00000000" w:rsidRPr="00000000" w14:paraId="0000002C">
      <w:pPr>
        <w:keepNext w:val="0"/>
        <w:keepLines w:val="0"/>
        <w:pageBreakBefore w:val="0"/>
        <w:widowControl w:val="1"/>
        <w:pBdr>
          <w:top w:space="0" w:sz="0" w:val="nil"/>
          <w:left w:space="0" w:sz="0" w:val="nil"/>
          <w:bottom w:color="dddddd" w:space="4" w:sz="12" w:val="single"/>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1c75bc"/>
          <w:sz w:val="36"/>
          <w:szCs w:val="36"/>
          <w:u w:val="none"/>
          <w:shd w:fill="auto" w:val="clear"/>
          <w:vertAlign w:val="baseline"/>
        </w:rPr>
      </w:pPr>
      <w:bookmarkStart w:colFirst="0" w:colLast="0" w:name="_heading=h.oktnqlt5f4je" w:id="2"/>
      <w:bookmarkEnd w:id="2"/>
      <w:r w:rsidDel="00000000" w:rsidR="00000000" w:rsidRPr="00000000">
        <w:rPr>
          <w:rFonts w:ascii="Calibri" w:cs="Calibri" w:eastAsia="Calibri" w:hAnsi="Calibri"/>
          <w:b w:val="0"/>
          <w:i w:val="0"/>
          <w:smallCaps w:val="0"/>
          <w:strike w:val="0"/>
          <w:color w:val="1c75bc"/>
          <w:sz w:val="36"/>
          <w:szCs w:val="36"/>
          <w:u w:val="none"/>
          <w:shd w:fill="auto" w:val="clear"/>
          <w:vertAlign w:val="baseline"/>
          <w:rtl w:val="0"/>
        </w:rPr>
        <w:t xml:space="preserve">Metadata Submission Form</w:t>
      </w:r>
    </w:p>
    <w:p w:rsidR="00000000" w:rsidDel="00000000" w:rsidP="00000000" w:rsidRDefault="00000000" w:rsidRPr="00000000" w14:paraId="0000002D">
      <w:pPr>
        <w:rPr/>
      </w:pPr>
      <w:r w:rsidDel="00000000" w:rsidR="00000000" w:rsidRPr="00000000">
        <w:rPr>
          <w:rtl w:val="0"/>
        </w:rPr>
      </w:r>
    </w:p>
    <w:tbl>
      <w:tblPr>
        <w:tblStyle w:val="Table1"/>
        <w:tblW w:w="8892.0" w:type="dxa"/>
        <w:jc w:val="left"/>
        <w:tblLayout w:type="fixed"/>
        <w:tblLook w:val="0400"/>
      </w:tblPr>
      <w:tblGrid>
        <w:gridCol w:w="3088"/>
        <w:gridCol w:w="5804"/>
        <w:tblGridChange w:id="0">
          <w:tblGrid>
            <w:gridCol w:w="3088"/>
            <w:gridCol w:w="5804"/>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2E">
            <w:pPr>
              <w:pStyle w:val="Heading2"/>
              <w:rPr>
                <w:rFonts w:ascii="Times New Roman" w:cs="Times New Roman" w:eastAsia="Times New Roman" w:hAnsi="Times New Roman"/>
                <w:sz w:val="32"/>
                <w:szCs w:val="32"/>
              </w:rPr>
            </w:pPr>
            <w:bookmarkStart w:colFirst="0" w:colLast="0" w:name="_heading=h.qojyr6deyg29" w:id="3"/>
            <w:bookmarkEnd w:id="3"/>
            <w:r w:rsidDel="00000000" w:rsidR="00000000" w:rsidRPr="00000000">
              <w:rPr>
                <w:sz w:val="32"/>
                <w:szCs w:val="32"/>
                <w:rtl w:val="0"/>
              </w:rPr>
              <w:t xml:space="preserve">0. Indicator information</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3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31">
            <w:pPr>
              <w:spacing w:after="0" w:line="240" w:lineRule="auto"/>
              <w:rPr>
                <w:rFonts w:ascii="Calibri" w:cs="Calibri" w:eastAsia="Calibri" w:hAnsi="Calibri"/>
                <w:i w:val="1"/>
                <w:color w:val="000000"/>
              </w:rPr>
            </w:pPr>
            <w:r w:rsidDel="00000000" w:rsidR="00000000" w:rsidRPr="00000000">
              <w:rPr>
                <w:rFonts w:ascii="Calibri" w:cs="Calibri" w:eastAsia="Calibri" w:hAnsi="Calibri"/>
                <w:i w:val="1"/>
                <w:color w:val="000000"/>
                <w:rtl w:val="0"/>
              </w:rPr>
              <w:t xml:space="preserve">Insert text, lists, tables, and images. </w:t>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3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 Indicator information</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33">
            <w:pPr>
              <w:rPr/>
            </w:pP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34">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0.a. Goal</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35">
            <w:pPr>
              <w:rPr/>
            </w:pPr>
            <w:r w:rsidDel="00000000" w:rsidR="00000000" w:rsidRPr="00000000">
              <w:rPr>
                <w:rtl w:val="0"/>
              </w:rPr>
              <w:t xml:space="preserve">4: Ensure inclusive and equitable quality education and promote lifelong learning opportunities for all.</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6">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0.b. Target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7">
            <w:pPr>
              <w:rPr/>
            </w:pPr>
            <w:r w:rsidDel="00000000" w:rsidR="00000000" w:rsidRPr="00000000">
              <w:rPr>
                <w:rtl w:val="0"/>
              </w:rPr>
              <w:t xml:space="preserve">4.1 By 2030, ensure that all girls and boys complete free, equitable and quality primary and secondary education leading to relevant and effective learning outcomes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8">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0.c. Indicator</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9">
            <w:pPr>
              <w:rPr/>
            </w:pPr>
            <w:r w:rsidDel="00000000" w:rsidR="00000000" w:rsidRPr="00000000">
              <w:rPr>
                <w:rtl w:val="0"/>
              </w:rPr>
              <w:t xml:space="preserve">4.1.1 Proportion of children and young people (a) in Grade 2 or 3; (b) at the end of primary education; and(c) at the end of lower secondary education achieving at least a minimum proficiency level in (i) reading and (ii) mathematics, by sex</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A">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0.d. Series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B">
            <w:pPr>
              <w:rPr/>
            </w:pP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C">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0.e. Metadata update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D">
            <w:pPr>
              <w:rPr/>
            </w:pPr>
            <w:r w:rsidDel="00000000" w:rsidR="00000000" w:rsidRPr="00000000">
              <w:rPr>
                <w:rtl w:val="0"/>
              </w:rPr>
              <w:t xml:space="preserve">2024</w:t>
            </w:r>
          </w:p>
        </w:tc>
      </w:tr>
      <w:tr>
        <w:trPr>
          <w:cantSplit w:val="0"/>
          <w:trHeight w:val="332" w:hRule="atLeast"/>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E">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0.f. Related indicators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F">
            <w:pPr>
              <w:rPr/>
            </w:pPr>
            <w:r w:rsidDel="00000000" w:rsidR="00000000" w:rsidRPr="00000000">
              <w:rPr>
                <w:rtl w:val="0"/>
              </w:rPr>
              <w:t xml:space="preserve">4.1.2 Administration of a nationally-representative learning assessment (a) in Grade 2 or 3; (b) at the end of primary education; and (c) at the end of lower secondary education.</w:t>
            </w:r>
          </w:p>
          <w:p w:rsidR="00000000" w:rsidDel="00000000" w:rsidP="00000000" w:rsidRDefault="00000000" w:rsidRPr="00000000" w14:paraId="00000040">
            <w:pPr>
              <w:rPr/>
            </w:pPr>
            <w:r w:rsidDel="00000000" w:rsidR="00000000" w:rsidRPr="00000000">
              <w:rPr>
                <w:rtl w:val="0"/>
              </w:rPr>
              <w:t xml:space="preserve">4.2.1 Proportion of children under 5 years of age who are developmentally on track in health, learning and psychosocial well-being, by sex</w:t>
            </w:r>
          </w:p>
          <w:p w:rsidR="00000000" w:rsidDel="00000000" w:rsidP="00000000" w:rsidRDefault="00000000" w:rsidRPr="00000000" w14:paraId="00000041">
            <w:pPr>
              <w:rPr/>
            </w:pPr>
            <w:r w:rsidDel="00000000" w:rsidR="00000000" w:rsidRPr="00000000">
              <w:rPr>
                <w:rtl w:val="0"/>
              </w:rPr>
              <w:t xml:space="preserve">4.2.2 Participation rate in organized learning (one year before the official primary entry age), by sex</w:t>
            </w:r>
          </w:p>
          <w:p w:rsidR="00000000" w:rsidDel="00000000" w:rsidP="00000000" w:rsidRDefault="00000000" w:rsidRPr="00000000" w14:paraId="00000042">
            <w:pPr>
              <w:rPr/>
            </w:pPr>
            <w:r w:rsidDel="00000000" w:rsidR="00000000" w:rsidRPr="00000000">
              <w:rPr>
                <w:rtl w:val="0"/>
              </w:rPr>
              <w:t xml:space="preserve">4.2.3 Percentage of children under 5 years experiencing positive and stimulating home learning environments</w:t>
            </w:r>
          </w:p>
          <w:p w:rsidR="00000000" w:rsidDel="00000000" w:rsidP="00000000" w:rsidRDefault="00000000" w:rsidRPr="00000000" w14:paraId="00000043">
            <w:pPr>
              <w:rPr/>
            </w:pPr>
            <w:r w:rsidDel="00000000" w:rsidR="00000000" w:rsidRPr="00000000">
              <w:rPr>
                <w:rtl w:val="0"/>
              </w:rPr>
              <w:t xml:space="preserve">4.4.1 Proportion of youth/adults with information and communications technology (ICT) skills, by type of skill</w:t>
            </w:r>
          </w:p>
          <w:p w:rsidR="00000000" w:rsidDel="00000000" w:rsidP="00000000" w:rsidRDefault="00000000" w:rsidRPr="00000000" w14:paraId="00000044">
            <w:pPr>
              <w:rPr/>
            </w:pP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45">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0.g. International organisations(s) responsible for global monitoring</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46">
            <w:pPr>
              <w:rPr/>
            </w:pPr>
            <w:r w:rsidDel="00000000" w:rsidR="00000000" w:rsidRPr="00000000">
              <w:rPr>
                <w:rtl w:val="0"/>
              </w:rPr>
              <w:t xml:space="preserve">UNESCO Institute for Statistics (UIS)</w:t>
            </w:r>
          </w:p>
        </w:tc>
      </w:tr>
    </w:tbl>
    <w:p w:rsidR="00000000" w:rsidDel="00000000" w:rsidP="00000000" w:rsidRDefault="00000000" w:rsidRPr="00000000" w14:paraId="00000047">
      <w:pPr>
        <w:rPr/>
      </w:pPr>
      <w:r w:rsidDel="00000000" w:rsidR="00000000" w:rsidRPr="00000000">
        <w:rPr>
          <w:rtl w:val="0"/>
        </w:rPr>
      </w:r>
    </w:p>
    <w:tbl>
      <w:tblPr>
        <w:tblStyle w:val="Table2"/>
        <w:tblW w:w="8892.0" w:type="dxa"/>
        <w:jc w:val="left"/>
        <w:tblLayout w:type="fixed"/>
        <w:tblLook w:val="0400"/>
      </w:tblPr>
      <w:tblGrid>
        <w:gridCol w:w="3183"/>
        <w:gridCol w:w="5709"/>
        <w:tblGridChange w:id="0">
          <w:tblGrid>
            <w:gridCol w:w="3183"/>
            <w:gridCol w:w="5709"/>
          </w:tblGrid>
        </w:tblGridChange>
      </w:tblGrid>
      <w:tr>
        <w:trPr>
          <w:cantSplit w:val="0"/>
          <w:trHeight w:val="432"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48">
            <w:pPr>
              <w:pStyle w:val="Heading2"/>
              <w:rPr>
                <w:rFonts w:ascii="Times New Roman" w:cs="Times New Roman" w:eastAsia="Times New Roman" w:hAnsi="Times New Roman"/>
                <w:sz w:val="32"/>
                <w:szCs w:val="32"/>
              </w:rPr>
            </w:pPr>
            <w:bookmarkStart w:colFirst="0" w:colLast="0" w:name="_heading=h.vpdz8x10c9ln" w:id="4"/>
            <w:bookmarkEnd w:id="4"/>
            <w:r w:rsidDel="00000000" w:rsidR="00000000" w:rsidRPr="00000000">
              <w:rPr>
                <w:sz w:val="32"/>
                <w:szCs w:val="32"/>
                <w:rtl w:val="0"/>
              </w:rPr>
              <w:t xml:space="preserve">1. Data reporter</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4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4B">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 </w:t>
            </w: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4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 Data reporter</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4D">
            <w:pPr>
              <w:rPr/>
            </w:pPr>
            <w:r w:rsidDel="00000000" w:rsidR="00000000" w:rsidRPr="00000000">
              <w:rPr>
                <w:rtl w:val="0"/>
              </w:rPr>
              <w:t xml:space="preserve">Senior Manager, Social Statistics</w:t>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4E">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1.a. Organisation</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4F">
            <w:pPr>
              <w:rPr/>
            </w:pPr>
            <w:r w:rsidDel="00000000" w:rsidR="00000000" w:rsidRPr="00000000">
              <w:rPr>
                <w:rtl w:val="0"/>
              </w:rPr>
              <w:t xml:space="preserve">Kenya National Bureau of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0">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1.b. Contact person(s)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1">
            <w:pPr>
              <w:rPr/>
            </w:pPr>
            <w:r w:rsidDel="00000000" w:rsidR="00000000" w:rsidRPr="00000000">
              <w:rPr>
                <w:rtl w:val="0"/>
              </w:rPr>
              <w:t xml:space="preserve">Senior Manager, Social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2">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1.c. Contact organisation unit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3">
            <w:pPr>
              <w:rPr/>
            </w:pPr>
            <w:r w:rsidDel="00000000" w:rsidR="00000000" w:rsidRPr="00000000">
              <w:rPr>
                <w:rtl w:val="0"/>
              </w:rPr>
              <w:t xml:space="preserve">Social Statistics Division</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4">
            <w:pPr>
              <w:spacing w:after="0" w:line="240" w:lineRule="auto"/>
              <w:ind w:left="160" w:firstLine="0"/>
              <w:rPr>
                <w:rFonts w:ascii="Calibri" w:cs="Calibri" w:eastAsia="Calibri" w:hAnsi="Calibri"/>
                <w:color w:val="000000"/>
              </w:rPr>
            </w:pPr>
            <w:r w:rsidDel="00000000" w:rsidR="00000000" w:rsidRPr="00000000">
              <w:rPr>
                <w:rtl w:val="0"/>
              </w:rPr>
              <w:t xml:space="preserve">1</w:t>
            </w:r>
            <w:r w:rsidDel="00000000" w:rsidR="00000000" w:rsidRPr="00000000">
              <w:rPr>
                <w:rFonts w:ascii="Calibri" w:cs="Calibri" w:eastAsia="Calibri" w:hAnsi="Calibri"/>
                <w:rtl w:val="0"/>
              </w:rPr>
              <w:t xml:space="preserve">.d.</w:t>
            </w:r>
            <w:r w:rsidDel="00000000" w:rsidR="00000000" w:rsidRPr="00000000">
              <w:rPr>
                <w:rtl w:val="0"/>
              </w:rPr>
              <w:t xml:space="preserve"> Contact person function</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5">
            <w:pPr>
              <w:rPr/>
            </w:pPr>
            <w:r w:rsidDel="00000000" w:rsidR="00000000" w:rsidRPr="00000000">
              <w:rPr>
                <w:rtl w:val="0"/>
              </w:rPr>
              <w:t xml:space="preserve">Collection, compilation and dissemination of social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6">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1.e. Contact phone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7">
            <w:pPr>
              <w:rPr/>
            </w:pPr>
            <w:r w:rsidDel="00000000" w:rsidR="00000000" w:rsidRPr="00000000">
              <w:rPr>
                <w:rtl w:val="0"/>
              </w:rPr>
              <w:t xml:space="preserve">+254-735-004-401</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8">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1.f. Contact mail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9">
            <w:pPr>
              <w:rPr/>
            </w:pPr>
            <w:r w:rsidDel="00000000" w:rsidR="00000000" w:rsidRPr="00000000">
              <w:rPr>
                <w:rtl w:val="0"/>
              </w:rPr>
              <w:t xml:space="preserve">P.O. Box 30266-00100 GPO, Nairobi</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A">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1.g. Contact email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B">
            <w:pPr>
              <w:rPr/>
            </w:pPr>
            <w:r w:rsidDel="00000000" w:rsidR="00000000" w:rsidRPr="00000000">
              <w:rPr>
                <w:rtl w:val="0"/>
              </w:rPr>
              <w:t xml:space="preserve">dpss@knbs.or.ke</w:t>
            </w:r>
          </w:p>
        </w:tc>
      </w:tr>
    </w:tbl>
    <w:p w:rsidR="00000000" w:rsidDel="00000000" w:rsidP="00000000" w:rsidRDefault="00000000" w:rsidRPr="00000000" w14:paraId="0000005C">
      <w:pPr>
        <w:rPr/>
      </w:pPr>
      <w:r w:rsidDel="00000000" w:rsidR="00000000" w:rsidRPr="00000000">
        <w:rPr>
          <w:rtl w:val="0"/>
        </w:rPr>
      </w:r>
    </w:p>
    <w:tbl>
      <w:tblPr>
        <w:tblStyle w:val="Table3"/>
        <w:tblW w:w="8892.0" w:type="dxa"/>
        <w:jc w:val="left"/>
        <w:tblLayout w:type="fixed"/>
        <w:tblLook w:val="0400"/>
      </w:tblPr>
      <w:tblGrid>
        <w:gridCol w:w="3118"/>
        <w:gridCol w:w="5774"/>
        <w:tblGridChange w:id="0">
          <w:tblGrid>
            <w:gridCol w:w="3118"/>
            <w:gridCol w:w="5774"/>
          </w:tblGrid>
        </w:tblGridChange>
      </w:tblGrid>
      <w:tr>
        <w:trPr>
          <w:cantSplit w:val="0"/>
          <w:trHeight w:val="396"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5D">
            <w:pPr>
              <w:pStyle w:val="Heading2"/>
              <w:rPr>
                <w:sz w:val="32"/>
                <w:szCs w:val="32"/>
              </w:rPr>
            </w:pPr>
            <w:bookmarkStart w:colFirst="0" w:colLast="0" w:name="_heading=h.93if2heqp40y" w:id="5"/>
            <w:bookmarkEnd w:id="5"/>
            <w:r w:rsidDel="00000000" w:rsidR="00000000" w:rsidRPr="00000000">
              <w:rPr>
                <w:sz w:val="32"/>
                <w:szCs w:val="32"/>
                <w:rtl w:val="0"/>
              </w:rPr>
              <w:t xml:space="preserve">2. Definition, concepts, and classifications</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5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60">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 </w:t>
            </w: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6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 Definition, concepts, and classifications</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62">
            <w:pPr>
              <w:jc w:val="both"/>
              <w:rPr/>
            </w:pP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63">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2.a. Definition and concepts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64">
            <w:pPr>
              <w:jc w:val="both"/>
              <w:rPr>
                <w:b w:val="1"/>
              </w:rPr>
            </w:pPr>
            <w:r w:rsidDel="00000000" w:rsidR="00000000" w:rsidRPr="00000000">
              <w:rPr>
                <w:b w:val="1"/>
                <w:rtl w:val="0"/>
              </w:rPr>
              <w:t xml:space="preserve">Definition</w:t>
            </w:r>
          </w:p>
          <w:p w:rsidR="00000000" w:rsidDel="00000000" w:rsidP="00000000" w:rsidRDefault="00000000" w:rsidRPr="00000000" w14:paraId="00000065">
            <w:pPr>
              <w:jc w:val="both"/>
              <w:rPr/>
            </w:pPr>
            <w:r w:rsidDel="00000000" w:rsidR="00000000" w:rsidRPr="00000000">
              <w:rPr>
                <w:rtl w:val="0"/>
              </w:rPr>
              <w:t xml:space="preserve">Percentage of children and young people achieving at least a minimum proficiency level in (i) reading and (ii) mathematics during primary education (Grade 2 or 3), at the end of primary education, and at the end of lower secondary education.</w:t>
            </w:r>
          </w:p>
          <w:p w:rsidR="00000000" w:rsidDel="00000000" w:rsidP="00000000" w:rsidRDefault="00000000" w:rsidRPr="00000000" w14:paraId="00000066">
            <w:pPr>
              <w:jc w:val="both"/>
              <w:rPr>
                <w:b w:val="1"/>
              </w:rPr>
            </w:pPr>
            <w:r w:rsidDel="00000000" w:rsidR="00000000" w:rsidRPr="00000000">
              <w:rPr>
                <w:b w:val="1"/>
                <w:rtl w:val="0"/>
              </w:rPr>
              <w:t xml:space="preserve">Concepts</w:t>
            </w:r>
          </w:p>
          <w:p w:rsidR="00000000" w:rsidDel="00000000" w:rsidP="00000000" w:rsidRDefault="00000000" w:rsidRPr="00000000" w14:paraId="00000067">
            <w:pPr>
              <w:jc w:val="both"/>
              <w:rPr>
                <w:b w:val="1"/>
              </w:rPr>
            </w:pPr>
            <w:r w:rsidDel="00000000" w:rsidR="00000000" w:rsidRPr="00000000">
              <w:rPr>
                <w:rtl w:val="0"/>
              </w:rPr>
              <w:t xml:space="preserve">Minimum proficiency level is the benchmark of basic knowledge in a domain (mathematics, reading, etc.) measured through learning assessments. As of August 2018, there is no globally agreed definition of minimum proficiency level.</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68">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2.b. Unit of measure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69">
            <w:pPr>
              <w:rPr/>
            </w:pPr>
            <w:r w:rsidDel="00000000" w:rsidR="00000000" w:rsidRPr="00000000">
              <w:rPr>
                <w:rtl w:val="0"/>
              </w:rPr>
              <w:t xml:space="preserve">Percentage</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6A">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2.c. Classifications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6B">
            <w:pPr>
              <w:rPr/>
            </w:pPr>
            <w:r w:rsidDel="00000000" w:rsidR="00000000" w:rsidRPr="00000000">
              <w:rPr>
                <w:rtl w:val="0"/>
              </w:rPr>
              <w:t xml:space="preserve">ISCED</w:t>
            </w:r>
          </w:p>
        </w:tc>
      </w:tr>
    </w:tbl>
    <w:p w:rsidR="00000000" w:rsidDel="00000000" w:rsidP="00000000" w:rsidRDefault="00000000" w:rsidRPr="00000000" w14:paraId="0000006C">
      <w:pPr>
        <w:rPr/>
      </w:pPr>
      <w:r w:rsidDel="00000000" w:rsidR="00000000" w:rsidRPr="00000000">
        <w:rPr>
          <w:rtl w:val="0"/>
        </w:rPr>
      </w:r>
    </w:p>
    <w:tbl>
      <w:tblPr>
        <w:tblStyle w:val="Table4"/>
        <w:tblW w:w="8892.0" w:type="dxa"/>
        <w:jc w:val="left"/>
        <w:tblLayout w:type="fixed"/>
        <w:tblLook w:val="0400"/>
      </w:tblPr>
      <w:tblGrid>
        <w:gridCol w:w="3119"/>
        <w:gridCol w:w="5773"/>
        <w:tblGridChange w:id="0">
          <w:tblGrid>
            <w:gridCol w:w="3119"/>
            <w:gridCol w:w="5773"/>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6D">
            <w:pPr>
              <w:pStyle w:val="Heading2"/>
              <w:rPr>
                <w:sz w:val="32"/>
                <w:szCs w:val="32"/>
              </w:rPr>
            </w:pPr>
            <w:bookmarkStart w:colFirst="0" w:colLast="0" w:name="_heading=h.sscppe6cev71" w:id="6"/>
            <w:bookmarkEnd w:id="6"/>
            <w:r w:rsidDel="00000000" w:rsidR="00000000" w:rsidRPr="00000000">
              <w:rPr>
                <w:sz w:val="32"/>
                <w:szCs w:val="32"/>
                <w:rtl w:val="0"/>
              </w:rPr>
              <w:t xml:space="preserve">3. Data source type and data collection method</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6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70">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 </w:t>
            </w:r>
            <w:r w:rsidDel="00000000" w:rsidR="00000000" w:rsidRPr="00000000">
              <w:rPr>
                <w:rtl w:val="0"/>
              </w:rPr>
            </w:r>
          </w:p>
        </w:tc>
      </w:tr>
      <w:tr>
        <w:trPr>
          <w:cantSplit w:val="0"/>
          <w:trHeight w:val="21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7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 Data source type and collection method</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72">
            <w:pPr>
              <w:rPr/>
            </w:pPr>
            <w:r w:rsidDel="00000000" w:rsidR="00000000" w:rsidRPr="00000000">
              <w:rPr>
                <w:rtl w:val="0"/>
              </w:rPr>
            </w:r>
          </w:p>
        </w:tc>
      </w:tr>
      <w:tr>
        <w:trPr>
          <w:cantSplit w:val="0"/>
          <w:trHeight w:val="21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73">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3.a. Data sources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74">
            <w:pPr>
              <w:rPr/>
            </w:pPr>
            <w:r w:rsidDel="00000000" w:rsidR="00000000" w:rsidRPr="00000000">
              <w:rPr>
                <w:rtl w:val="0"/>
              </w:rPr>
              <w:t xml:space="preserve">Administrative sources from Kenya National Examinations Council (Monitoring Learner Achievement Report).</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5">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3.b. Data collection method</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6">
            <w:pPr>
              <w:jc w:val="both"/>
              <w:rPr/>
            </w:pPr>
            <w:r w:rsidDel="00000000" w:rsidR="00000000" w:rsidRPr="00000000">
              <w:rPr>
                <w:rtl w:val="0"/>
              </w:rPr>
              <w:t xml:space="preserve">This is achieved through a descriptive survey design where data is collected from 250 - 325 randomly sampled schools with a representative sample of 25 pupils. Besides administering achievement tests, MLA studies also administer background questionnaires to head teachers, teachers and pupils. These tools provide information on educational inputs such as textbook: pupil ratio and availability of key teaching and learning resources.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7">
            <w:pPr>
              <w:spacing w:after="0" w:line="240" w:lineRule="auto"/>
              <w:ind w:left="160" w:firstLine="0"/>
              <w:rPr>
                <w:rFonts w:ascii="Calibri" w:cs="Calibri" w:eastAsia="Calibri" w:hAnsi="Calibri"/>
                <w:color w:val="000000"/>
              </w:rPr>
            </w:pPr>
            <w:r w:rsidDel="00000000" w:rsidR="00000000" w:rsidRPr="00000000">
              <w:rPr>
                <w:rtl w:val="0"/>
              </w:rPr>
              <w:t xml:space="preserve">3.c. Data collection calendar</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8">
            <w:pPr>
              <w:rPr/>
            </w:pPr>
            <w:r w:rsidDel="00000000" w:rsidR="00000000" w:rsidRPr="00000000">
              <w:rPr>
                <w:rtl w:val="0"/>
              </w:rPr>
              <w:t xml:space="preserve">2024</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9">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3.d. Data release calendar</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A">
            <w:pPr>
              <w:rPr/>
            </w:pPr>
            <w:r w:rsidDel="00000000" w:rsidR="00000000" w:rsidRPr="00000000">
              <w:rPr>
                <w:rtl w:val="0"/>
              </w:rPr>
              <w:t xml:space="preserve">2024</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B">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3.e. Data providers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C">
            <w:pPr>
              <w:rPr/>
            </w:pPr>
            <w:r w:rsidDel="00000000" w:rsidR="00000000" w:rsidRPr="00000000">
              <w:rPr>
                <w:rtl w:val="0"/>
              </w:rPr>
              <w:t xml:space="preserve">Kenya National Examinations Council</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D">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3.f. Data compilers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E">
            <w:pPr>
              <w:rPr/>
            </w:pPr>
            <w:r w:rsidDel="00000000" w:rsidR="00000000" w:rsidRPr="00000000">
              <w:rPr>
                <w:rtl w:val="0"/>
              </w:rPr>
              <w:t xml:space="preserve">Kenya National Bureau of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F">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3.g. Institutional mandate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80">
            <w:pPr>
              <w:jc w:val="both"/>
              <w:rPr/>
            </w:pPr>
            <w:r w:rsidDel="00000000" w:rsidR="00000000" w:rsidRPr="00000000">
              <w:rPr>
                <w:rtl w:val="0"/>
              </w:rPr>
              <w:t xml:space="preserve">Promoting co-ordination among producers, users and suppliers of official statistics by forming appropriate sector committees.</w:t>
            </w:r>
          </w:p>
        </w:tc>
      </w:tr>
    </w:tbl>
    <w:p w:rsidR="00000000" w:rsidDel="00000000" w:rsidP="00000000" w:rsidRDefault="00000000" w:rsidRPr="00000000" w14:paraId="00000081">
      <w:pPr>
        <w:rPr/>
      </w:pPr>
      <w:r w:rsidDel="00000000" w:rsidR="00000000" w:rsidRPr="00000000">
        <w:rPr>
          <w:rtl w:val="0"/>
        </w:rPr>
      </w:r>
    </w:p>
    <w:tbl>
      <w:tblPr>
        <w:tblStyle w:val="Table5"/>
        <w:tblW w:w="8971.0" w:type="dxa"/>
        <w:jc w:val="left"/>
        <w:tblLayout w:type="fixed"/>
        <w:tblLook w:val="0400"/>
      </w:tblPr>
      <w:tblGrid>
        <w:gridCol w:w="3120"/>
        <w:gridCol w:w="5851"/>
        <w:tblGridChange w:id="0">
          <w:tblGrid>
            <w:gridCol w:w="3120"/>
            <w:gridCol w:w="5851"/>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82">
            <w:pPr>
              <w:pStyle w:val="Heading2"/>
              <w:rPr>
                <w:rFonts w:ascii="Times New Roman" w:cs="Times New Roman" w:eastAsia="Times New Roman" w:hAnsi="Times New Roman"/>
                <w:sz w:val="32"/>
                <w:szCs w:val="32"/>
              </w:rPr>
            </w:pPr>
            <w:bookmarkStart w:colFirst="0" w:colLast="0" w:name="_heading=h.ek1ww7i7h6n" w:id="7"/>
            <w:bookmarkEnd w:id="7"/>
            <w:r w:rsidDel="00000000" w:rsidR="00000000" w:rsidRPr="00000000">
              <w:rPr>
                <w:sz w:val="32"/>
                <w:szCs w:val="32"/>
                <w:rtl w:val="0"/>
              </w:rPr>
              <w:t xml:space="preserve">4. Other methodological considerations</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8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85">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86">
            <w:pPr>
              <w:spacing w:after="0" w:line="240" w:lineRule="auto"/>
              <w:rPr>
                <w:rFonts w:ascii="Calibri" w:cs="Calibri" w:eastAsia="Calibri" w:hAnsi="Calibri"/>
                <w:b w:val="1"/>
              </w:rPr>
            </w:pPr>
            <w:r w:rsidDel="00000000" w:rsidR="00000000" w:rsidRPr="00000000">
              <w:rPr>
                <w:rFonts w:ascii="Calibri" w:cs="Calibri" w:eastAsia="Calibri" w:hAnsi="Calibri"/>
                <w:rtl w:val="0"/>
              </w:rPr>
              <w:t xml:space="preserve">4. Other methodological considerations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87">
            <w:pPr>
              <w:rPr/>
            </w:pPr>
            <w:r w:rsidDel="00000000" w:rsidR="00000000" w:rsidRPr="00000000">
              <w:rPr>
                <w:rtl w:val="0"/>
              </w:rPr>
              <w:t xml:space="preserve">None</w:t>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88">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4.a. Rationale</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89">
            <w:pPr>
              <w:jc w:val="both"/>
              <w:rPr/>
            </w:pPr>
            <w:r w:rsidDel="00000000" w:rsidR="00000000" w:rsidRPr="00000000">
              <w:rPr>
                <w:rtl w:val="0"/>
              </w:rPr>
              <w:t xml:space="preserve">The indicator measures the percentage of children and young people who have achieved the minimum learning outcomes in reading and mathematics during or at the end of the relevant stages of education. Providing essential insights into effectiveness of educational systems while addressing disparities.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8A">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4.b. Comment and limitations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8B">
            <w:pPr>
              <w:jc w:val="both"/>
              <w:rPr/>
            </w:pPr>
            <w:r w:rsidDel="00000000" w:rsidR="00000000" w:rsidRPr="00000000">
              <w:rPr>
                <w:rtl w:val="0"/>
              </w:rPr>
              <w:t xml:space="preserve">The indicator fails to accurately assess and measure minimum proficiency levels in reading and mathematics in remote and marginalized areas where access to quality education and standardized testing is limited.</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8C">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4.c. Method of computation</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8D">
            <w:pPr>
              <w:jc w:val="both"/>
              <w:rPr/>
            </w:pPr>
            <w:r w:rsidDel="00000000" w:rsidR="00000000" w:rsidRPr="00000000">
              <w:rPr>
                <w:rtl w:val="0"/>
              </w:rPr>
              <w:t xml:space="preserve">The number of children and/or young people at the relevant stage of education (</w:t>
            </w:r>
            <w:r w:rsidDel="00000000" w:rsidR="00000000" w:rsidRPr="00000000">
              <w:rPr>
                <w:b w:val="1"/>
                <w:rtl w:val="0"/>
              </w:rPr>
              <w:t xml:space="preserve">N</w:t>
            </w:r>
            <w:r w:rsidDel="00000000" w:rsidR="00000000" w:rsidRPr="00000000">
              <w:rPr>
                <w:rtl w:val="0"/>
              </w:rPr>
              <w:t xml:space="preserve">) in year </w:t>
            </w:r>
            <w:r w:rsidDel="00000000" w:rsidR="00000000" w:rsidRPr="00000000">
              <w:rPr>
                <w:b w:val="1"/>
                <w:rtl w:val="0"/>
              </w:rPr>
              <w:t xml:space="preserve">T</w:t>
            </w:r>
            <w:r w:rsidDel="00000000" w:rsidR="00000000" w:rsidRPr="00000000">
              <w:rPr>
                <w:rtl w:val="0"/>
              </w:rPr>
              <w:t xml:space="preserve"> achieving or exceeding the pre-defined proficiency level in subject </w:t>
            </w:r>
            <w:r w:rsidDel="00000000" w:rsidR="00000000" w:rsidRPr="00000000">
              <w:rPr>
                <w:b w:val="1"/>
                <w:rtl w:val="0"/>
              </w:rPr>
              <w:t xml:space="preserve">S</w:t>
            </w:r>
            <w:r w:rsidDel="00000000" w:rsidR="00000000" w:rsidRPr="00000000">
              <w:rPr>
                <w:rtl w:val="0"/>
              </w:rPr>
              <w:t xml:space="preserve"> expressed as a percentage of the number of children and/or young people at stage of education </w:t>
            </w:r>
            <w:r w:rsidDel="00000000" w:rsidR="00000000" w:rsidRPr="00000000">
              <w:rPr>
                <w:b w:val="1"/>
                <w:rtl w:val="0"/>
              </w:rPr>
              <w:t xml:space="preserve">N</w:t>
            </w:r>
            <w:r w:rsidDel="00000000" w:rsidR="00000000" w:rsidRPr="00000000">
              <w:rPr>
                <w:rtl w:val="0"/>
              </w:rPr>
              <w:t xml:space="preserve">, in year </w:t>
            </w:r>
            <w:r w:rsidDel="00000000" w:rsidR="00000000" w:rsidRPr="00000000">
              <w:rPr>
                <w:b w:val="1"/>
                <w:rtl w:val="0"/>
              </w:rPr>
              <w:t xml:space="preserve">T</w:t>
            </w:r>
            <w:r w:rsidDel="00000000" w:rsidR="00000000" w:rsidRPr="00000000">
              <w:rPr>
                <w:rtl w:val="0"/>
              </w:rPr>
              <w:t xml:space="preserve">, in any proficiency level in subject </w:t>
            </w:r>
            <w:r w:rsidDel="00000000" w:rsidR="00000000" w:rsidRPr="00000000">
              <w:rPr>
                <w:b w:val="1"/>
                <w:rtl w:val="0"/>
              </w:rPr>
              <w:t xml:space="preserve">S</w:t>
            </w:r>
            <w:r w:rsidDel="00000000" w:rsidR="00000000" w:rsidRPr="00000000">
              <w:rPr>
                <w:rtl w:val="0"/>
              </w:rPr>
              <w:t xml:space="preserve">.</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8E">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4.d. Validation</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8F">
            <w:pPr>
              <w:jc w:val="both"/>
              <w:rPr/>
            </w:pPr>
            <w:r w:rsidDel="00000000" w:rsidR="00000000" w:rsidRPr="00000000">
              <w:rPr>
                <w:rtl w:val="0"/>
              </w:rPr>
              <w:t xml:space="preserve">Technical working committee meetings together with Stakeholders were held before the launch and dissemination of the reports.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0">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4.e. Adjustments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1">
            <w:pPr>
              <w:rPr/>
            </w:pP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2">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4.f. Treatment of missing values (i) at country level and (ii) at regional level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3">
            <w:pPr>
              <w:rPr/>
            </w:pP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4">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4.g. Regional aggregations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5">
            <w:pPr>
              <w:rPr/>
            </w:pP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6">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4.h. Methods and guidance available to countries for the compilation of the data at the national level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7">
            <w:pPr>
              <w:jc w:val="both"/>
              <w:rPr/>
            </w:pPr>
            <w:r w:rsidDel="00000000" w:rsidR="00000000" w:rsidRPr="00000000">
              <w:rPr>
                <w:rtl w:val="0"/>
              </w:rPr>
              <w:t xml:space="preserve">Metadata for the global and thematic indicators for the follow-up and review of SDG 4 and Education 2030.</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8">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4.i. Quality management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9">
            <w:pPr>
              <w:jc w:val="both"/>
              <w:rPr/>
            </w:pPr>
            <w:r w:rsidDel="00000000" w:rsidR="00000000" w:rsidRPr="00000000">
              <w:rPr>
                <w:rtl w:val="0"/>
              </w:rPr>
              <w:t xml:space="preserve">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A">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4.j. Quality assurance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B">
            <w:pPr>
              <w:jc w:val="both"/>
              <w:rPr/>
            </w:pPr>
            <w:r w:rsidDel="00000000" w:rsidR="00000000" w:rsidRPr="00000000">
              <w:rPr>
                <w:rtl w:val="0"/>
              </w:rPr>
              <w:t xml:space="preserve">The KNBS adheres to Kenya Statistical Quality Assurance Framework (KesQAF) that underlines principles to be assured in managing the statistical production processes and output. Data consistency and quality checks are conducted through Technical Working Groups (TWGs) before publication and dissemination.</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C">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4.k. Quality assessment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D">
            <w:pPr>
              <w:jc w:val="both"/>
              <w:rPr/>
            </w:pPr>
            <w:r w:rsidDel="00000000" w:rsidR="00000000" w:rsidRPr="00000000">
              <w:rPr>
                <w:rtl w:val="0"/>
              </w:rPr>
              <w:t xml:space="preserve">KNBS developed a quality assurance framework (KeSQAF), to record and reference the full range of quality concepts, dimensions, and practices. These include; Relevance, accuracy, reliability, timeliness, punctuality, accessibility, clarity, coherence, consistency, methodological soundness, and integrity.</w:t>
            </w:r>
          </w:p>
        </w:tc>
      </w:tr>
    </w:tbl>
    <w:p w:rsidR="00000000" w:rsidDel="00000000" w:rsidP="00000000" w:rsidRDefault="00000000" w:rsidRPr="00000000" w14:paraId="0000009E">
      <w:pPr>
        <w:rPr/>
      </w:pPr>
      <w:r w:rsidDel="00000000" w:rsidR="00000000" w:rsidRPr="00000000">
        <w:rPr>
          <w:rtl w:val="0"/>
        </w:rPr>
      </w:r>
    </w:p>
    <w:tbl>
      <w:tblPr>
        <w:tblStyle w:val="Table6"/>
        <w:tblW w:w="9047.0" w:type="dxa"/>
        <w:jc w:val="left"/>
        <w:tblLayout w:type="fixed"/>
        <w:tblLook w:val="0400"/>
      </w:tblPr>
      <w:tblGrid>
        <w:gridCol w:w="3020"/>
        <w:gridCol w:w="6027"/>
        <w:tblGridChange w:id="0">
          <w:tblGrid>
            <w:gridCol w:w="3020"/>
            <w:gridCol w:w="6027"/>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9F">
            <w:pPr>
              <w:pStyle w:val="Heading2"/>
              <w:rPr>
                <w:rFonts w:ascii="Times New Roman" w:cs="Times New Roman" w:eastAsia="Times New Roman" w:hAnsi="Times New Roman"/>
                <w:sz w:val="32"/>
                <w:szCs w:val="32"/>
              </w:rPr>
            </w:pPr>
            <w:bookmarkStart w:colFirst="0" w:colLast="0" w:name="_heading=h.vczcl9th5pl" w:id="8"/>
            <w:bookmarkEnd w:id="8"/>
            <w:r w:rsidDel="00000000" w:rsidR="00000000" w:rsidRPr="00000000">
              <w:rPr>
                <w:sz w:val="32"/>
                <w:szCs w:val="32"/>
                <w:rtl w:val="0"/>
              </w:rPr>
              <w:t xml:space="preserve">5. Data availability and disaggregation</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A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4" w:val="single"/>
              <w:right w:color="000000" w:space="0" w:sz="0" w:val="nil"/>
            </w:tcBorders>
            <w:shd w:fill="d9e1f2" w:val="clear"/>
            <w:vAlign w:val="bottom"/>
          </w:tcPr>
          <w:p w:rsidR="00000000" w:rsidDel="00000000" w:rsidP="00000000" w:rsidRDefault="00000000" w:rsidRPr="00000000" w14:paraId="000000A2">
            <w:pPr>
              <w:spacing w:after="0" w:line="240" w:lineRule="auto"/>
              <w:ind w:right="-3475"/>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rHeight w:val="57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A3">
            <w:pPr>
              <w:spacing w:after="0" w:line="240" w:lineRule="auto"/>
              <w:rPr>
                <w:rFonts w:ascii="Calibri" w:cs="Calibri" w:eastAsia="Calibri" w:hAnsi="Calibri"/>
                <w:color w:val="000000"/>
              </w:rPr>
            </w:pPr>
            <w:r w:rsidDel="00000000" w:rsidR="00000000" w:rsidRPr="00000000">
              <w:rPr>
                <w:rFonts w:ascii="Calibri" w:cs="Calibri" w:eastAsia="Calibri" w:hAnsi="Calibri"/>
                <w:rtl w:val="0"/>
              </w:rPr>
              <w:t xml:space="preserve">5. Data availability and disaggregation</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A4">
            <w:pPr>
              <w:jc w:val="both"/>
              <w:rPr/>
            </w:pPr>
            <w:r w:rsidDel="00000000" w:rsidR="00000000" w:rsidRPr="00000000">
              <w:rPr>
                <w:rtl w:val="0"/>
              </w:rPr>
              <w:t xml:space="preserve">By age or age-group, sex, location, socio-economic status, migrant status, ethnicity and language of the test at home.</w:t>
            </w:r>
          </w:p>
        </w:tc>
      </w:tr>
    </w:tbl>
    <w:p w:rsidR="00000000" w:rsidDel="00000000" w:rsidP="00000000" w:rsidRDefault="00000000" w:rsidRPr="00000000" w14:paraId="000000A5">
      <w:pPr>
        <w:rPr/>
      </w:pPr>
      <w:r w:rsidDel="00000000" w:rsidR="00000000" w:rsidRPr="00000000">
        <w:rPr>
          <w:rtl w:val="0"/>
        </w:rPr>
      </w:r>
    </w:p>
    <w:tbl>
      <w:tblPr>
        <w:tblStyle w:val="Table7"/>
        <w:tblW w:w="9047.0" w:type="dxa"/>
        <w:jc w:val="left"/>
        <w:tblLayout w:type="fixed"/>
        <w:tblLook w:val="0400"/>
      </w:tblPr>
      <w:tblGrid>
        <w:gridCol w:w="3020"/>
        <w:gridCol w:w="6027"/>
        <w:tblGridChange w:id="0">
          <w:tblGrid>
            <w:gridCol w:w="3020"/>
            <w:gridCol w:w="6027"/>
          </w:tblGrid>
        </w:tblGridChange>
      </w:tblGrid>
      <w:tr>
        <w:trPr>
          <w:cantSplit w:val="0"/>
          <w:trHeight w:val="29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A6">
            <w:pPr>
              <w:pStyle w:val="Heading2"/>
              <w:rPr>
                <w:sz w:val="32"/>
                <w:szCs w:val="32"/>
              </w:rPr>
            </w:pPr>
            <w:r w:rsidDel="00000000" w:rsidR="00000000" w:rsidRPr="00000000">
              <w:rPr>
                <w:sz w:val="32"/>
                <w:szCs w:val="32"/>
                <w:rtl w:val="0"/>
              </w:rPr>
              <w:t xml:space="preserve">6. Comparability/deviation from international standards</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A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4" w:val="single"/>
              <w:right w:color="000000" w:space="0" w:sz="0" w:val="nil"/>
            </w:tcBorders>
            <w:shd w:fill="d9e1f2" w:val="clear"/>
            <w:vAlign w:val="bottom"/>
          </w:tcPr>
          <w:p w:rsidR="00000000" w:rsidDel="00000000" w:rsidP="00000000" w:rsidRDefault="00000000" w:rsidRPr="00000000" w14:paraId="000000A9">
            <w:pPr>
              <w:spacing w:after="0" w:line="240" w:lineRule="auto"/>
              <w:ind w:right="-3475"/>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rHeight w:val="57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AA">
            <w:pPr>
              <w:spacing w:after="0" w:line="240" w:lineRule="auto"/>
              <w:rPr>
                <w:rFonts w:ascii="Calibri" w:cs="Calibri" w:eastAsia="Calibri" w:hAnsi="Calibri"/>
                <w:color w:val="000000"/>
              </w:rPr>
            </w:pPr>
            <w:r w:rsidDel="00000000" w:rsidR="00000000" w:rsidRPr="00000000">
              <w:rPr>
                <w:rFonts w:ascii="Calibri" w:cs="Calibri" w:eastAsia="Calibri" w:hAnsi="Calibri"/>
                <w:rtl w:val="0"/>
              </w:rPr>
              <w:t xml:space="preserve">6. Comparability/deviation from international standards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AB">
            <w:pPr>
              <w:rPr/>
            </w:pPr>
            <w:r w:rsidDel="00000000" w:rsidR="00000000" w:rsidRPr="00000000">
              <w:rPr>
                <w:rtl w:val="0"/>
              </w:rPr>
              <w:t xml:space="preserve">None</w:t>
            </w:r>
          </w:p>
        </w:tc>
      </w:tr>
    </w:tbl>
    <w:p w:rsidR="00000000" w:rsidDel="00000000" w:rsidP="00000000" w:rsidRDefault="00000000" w:rsidRPr="00000000" w14:paraId="000000AC">
      <w:pPr>
        <w:rPr/>
      </w:pPr>
      <w:r w:rsidDel="00000000" w:rsidR="00000000" w:rsidRPr="00000000">
        <w:rPr>
          <w:rtl w:val="0"/>
        </w:rPr>
      </w:r>
    </w:p>
    <w:tbl>
      <w:tblPr>
        <w:tblStyle w:val="Table8"/>
        <w:tblW w:w="9047.0" w:type="dxa"/>
        <w:jc w:val="left"/>
        <w:tblLayout w:type="fixed"/>
        <w:tblLook w:val="0400"/>
      </w:tblPr>
      <w:tblGrid>
        <w:gridCol w:w="3020"/>
        <w:gridCol w:w="6027"/>
        <w:tblGridChange w:id="0">
          <w:tblGrid>
            <w:gridCol w:w="3020"/>
            <w:gridCol w:w="6027"/>
          </w:tblGrid>
        </w:tblGridChange>
      </w:tblGrid>
      <w:tr>
        <w:trPr>
          <w:cantSplit w:val="0"/>
          <w:trHeight w:val="29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AD">
            <w:pPr>
              <w:pStyle w:val="Heading2"/>
              <w:rPr>
                <w:sz w:val="32"/>
                <w:szCs w:val="32"/>
              </w:rPr>
            </w:pPr>
            <w:r w:rsidDel="00000000" w:rsidR="00000000" w:rsidRPr="00000000">
              <w:rPr>
                <w:sz w:val="32"/>
                <w:szCs w:val="32"/>
                <w:rtl w:val="0"/>
              </w:rPr>
              <w:t xml:space="preserve">7. References and Documentation</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A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4" w:val="single"/>
              <w:right w:color="000000" w:space="0" w:sz="0" w:val="nil"/>
            </w:tcBorders>
            <w:shd w:fill="d9e1f2" w:val="clear"/>
            <w:vAlign w:val="bottom"/>
          </w:tcPr>
          <w:p w:rsidR="00000000" w:rsidDel="00000000" w:rsidP="00000000" w:rsidRDefault="00000000" w:rsidRPr="00000000" w14:paraId="000000B0">
            <w:pPr>
              <w:spacing w:after="0" w:line="240" w:lineRule="auto"/>
              <w:ind w:right="-3475"/>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rHeight w:val="57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B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7. References and Documentation</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B2">
            <w:pPr>
              <w:jc w:val="both"/>
              <w:rPr/>
            </w:pPr>
            <w:r w:rsidDel="00000000" w:rsidR="00000000" w:rsidRPr="00000000">
              <w:rPr>
                <w:rtl w:val="0"/>
              </w:rPr>
              <w:t xml:space="preserve"> Monitoring Learner Achievement at Grade 3 Level of Primary Education, Monitoring Learner Achievement at Form 2 Level of Secondary Education.</w:t>
            </w:r>
          </w:p>
          <w:p w:rsidR="00000000" w:rsidDel="00000000" w:rsidP="00000000" w:rsidRDefault="00000000" w:rsidRPr="00000000" w14:paraId="000000B3">
            <w:pPr>
              <w:rPr/>
            </w:pPr>
            <w:r w:rsidDel="00000000" w:rsidR="00000000" w:rsidRPr="00000000">
              <w:rPr>
                <w:rtl w:val="0"/>
              </w:rPr>
            </w:r>
          </w:p>
        </w:tc>
      </w:tr>
    </w:tbl>
    <w:bookmarkStart w:colFirst="0" w:colLast="0" w:name="bookmark=id.lsl2lmav7087" w:id="9"/>
    <w:bookmarkEnd w:id="9"/>
    <w:bookmarkStart w:colFirst="0" w:colLast="0" w:name="bookmark=id.sipqpxawh9s" w:id="10"/>
    <w:bookmarkEnd w:id="10"/>
    <w:p w:rsidR="00000000" w:rsidDel="00000000" w:rsidP="00000000" w:rsidRDefault="00000000" w:rsidRPr="00000000" w14:paraId="000000B4">
      <w:pPr>
        <w:pStyle w:val="Heading1"/>
        <w:rPr>
          <w:color w:val="1c75bc"/>
          <w:sz w:val="36"/>
          <w:szCs w:val="36"/>
        </w:rPr>
      </w:pPr>
      <w:bookmarkStart w:colFirst="0" w:colLast="0" w:name="_heading=h.q4rm6vc33dyg" w:id="11"/>
      <w:bookmarkEnd w:id="11"/>
      <w:r w:rsidDel="00000000" w:rsidR="00000000" w:rsidRPr="00000000">
        <w:rPr>
          <w:rtl w:val="0"/>
        </w:rPr>
      </w:r>
    </w:p>
    <w:p w:rsidR="00000000" w:rsidDel="00000000" w:rsidP="00000000" w:rsidRDefault="00000000" w:rsidRPr="00000000" w14:paraId="000000B5">
      <w:pPr>
        <w:pStyle w:val="Heading1"/>
        <w:rPr>
          <w:color w:val="1c75bc"/>
          <w:sz w:val="36"/>
          <w:szCs w:val="36"/>
        </w:rPr>
      </w:pPr>
      <w:r w:rsidDel="00000000" w:rsidR="00000000" w:rsidRPr="00000000">
        <w:rPr>
          <w:color w:val="1c75bc"/>
          <w:sz w:val="36"/>
          <w:szCs w:val="36"/>
          <w:rtl w:val="0"/>
        </w:rPr>
        <w:t xml:space="preserve">Appendices</w:t>
      </w:r>
    </w:p>
    <w:p w:rsidR="00000000" w:rsidDel="00000000" w:rsidP="00000000" w:rsidRDefault="00000000" w:rsidRPr="00000000" w14:paraId="000000B6">
      <w:pPr>
        <w:keepNext w:val="0"/>
        <w:keepLines w:val="0"/>
        <w:pageBreakBefore w:val="0"/>
        <w:widowControl w:val="1"/>
        <w:pBdr>
          <w:top w:space="0" w:sz="0" w:val="nil"/>
          <w:left w:space="0" w:sz="0" w:val="nil"/>
          <w:bottom w:space="0" w:sz="0" w:val="nil"/>
          <w:right w:space="0" w:sz="0" w:val="nil"/>
          <w:between w:space="0" w:sz="0" w:val="nil"/>
        </w:pBdr>
        <w:shd w:fill="f5f5f5" w:val="clear"/>
        <w:spacing w:after="0" w:before="0" w:line="276" w:lineRule="auto"/>
        <w:ind w:left="0" w:right="0" w:firstLine="0"/>
        <w:jc w:val="left"/>
        <w:rPr>
          <w:rFonts w:ascii="Calibri" w:cs="Calibri" w:eastAsia="Calibri" w:hAnsi="Calibri"/>
          <w:b w:val="0"/>
          <w:i w:val="0"/>
          <w:smallCaps w:val="0"/>
          <w:strike w:val="0"/>
          <w:color w:val="1c75bc"/>
          <w:sz w:val="28"/>
          <w:szCs w:val="28"/>
          <w:u w:val="none"/>
          <w:shd w:fill="auto" w:val="clear"/>
          <w:vertAlign w:val="baseline"/>
        </w:rPr>
      </w:pPr>
      <w:bookmarkStart w:colFirst="0" w:colLast="0" w:name="_heading=h.372ymyphgef1" w:id="12"/>
      <w:bookmarkEnd w:id="12"/>
      <w:r w:rsidDel="00000000" w:rsidR="00000000" w:rsidRPr="00000000">
        <w:rPr>
          <w:rFonts w:ascii="Calibri" w:cs="Calibri" w:eastAsia="Calibri" w:hAnsi="Calibri"/>
          <w:b w:val="0"/>
          <w:i w:val="0"/>
          <w:smallCaps w:val="0"/>
          <w:strike w:val="0"/>
          <w:color w:val="1c75bc"/>
          <w:sz w:val="28"/>
          <w:szCs w:val="28"/>
          <w:u w:val="none"/>
          <w:shd w:fill="auto" w:val="clear"/>
          <w:vertAlign w:val="baseline"/>
          <w:rtl w:val="0"/>
        </w:rPr>
        <w:t xml:space="preserve">A. Definitions of Metadata Concepts</w:t>
      </w:r>
    </w:p>
    <w:p w:rsidR="00000000" w:rsidDel="00000000" w:rsidP="00000000" w:rsidRDefault="00000000" w:rsidRPr="00000000" w14:paraId="000000B7">
      <w:pPr>
        <w:rPr/>
      </w:pPr>
      <w:r w:rsidDel="00000000" w:rsidR="00000000" w:rsidRPr="00000000">
        <w:rPr>
          <w:b w:val="1"/>
          <w:i w:val="1"/>
          <w:rtl w:val="0"/>
        </w:rPr>
        <w:t xml:space="preserve">0.a. Goal</w:t>
      </w:r>
      <w:r w:rsidDel="00000000" w:rsidR="00000000" w:rsidRPr="00000000">
        <w:rPr>
          <w:rtl w:val="0"/>
        </w:rPr>
        <w:t xml:space="preserve">: </w:t>
      </w:r>
      <w:r w:rsidDel="00000000" w:rsidR="00000000" w:rsidRPr="00000000">
        <w:rPr>
          <w:rFonts w:ascii="Calibri" w:cs="Calibri" w:eastAsia="Calibri" w:hAnsi="Calibri"/>
          <w:color w:val="000000"/>
          <w:rtl w:val="0"/>
        </w:rPr>
        <w:t xml:space="preserve">SDG Goal number and name.</w:t>
      </w:r>
      <w:r w:rsidDel="00000000" w:rsidR="00000000" w:rsidRPr="00000000">
        <w:rPr>
          <w:rtl w:val="0"/>
        </w:rPr>
      </w:r>
    </w:p>
    <w:p w:rsidR="00000000" w:rsidDel="00000000" w:rsidP="00000000" w:rsidRDefault="00000000" w:rsidRPr="00000000" w14:paraId="000000B8">
      <w:pPr>
        <w:rPr/>
      </w:pPr>
      <w:r w:rsidDel="00000000" w:rsidR="00000000" w:rsidRPr="00000000">
        <w:rPr>
          <w:b w:val="1"/>
          <w:i w:val="1"/>
          <w:rtl w:val="0"/>
        </w:rPr>
        <w:t xml:space="preserve">0.b. Target: </w:t>
      </w:r>
      <w:r w:rsidDel="00000000" w:rsidR="00000000" w:rsidRPr="00000000">
        <w:rPr>
          <w:rFonts w:ascii="Calibri" w:cs="Calibri" w:eastAsia="Calibri" w:hAnsi="Calibri"/>
          <w:color w:val="000000"/>
          <w:rtl w:val="0"/>
        </w:rPr>
        <w:t xml:space="preserve">SDG Target number and name.</w:t>
      </w:r>
      <w:r w:rsidDel="00000000" w:rsidR="00000000" w:rsidRPr="00000000">
        <w:rPr>
          <w:rtl w:val="0"/>
        </w:rPr>
      </w:r>
    </w:p>
    <w:p w:rsidR="00000000" w:rsidDel="00000000" w:rsidP="00000000" w:rsidRDefault="00000000" w:rsidRPr="00000000" w14:paraId="000000B9">
      <w:pPr>
        <w:rPr/>
      </w:pPr>
      <w:r w:rsidDel="00000000" w:rsidR="00000000" w:rsidRPr="00000000">
        <w:rPr>
          <w:b w:val="1"/>
          <w:i w:val="1"/>
          <w:rtl w:val="0"/>
        </w:rPr>
        <w:t xml:space="preserve">0.c. Indicator</w:t>
      </w:r>
      <w:r w:rsidDel="00000000" w:rsidR="00000000" w:rsidRPr="00000000">
        <w:rPr>
          <w:rtl w:val="0"/>
        </w:rPr>
        <w:t xml:space="preserve">: </w:t>
      </w:r>
      <w:r w:rsidDel="00000000" w:rsidR="00000000" w:rsidRPr="00000000">
        <w:rPr>
          <w:rFonts w:ascii="Calibri" w:cs="Calibri" w:eastAsia="Calibri" w:hAnsi="Calibri"/>
          <w:color w:val="000000"/>
          <w:rtl w:val="0"/>
        </w:rPr>
        <w:t xml:space="preserve">SDG Indicator number and name.</w:t>
      </w:r>
      <w:r w:rsidDel="00000000" w:rsidR="00000000" w:rsidRPr="00000000">
        <w:rPr>
          <w:rtl w:val="0"/>
        </w:rPr>
      </w:r>
    </w:p>
    <w:p w:rsidR="00000000" w:rsidDel="00000000" w:rsidP="00000000" w:rsidRDefault="00000000" w:rsidRPr="00000000" w14:paraId="000000BA">
      <w:pPr>
        <w:rPr>
          <w:b w:val="1"/>
          <w:i w:val="1"/>
        </w:rPr>
      </w:pPr>
      <w:r w:rsidDel="00000000" w:rsidR="00000000" w:rsidRPr="00000000">
        <w:rPr>
          <w:b w:val="1"/>
          <w:i w:val="1"/>
          <w:rtl w:val="0"/>
        </w:rPr>
        <w:t xml:space="preserve">0.d. Series</w:t>
      </w:r>
      <w:r w:rsidDel="00000000" w:rsidR="00000000" w:rsidRPr="00000000">
        <w:rPr>
          <w:rtl w:val="0"/>
        </w:rPr>
        <w:t xml:space="preserve">: Description of SDG data series.</w:t>
      </w:r>
      <w:r w:rsidDel="00000000" w:rsidR="00000000" w:rsidRPr="00000000">
        <w:rPr>
          <w:b w:val="1"/>
          <w:i w:val="1"/>
          <w:rtl w:val="0"/>
        </w:rPr>
        <w:tab/>
      </w:r>
    </w:p>
    <w:p w:rsidR="00000000" w:rsidDel="00000000" w:rsidP="00000000" w:rsidRDefault="00000000" w:rsidRPr="00000000" w14:paraId="000000BB">
      <w:pPr>
        <w:rPr/>
      </w:pPr>
      <w:r w:rsidDel="00000000" w:rsidR="00000000" w:rsidRPr="00000000">
        <w:rPr>
          <w:b w:val="1"/>
          <w:i w:val="1"/>
          <w:rtl w:val="0"/>
        </w:rPr>
        <w:t xml:space="preserve">0.e. Metadata update</w:t>
      </w:r>
      <w:r w:rsidDel="00000000" w:rsidR="00000000" w:rsidRPr="00000000">
        <w:rPr>
          <w:rtl w:val="0"/>
        </w:rPr>
        <w:t xml:space="preserve">: The date when this metadata report was last updated.</w:t>
      </w:r>
    </w:p>
    <w:p w:rsidR="00000000" w:rsidDel="00000000" w:rsidP="00000000" w:rsidRDefault="00000000" w:rsidRPr="00000000" w14:paraId="000000BC">
      <w:pPr>
        <w:rPr/>
      </w:pPr>
      <w:r w:rsidDel="00000000" w:rsidR="00000000" w:rsidRPr="00000000">
        <w:rPr>
          <w:b w:val="1"/>
          <w:i w:val="1"/>
          <w:rtl w:val="0"/>
        </w:rPr>
        <w:t xml:space="preserve">0.f. Related indicators</w:t>
      </w:r>
      <w:r w:rsidDel="00000000" w:rsidR="00000000" w:rsidRPr="00000000">
        <w:rPr>
          <w:rtl w:val="0"/>
        </w:rPr>
        <w:t xml:space="preserve">: Linkages with any other Goals and Targets.</w:t>
      </w:r>
    </w:p>
    <w:p w:rsidR="00000000" w:rsidDel="00000000" w:rsidP="00000000" w:rsidRDefault="00000000" w:rsidRPr="00000000" w14:paraId="000000BD">
      <w:pPr>
        <w:rPr/>
      </w:pPr>
      <w:r w:rsidDel="00000000" w:rsidR="00000000" w:rsidRPr="00000000">
        <w:rPr>
          <w:b w:val="1"/>
          <w:i w:val="1"/>
          <w:rtl w:val="0"/>
        </w:rPr>
        <w:t xml:space="preserve">0.g. International organisations(s) responsible for global monitoring</w:t>
      </w:r>
      <w:r w:rsidDel="00000000" w:rsidR="00000000" w:rsidRPr="00000000">
        <w:rPr>
          <w:rtl w:val="0"/>
        </w:rPr>
        <w:t xml:space="preserve">: Global reporting: International organizations (departments/offices) responsible for monitoring this indicator at the global level.  Country reporting: This concept has no national counterpart.</w:t>
      </w:r>
      <w:r w:rsidDel="00000000" w:rsidR="00000000" w:rsidRPr="00000000">
        <w:rPr>
          <w:b w:val="1"/>
          <w:i w:val="1"/>
          <w:rtl w:val="0"/>
        </w:rPr>
        <w:tab/>
      </w:r>
      <w:r w:rsidDel="00000000" w:rsidR="00000000" w:rsidRPr="00000000">
        <w:rPr>
          <w:rtl w:val="0"/>
        </w:rPr>
      </w:r>
    </w:p>
    <w:p w:rsidR="00000000" w:rsidDel="00000000" w:rsidP="00000000" w:rsidRDefault="00000000" w:rsidRPr="00000000" w14:paraId="000000BE">
      <w:pPr>
        <w:rPr/>
      </w:pPr>
      <w:r w:rsidDel="00000000" w:rsidR="00000000" w:rsidRPr="00000000">
        <w:rPr>
          <w:b w:val="1"/>
          <w:i w:val="1"/>
          <w:rtl w:val="0"/>
        </w:rPr>
        <w:t xml:space="preserve">1.a. Organisation</w:t>
      </w:r>
      <w:r w:rsidDel="00000000" w:rsidR="00000000" w:rsidRPr="00000000">
        <w:rPr>
          <w:rtl w:val="0"/>
        </w:rPr>
        <w:t xml:space="preserve">: Organisation unit information of the contact points for the data or metadata.</w:t>
      </w:r>
    </w:p>
    <w:p w:rsidR="00000000" w:rsidDel="00000000" w:rsidP="00000000" w:rsidRDefault="00000000" w:rsidRPr="00000000" w14:paraId="000000BF">
      <w:pPr>
        <w:rPr>
          <w:b w:val="1"/>
          <w:i w:val="1"/>
        </w:rPr>
      </w:pPr>
      <w:r w:rsidDel="00000000" w:rsidR="00000000" w:rsidRPr="00000000">
        <w:rPr>
          <w:b w:val="1"/>
          <w:i w:val="1"/>
          <w:rtl w:val="0"/>
        </w:rPr>
        <w:t xml:space="preserve">1.d. Contact person function</w:t>
      </w:r>
      <w:r w:rsidDel="00000000" w:rsidR="00000000" w:rsidRPr="00000000">
        <w:rPr>
          <w:rtl w:val="0"/>
        </w:rPr>
        <w:t xml:space="preserve">: Functional title(s) of the contact points for the data or metadata.</w:t>
      </w:r>
      <w:r w:rsidDel="00000000" w:rsidR="00000000" w:rsidRPr="00000000">
        <w:rPr>
          <w:b w:val="1"/>
          <w:i w:val="1"/>
          <w:rtl w:val="0"/>
        </w:rPr>
        <w:tab/>
      </w:r>
    </w:p>
    <w:p w:rsidR="00000000" w:rsidDel="00000000" w:rsidP="00000000" w:rsidRDefault="00000000" w:rsidRPr="00000000" w14:paraId="000000C0">
      <w:pPr>
        <w:rPr/>
      </w:pPr>
      <w:r w:rsidDel="00000000" w:rsidR="00000000" w:rsidRPr="00000000">
        <w:rPr>
          <w:b w:val="1"/>
          <w:i w:val="1"/>
          <w:rtl w:val="0"/>
        </w:rPr>
        <w:t xml:space="preserve">1.e. Contact phone</w:t>
      </w:r>
      <w:r w:rsidDel="00000000" w:rsidR="00000000" w:rsidRPr="00000000">
        <w:rPr>
          <w:rtl w:val="0"/>
        </w:rPr>
        <w:t xml:space="preserve">: Phone number(s) of the contact points for the data or metadata.</w:t>
      </w:r>
    </w:p>
    <w:p w:rsidR="00000000" w:rsidDel="00000000" w:rsidP="00000000" w:rsidRDefault="00000000" w:rsidRPr="00000000" w14:paraId="000000C1">
      <w:pPr>
        <w:keepNext w:val="0"/>
        <w:keepLines w:val="0"/>
        <w:pageBreakBefore w:val="0"/>
        <w:widowControl w:val="1"/>
        <w:pBdr>
          <w:top w:space="0" w:sz="0" w:val="nil"/>
          <w:left w:space="0" w:sz="0" w:val="nil"/>
          <w:bottom w:space="0" w:sz="0" w:val="nil"/>
          <w:right w:space="0" w:sz="0" w:val="nil"/>
          <w:between w:space="0" w:sz="0" w:val="nil"/>
        </w:pBdr>
        <w:shd w:fill="auto" w:val="clear"/>
        <w:spacing w:after="24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0"/>
          <w:szCs w:val="20"/>
          <w:u w:val="none"/>
          <w:shd w:fill="auto" w:val="clear"/>
          <w:vertAlign w:val="baseline"/>
          <w:rtl w:val="0"/>
        </w:rPr>
        <w:t xml:space="preserve">1.f. Contact mail</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Mailing address(es) of the contact points for the data or metadata.</w:t>
      </w:r>
    </w:p>
    <w:p w:rsidR="00000000" w:rsidDel="00000000" w:rsidP="00000000" w:rsidRDefault="00000000" w:rsidRPr="00000000" w14:paraId="000000C2">
      <w:pPr>
        <w:spacing w:after="240" w:lineRule="auto"/>
        <w:rPr/>
      </w:pPr>
      <w:r w:rsidDel="00000000" w:rsidR="00000000" w:rsidRPr="00000000">
        <w:rPr>
          <w:b w:val="1"/>
          <w:i w:val="1"/>
          <w:rtl w:val="0"/>
        </w:rPr>
        <w:t xml:space="preserve">1.g. Contact emails</w:t>
      </w:r>
      <w:r w:rsidDel="00000000" w:rsidR="00000000" w:rsidRPr="00000000">
        <w:rPr>
          <w:rtl w:val="0"/>
        </w:rPr>
        <w:t xml:space="preserve">: E-mail address(es) of the contact points for the data or metadata.</w:t>
      </w:r>
    </w:p>
    <w:p w:rsidR="00000000" w:rsidDel="00000000" w:rsidP="00000000" w:rsidRDefault="00000000" w:rsidRPr="00000000" w14:paraId="000000C3">
      <w:pPr>
        <w:rPr/>
      </w:pPr>
      <w:r w:rsidDel="00000000" w:rsidR="00000000" w:rsidRPr="00000000">
        <w:rPr>
          <w:b w:val="1"/>
          <w:i w:val="1"/>
          <w:rtl w:val="0"/>
        </w:rPr>
        <w:t xml:space="preserve">2.a. Definition and concepts</w:t>
      </w:r>
      <w:r w:rsidDel="00000000" w:rsidR="00000000" w:rsidRPr="00000000">
        <w:rPr>
          <w:rtl w:val="0"/>
        </w:rPr>
        <w:t xml:space="preserve">: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000000" w:rsidDel="00000000" w:rsidP="00000000" w:rsidRDefault="00000000" w:rsidRPr="00000000" w14:paraId="000000C4">
      <w:pPr>
        <w:rPr/>
      </w:pPr>
      <w:r w:rsidDel="00000000" w:rsidR="00000000" w:rsidRPr="00000000">
        <w:rPr>
          <w:b w:val="1"/>
          <w:i w:val="1"/>
          <w:rtl w:val="0"/>
        </w:rPr>
        <w:t xml:space="preserve">2.b. Unit of measure:</w:t>
      </w:r>
      <w:r w:rsidDel="00000000" w:rsidR="00000000" w:rsidRPr="00000000">
        <w:rPr>
          <w:rtl w:val="0"/>
        </w:rPr>
        <w:t xml:space="preserve"> Description of the unit of measurement (proportion, dollars, number of people, etc.)</w:t>
      </w:r>
    </w:p>
    <w:p w:rsidR="00000000" w:rsidDel="00000000" w:rsidP="00000000" w:rsidRDefault="00000000" w:rsidRPr="00000000" w14:paraId="000000C5">
      <w:pPr>
        <w:rPr>
          <w:rFonts w:ascii="Calibri" w:cs="Calibri" w:eastAsia="Calibri" w:hAnsi="Calibri"/>
          <w:color w:val="000000"/>
        </w:rPr>
      </w:pPr>
      <w:r w:rsidDel="00000000" w:rsidR="00000000" w:rsidRPr="00000000">
        <w:rPr>
          <w:b w:val="1"/>
          <w:i w:val="1"/>
          <w:rtl w:val="0"/>
        </w:rPr>
        <w:t xml:space="preserve">2.c. Classifications</w:t>
      </w:r>
      <w:r w:rsidDel="00000000" w:rsidR="00000000" w:rsidRPr="00000000">
        <w:rPr>
          <w:rtl w:val="0"/>
        </w:rPr>
        <w:t xml:space="preserve">: </w:t>
      </w:r>
      <w:r w:rsidDel="00000000" w:rsidR="00000000" w:rsidRPr="00000000">
        <w:rPr>
          <w:rFonts w:ascii="Calibri" w:cs="Calibri" w:eastAsia="Calibri" w:hAnsi="Calibri"/>
          <w:color w:val="000000"/>
          <w:rtl w:val="0"/>
        </w:rPr>
        <w:t xml:space="preserve">Describe references to both national and international standards and classification being used. </w:t>
      </w:r>
      <w:r w:rsidDel="00000000" w:rsidR="00000000" w:rsidRPr="00000000">
        <w:rPr>
          <w:rFonts w:ascii="Calibri" w:cs="Calibri" w:eastAsia="Calibri" w:hAnsi="Calibri"/>
          <w:rtl w:val="0"/>
        </w:rPr>
        <w:t xml:space="preserve">[Information to be provided where applicable.]</w:t>
      </w:r>
      <w:r w:rsidDel="00000000" w:rsidR="00000000" w:rsidRPr="00000000">
        <w:rPr>
          <w:rtl w:val="0"/>
        </w:rPr>
      </w:r>
    </w:p>
    <w:p w:rsidR="00000000" w:rsidDel="00000000" w:rsidP="00000000" w:rsidRDefault="00000000" w:rsidRPr="00000000" w14:paraId="000000C6">
      <w:pPr>
        <w:rPr>
          <w:b w:val="1"/>
          <w:i w:val="1"/>
        </w:rPr>
      </w:pPr>
      <w:r w:rsidDel="00000000" w:rsidR="00000000" w:rsidRPr="00000000">
        <w:rPr>
          <w:b w:val="1"/>
          <w:i w:val="1"/>
          <w:rtl w:val="0"/>
        </w:rPr>
        <w:t xml:space="preserve">3.a. Data sources</w:t>
      </w:r>
      <w:r w:rsidDel="00000000" w:rsidR="00000000" w:rsidRPr="00000000">
        <w:rPr>
          <w:rtl w:val="0"/>
        </w:rPr>
        <w:t xml:space="preserve">: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Del="00000000" w:rsidR="00000000" w:rsidRPr="00000000">
        <w:rPr>
          <w:b w:val="1"/>
          <w:i w:val="1"/>
          <w:rtl w:val="0"/>
        </w:rPr>
        <w:tab/>
      </w:r>
    </w:p>
    <w:p w:rsidR="00000000" w:rsidDel="00000000" w:rsidP="00000000" w:rsidRDefault="00000000" w:rsidRPr="00000000" w14:paraId="000000C7">
      <w:pPr>
        <w:rPr>
          <w:b w:val="1"/>
          <w:i w:val="1"/>
        </w:rPr>
      </w:pPr>
      <w:r w:rsidDel="00000000" w:rsidR="00000000" w:rsidRPr="00000000">
        <w:rPr>
          <w:b w:val="1"/>
          <w:i w:val="1"/>
          <w:rtl w:val="0"/>
        </w:rPr>
        <w:t xml:space="preserve">3.b. Data collection method</w:t>
      </w:r>
      <w:r w:rsidDel="00000000" w:rsidR="00000000" w:rsidRPr="00000000">
        <w:rPr>
          <w:rtl w:val="0"/>
        </w:rP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Del="00000000" w:rsidR="00000000" w:rsidRPr="00000000">
        <w:rPr>
          <w:b w:val="1"/>
          <w:i w:val="1"/>
          <w:rtl w:val="0"/>
        </w:rPr>
        <w:tab/>
      </w:r>
    </w:p>
    <w:p w:rsidR="00000000" w:rsidDel="00000000" w:rsidP="00000000" w:rsidRDefault="00000000" w:rsidRPr="00000000" w14:paraId="000000C8">
      <w:pPr>
        <w:keepNext w:val="0"/>
        <w:keepLines w:val="0"/>
        <w:pageBreakBefore w:val="0"/>
        <w:widowControl w:val="1"/>
        <w:pBdr>
          <w:top w:space="0" w:sz="0" w:val="nil"/>
          <w:left w:space="0" w:sz="0" w:val="nil"/>
          <w:bottom w:space="0" w:sz="0" w:val="nil"/>
          <w:right w:space="0" w:sz="0" w:val="nil"/>
          <w:between w:space="0" w:sz="0" w:val="nil"/>
        </w:pBdr>
        <w:shd w:fill="auto" w:val="clear"/>
        <w:spacing w:after="24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3.c. Data collection calendar</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Dates when source collection is next planned.</w:t>
      </w:r>
    </w:p>
    <w:p w:rsidR="00000000" w:rsidDel="00000000" w:rsidP="00000000" w:rsidRDefault="00000000" w:rsidRPr="00000000" w14:paraId="000000C9">
      <w:pPr>
        <w:keepNext w:val="0"/>
        <w:keepLines w:val="0"/>
        <w:pageBreakBefore w:val="0"/>
        <w:widowControl w:val="1"/>
        <w:pBdr>
          <w:top w:space="0" w:sz="0" w:val="nil"/>
          <w:left w:space="0" w:sz="0" w:val="nil"/>
          <w:bottom w:space="0" w:sz="0" w:val="nil"/>
          <w:right w:space="0" w:sz="0" w:val="nil"/>
          <w:between w:space="0" w:sz="0" w:val="nil"/>
        </w:pBdr>
        <w:shd w:fill="auto" w:val="clear"/>
        <w:spacing w:after="24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3.d. Data release calendar</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Expected dates of release of new data for this indicator, including the year (or, ideally, the quarter/month when the next data point associated with the indicator will become available).</w:t>
      </w:r>
    </w:p>
    <w:p w:rsidR="00000000" w:rsidDel="00000000" w:rsidP="00000000" w:rsidRDefault="00000000" w:rsidRPr="00000000" w14:paraId="000000CA">
      <w:pPr>
        <w:spacing w:after="240" w:lineRule="auto"/>
        <w:rPr>
          <w:b w:val="1"/>
          <w:i w:val="1"/>
        </w:rPr>
      </w:pPr>
      <w:r w:rsidDel="00000000" w:rsidR="00000000" w:rsidRPr="00000000">
        <w:rPr>
          <w:b w:val="1"/>
          <w:i w:val="1"/>
          <w:rtl w:val="0"/>
        </w:rPr>
        <w:t xml:space="preserve">3.e. Data providers</w:t>
      </w:r>
      <w:r w:rsidDel="00000000" w:rsidR="00000000" w:rsidRPr="00000000">
        <w:rPr>
          <w:rtl w:val="0"/>
        </w:rPr>
        <w:t xml:space="preserve">: Identification of national and/or international data provider(s), specifying the organization(s) responsible for producing the data.</w:t>
      </w:r>
      <w:r w:rsidDel="00000000" w:rsidR="00000000" w:rsidRPr="00000000">
        <w:rPr>
          <w:b w:val="1"/>
          <w:i w:val="1"/>
          <w:rtl w:val="0"/>
        </w:rPr>
        <w:tab/>
      </w:r>
    </w:p>
    <w:p w:rsidR="00000000" w:rsidDel="00000000" w:rsidP="00000000" w:rsidRDefault="00000000" w:rsidRPr="00000000" w14:paraId="000000CB">
      <w:pPr>
        <w:rPr/>
      </w:pPr>
      <w:r w:rsidDel="00000000" w:rsidR="00000000" w:rsidRPr="00000000">
        <w:rPr>
          <w:b w:val="1"/>
          <w:i w:val="1"/>
          <w:rtl w:val="0"/>
        </w:rPr>
        <w:t xml:space="preserve">3.f. Data compilers</w:t>
      </w:r>
      <w:r w:rsidDel="00000000" w:rsidR="00000000" w:rsidRPr="00000000">
        <w:rPr>
          <w:rtl w:val="0"/>
        </w:rPr>
        <w:t xml:space="preserve">: Organization(s) responsible for compilation of this indicator either at national or global level.</w:t>
      </w:r>
    </w:p>
    <w:p w:rsidR="00000000" w:rsidDel="00000000" w:rsidP="00000000" w:rsidRDefault="00000000" w:rsidRPr="00000000" w14:paraId="000000CC">
      <w:pPr>
        <w:rPr>
          <w:b w:val="1"/>
          <w:i w:val="1"/>
        </w:rPr>
      </w:pPr>
      <w:r w:rsidDel="00000000" w:rsidR="00000000" w:rsidRPr="00000000">
        <w:rPr>
          <w:b w:val="1"/>
          <w:i w:val="1"/>
          <w:rtl w:val="0"/>
        </w:rPr>
        <w:t xml:space="preserve">3.g. Institutional mandate</w:t>
      </w:r>
      <w:r w:rsidDel="00000000" w:rsidR="00000000" w:rsidRPr="00000000">
        <w:rPr>
          <w:rtl w:val="0"/>
        </w:rPr>
        <w:t xml:space="preserve">: Description of the set of rules or other formal set of instructions assigning responsibility as well as the authority to an organisation for the collection, processing, and dissemination of statistics for this indicator.</w:t>
      </w:r>
      <w:r w:rsidDel="00000000" w:rsidR="00000000" w:rsidRPr="00000000">
        <w:rPr>
          <w:b w:val="1"/>
          <w:i w:val="1"/>
          <w:rtl w:val="0"/>
        </w:rPr>
        <w:tab/>
      </w:r>
    </w:p>
    <w:p w:rsidR="00000000" w:rsidDel="00000000" w:rsidP="00000000" w:rsidRDefault="00000000" w:rsidRPr="00000000" w14:paraId="000000CD">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4.a. Rationale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Description of the purpose and rationale behind the indicator, as well as examples and guidance on its correct interpretation and meaning.</w:t>
      </w:r>
    </w:p>
    <w:p w:rsidR="00000000" w:rsidDel="00000000" w:rsidP="00000000" w:rsidRDefault="00000000" w:rsidRPr="00000000" w14:paraId="000000CE">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CF">
      <w:pPr>
        <w:rPr/>
      </w:pPr>
      <w:r w:rsidDel="00000000" w:rsidR="00000000" w:rsidRPr="00000000">
        <w:rPr>
          <w:b w:val="1"/>
          <w:i w:val="1"/>
          <w:rtl w:val="0"/>
        </w:rPr>
        <w:t xml:space="preserve">4.b. Comment and limitations</w:t>
      </w:r>
      <w:r w:rsidDel="00000000" w:rsidR="00000000" w:rsidRPr="00000000">
        <w:rPr>
          <w:rtl w:val="0"/>
        </w:rPr>
        <w:t xml:space="preserve">:</w:t>
      </w:r>
      <w:r w:rsidDel="00000000" w:rsidR="00000000" w:rsidRPr="00000000">
        <w:rPr>
          <w:b w:val="1"/>
          <w:i w:val="1"/>
          <w:rtl w:val="0"/>
        </w:rPr>
        <w:t xml:space="preserve"> </w:t>
      </w:r>
      <w:r w:rsidDel="00000000" w:rsidR="00000000" w:rsidRPr="00000000">
        <w:rPr>
          <w:rtl w:val="0"/>
        </w:rPr>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000000" w:rsidDel="00000000" w:rsidP="00000000" w:rsidRDefault="00000000" w:rsidRPr="00000000" w14:paraId="000000D0">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4.c. Method of computation</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1"/>
          <w:i w:val="1"/>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00000" w:rsidDel="00000000" w:rsidP="00000000" w:rsidRDefault="00000000" w:rsidRPr="00000000" w14:paraId="000000D1">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D2">
      <w:pPr>
        <w:rPr/>
      </w:pPr>
      <w:r w:rsidDel="00000000" w:rsidR="00000000" w:rsidRPr="00000000">
        <w:rPr>
          <w:b w:val="1"/>
          <w:i w:val="1"/>
          <w:rtl w:val="0"/>
        </w:rPr>
        <w:t xml:space="preserve">4.d. Validation: </w:t>
      </w:r>
      <w:r w:rsidDel="00000000" w:rsidR="00000000" w:rsidRPr="00000000">
        <w:rPr>
          <w:rtl w:val="0"/>
        </w:rPr>
        <w:t xml:space="preserve">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000000" w:rsidDel="00000000" w:rsidP="00000000" w:rsidRDefault="00000000" w:rsidRPr="00000000" w14:paraId="000000D3">
      <w:pPr>
        <w:rPr/>
      </w:pPr>
      <w:r w:rsidDel="00000000" w:rsidR="00000000" w:rsidRPr="00000000">
        <w:rPr>
          <w:b w:val="1"/>
          <w:i w:val="1"/>
          <w:rtl w:val="0"/>
        </w:rPr>
        <w:t xml:space="preserve">4.e. Adjustments</w:t>
      </w:r>
      <w:r w:rsidDel="00000000" w:rsidR="00000000" w:rsidRPr="00000000">
        <w:rPr>
          <w:rtl w:val="0"/>
        </w:rPr>
        <w:t xml:space="preserve">: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000000" w:rsidDel="00000000" w:rsidP="00000000" w:rsidRDefault="00000000" w:rsidRPr="00000000" w14:paraId="000000D4">
      <w:pPr>
        <w:rPr/>
      </w:pPr>
      <w:r w:rsidDel="00000000" w:rsidR="00000000" w:rsidRPr="00000000">
        <w:rPr>
          <w:b w:val="1"/>
          <w:i w:val="1"/>
          <w:rtl w:val="0"/>
        </w:rPr>
        <w:t xml:space="preserve">4.f. Treatment of missing values (i) at country level and (ii) at regional level</w:t>
      </w:r>
      <w:r w:rsidDel="00000000" w:rsidR="00000000" w:rsidRPr="00000000">
        <w:rPr>
          <w:rtl w:val="0"/>
        </w:rP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000000" w:rsidDel="00000000" w:rsidP="00000000" w:rsidRDefault="00000000" w:rsidRPr="00000000" w14:paraId="000000D5">
      <w:pPr>
        <w:rPr/>
      </w:pPr>
      <w:r w:rsidDel="00000000" w:rsidR="00000000" w:rsidRPr="00000000">
        <w:rPr>
          <w:b w:val="1"/>
          <w:i w:val="1"/>
          <w:rtl w:val="0"/>
        </w:rPr>
        <w:t xml:space="preserve">4.g. Regional aggregations</w:t>
      </w:r>
      <w:r w:rsidDel="00000000" w:rsidR="00000000" w:rsidRPr="00000000">
        <w:rPr>
          <w:rtl w:val="0"/>
        </w:rPr>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000000" w:rsidDel="00000000" w:rsidP="00000000" w:rsidRDefault="00000000" w:rsidRPr="00000000" w14:paraId="000000D6">
      <w:pPr>
        <w:rPr/>
      </w:pPr>
      <w:r w:rsidDel="00000000" w:rsidR="00000000" w:rsidRPr="00000000">
        <w:rPr>
          <w:b w:val="1"/>
          <w:i w:val="1"/>
          <w:rtl w:val="0"/>
        </w:rPr>
        <w:t xml:space="preserve">4.h. Methods and guidance available to countries for the compilation of the data at the national level:</w:t>
      </w:r>
      <w:r w:rsidDel="00000000" w:rsidR="00000000" w:rsidRPr="00000000">
        <w:rPr>
          <w:rtl w:val="0"/>
        </w:rP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000000" w:rsidDel="00000000" w:rsidP="00000000" w:rsidRDefault="00000000" w:rsidRPr="00000000" w14:paraId="000000D7">
      <w:pPr>
        <w:rPr/>
      </w:pPr>
      <w:r w:rsidDel="00000000" w:rsidR="00000000" w:rsidRPr="00000000">
        <w:rPr>
          <w:b w:val="1"/>
          <w:i w:val="1"/>
          <w:rtl w:val="0"/>
        </w:rPr>
        <w:t xml:space="preserve">4.i. Quality management</w:t>
      </w:r>
      <w:r w:rsidDel="00000000" w:rsidR="00000000" w:rsidRPr="00000000">
        <w:rPr>
          <w:rtl w:val="0"/>
        </w:rPr>
        <w:t xml:space="preserve">: Description of systems and frameworks in place within an organisation to manage the quality of statistical products and processes.</w:t>
      </w:r>
    </w:p>
    <w:p w:rsidR="00000000" w:rsidDel="00000000" w:rsidP="00000000" w:rsidRDefault="00000000" w:rsidRPr="00000000" w14:paraId="000000D8">
      <w:pPr>
        <w:rPr/>
      </w:pPr>
      <w:r w:rsidDel="00000000" w:rsidR="00000000" w:rsidRPr="00000000">
        <w:rPr>
          <w:b w:val="1"/>
          <w:i w:val="1"/>
          <w:rtl w:val="0"/>
        </w:rPr>
        <w:t xml:space="preserve">4.j Quality assurance: </w:t>
      </w:r>
      <w:r w:rsidDel="00000000" w:rsidR="00000000" w:rsidRPr="00000000">
        <w:rPr>
          <w:rtl w:val="0"/>
        </w:rPr>
        <w:t xml:space="preserve">Description of practices and guidelines focusing on quality in general and dealing with quality of statistical programmes at your agency, including measures for ensuring the efficient use of resources.</w:t>
      </w:r>
    </w:p>
    <w:p w:rsidR="00000000" w:rsidDel="00000000" w:rsidP="00000000" w:rsidRDefault="00000000" w:rsidRPr="00000000" w14:paraId="000000D9">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4.k Quality assessment</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Description of overall evaluation of fulfilling quality requirements, based on standard quality criteria.</w:t>
      </w:r>
    </w:p>
    <w:p w:rsidR="00000000" w:rsidDel="00000000" w:rsidP="00000000" w:rsidRDefault="00000000" w:rsidRPr="00000000" w14:paraId="000000DA">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DB">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DC">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5. Data availability and disaggregation:</w:t>
      </w:r>
      <w:r w:rsidDel="00000000" w:rsidR="00000000" w:rsidRPr="00000000">
        <w:rPr>
          <w:rFonts w:ascii="Calibri" w:cs="Calibri" w:eastAsia="Calibri" w:hAnsi="Calibri"/>
          <w:b w:val="1"/>
          <w:i w:val="1"/>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000000" w:rsidDel="00000000" w:rsidP="00000000" w:rsidRDefault="00000000" w:rsidRPr="00000000" w14:paraId="000000DD">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DE">
      <w:pPr>
        <w:rPr/>
      </w:pPr>
      <w:r w:rsidDel="00000000" w:rsidR="00000000" w:rsidRPr="00000000">
        <w:rPr>
          <w:b w:val="1"/>
          <w:i w:val="1"/>
          <w:rtl w:val="0"/>
        </w:rPr>
        <w:t xml:space="preserve">6. Comparability / Deviation from international standards:</w:t>
      </w:r>
      <w:r w:rsidDel="00000000" w:rsidR="00000000" w:rsidRPr="00000000">
        <w:rPr>
          <w:rtl w:val="0"/>
        </w:rPr>
        <w:t xml:space="preserve"> Explanation on the differences between country produced and internationally estimated data on this indicator, highlighting and summarising the main sources of differences.</w:t>
      </w:r>
    </w:p>
    <w:p w:rsidR="00000000" w:rsidDel="00000000" w:rsidP="00000000" w:rsidRDefault="00000000" w:rsidRPr="00000000" w14:paraId="000000DF">
      <w:pPr>
        <w:rPr/>
      </w:pPr>
      <w:r w:rsidDel="00000000" w:rsidR="00000000" w:rsidRPr="00000000">
        <w:rPr>
          <w:b w:val="1"/>
          <w:i w:val="1"/>
          <w:rtl w:val="0"/>
        </w:rPr>
        <w:t xml:space="preserve">7. References and Documentation</w:t>
      </w:r>
      <w:r w:rsidDel="00000000" w:rsidR="00000000" w:rsidRPr="00000000">
        <w:rPr>
          <w:rtl w:val="0"/>
        </w:rPr>
        <w:t xml:space="preserve">: Descriptions and links to all relevant reference materials related to this indicator.</w:t>
      </w:r>
    </w:p>
    <w:bookmarkStart w:colFirst="0" w:colLast="0" w:name="bookmark=id.vlbu4yuv84im" w:id="13"/>
    <w:bookmarkEnd w:id="13"/>
    <w:p w:rsidR="00000000" w:rsidDel="00000000" w:rsidP="00000000" w:rsidRDefault="00000000" w:rsidRPr="00000000" w14:paraId="000000E0">
      <w:pPr>
        <w:keepNext w:val="0"/>
        <w:keepLines w:val="0"/>
        <w:pageBreakBefore w:val="0"/>
        <w:widowControl w:val="1"/>
        <w:pBdr>
          <w:top w:space="0" w:sz="0" w:val="nil"/>
          <w:left w:space="0" w:sz="0" w:val="nil"/>
          <w:bottom w:space="0" w:sz="0" w:val="nil"/>
          <w:right w:space="0" w:sz="0" w:val="nil"/>
          <w:between w:space="0" w:sz="0" w:val="nil"/>
        </w:pBdr>
        <w:shd w:fill="f5f5f5" w:val="clear"/>
        <w:spacing w:after="0" w:before="0" w:line="276" w:lineRule="auto"/>
        <w:ind w:left="0" w:right="0" w:firstLine="0"/>
        <w:jc w:val="left"/>
        <w:rPr>
          <w:rFonts w:ascii="Calibri" w:cs="Calibri" w:eastAsia="Calibri" w:hAnsi="Calibri"/>
          <w:b w:val="0"/>
          <w:i w:val="0"/>
          <w:smallCaps w:val="0"/>
          <w:strike w:val="0"/>
          <w:color w:val="1c75bc"/>
          <w:sz w:val="28"/>
          <w:szCs w:val="28"/>
          <w:u w:val="none"/>
          <w:shd w:fill="auto" w:val="clear"/>
          <w:vertAlign w:val="baseline"/>
        </w:rPr>
      </w:pPr>
      <w:bookmarkStart w:colFirst="0" w:colLast="0" w:name="_heading=h.6kiguik7j815" w:id="14"/>
      <w:bookmarkEnd w:id="14"/>
      <w:r w:rsidDel="00000000" w:rsidR="00000000" w:rsidRPr="00000000">
        <w:rPr>
          <w:rFonts w:ascii="Calibri" w:cs="Calibri" w:eastAsia="Calibri" w:hAnsi="Calibri"/>
          <w:b w:val="0"/>
          <w:i w:val="0"/>
          <w:smallCaps w:val="0"/>
          <w:strike w:val="0"/>
          <w:color w:val="1c75bc"/>
          <w:sz w:val="28"/>
          <w:szCs w:val="28"/>
          <w:u w:val="none"/>
          <w:shd w:fill="auto" w:val="clear"/>
          <w:vertAlign w:val="baseline"/>
          <w:rtl w:val="0"/>
        </w:rPr>
        <w:t xml:space="preserve">B. Mapping of SDMX Detailed Concepts to IAEG-SDG File Format</w:t>
      </w:r>
    </w:p>
    <w:p w:rsidR="00000000" w:rsidDel="00000000" w:rsidP="00000000" w:rsidRDefault="00000000" w:rsidRPr="00000000" w14:paraId="000000E1">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This is an aid to format the SDMX metadata concepts to the metadata submitted in the IAEG-SDG file format. In some cases, these headers and sections of the IAEG-SDG format do not correspond perfectly to the SDMX concepts. Consult the SDMX metadata concept definitions.</w:t>
      </w:r>
    </w:p>
    <w:p w:rsidR="00000000" w:rsidDel="00000000" w:rsidP="00000000" w:rsidRDefault="00000000" w:rsidRPr="00000000" w14:paraId="000000E2">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tbl>
      <w:tblPr>
        <w:tblStyle w:val="Table9"/>
        <w:tblW w:w="8542.0" w:type="dxa"/>
        <w:jc w:val="left"/>
        <w:tblBorders>
          <w:top w:color="000000" w:space="0" w:sz="4" w:val="single"/>
          <w:left w:color="000000" w:space="0" w:sz="4" w:val="single"/>
          <w:bottom w:color="000000" w:space="0" w:sz="4" w:val="single"/>
          <w:right w:color="000000" w:space="0" w:sz="4" w:val="single"/>
          <w:insideH w:color="000000" w:space="0" w:sz="4" w:val="single"/>
          <w:insideV w:color="000000" w:space="0" w:sz="4" w:val="single"/>
        </w:tblBorders>
        <w:tblLayout w:type="fixed"/>
        <w:tblLook w:val="0400"/>
      </w:tblPr>
      <w:tblGrid>
        <w:gridCol w:w="3232"/>
        <w:gridCol w:w="5310"/>
        <w:tblGridChange w:id="0">
          <w:tblGrid>
            <w:gridCol w:w="3232"/>
            <w:gridCol w:w="5310"/>
          </w:tblGrid>
        </w:tblGridChange>
      </w:tblGrid>
      <w:tr>
        <w:trPr>
          <w:cantSplit w:val="0"/>
          <w:trHeight w:val="300" w:hRule="atLeast"/>
          <w:tblHeader w:val="1"/>
        </w:trPr>
        <w:tc>
          <w:tcPr>
            <w:shd w:fill="bdd7ee" w:val="clear"/>
            <w:tcMar>
              <w:top w:w="0.0" w:type="dxa"/>
              <w:left w:w="45.0" w:type="dxa"/>
              <w:bottom w:w="0.0" w:type="dxa"/>
              <w:right w:w="45.0" w:type="dxa"/>
            </w:tcMar>
          </w:tcPr>
          <w:p w:rsidR="00000000" w:rsidDel="00000000" w:rsidP="00000000" w:rsidRDefault="00000000" w:rsidRPr="00000000" w14:paraId="000000E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Detailed Metadata Concept Name</w:t>
            </w:r>
          </w:p>
        </w:tc>
        <w:tc>
          <w:tcPr>
            <w:shd w:fill="bdd7ee" w:val="clear"/>
            <w:tcMar>
              <w:top w:w="0.0" w:type="dxa"/>
              <w:left w:w="45.0" w:type="dxa"/>
              <w:bottom w:w="0.0" w:type="dxa"/>
              <w:right w:w="45.0" w:type="dxa"/>
            </w:tcMar>
          </w:tcPr>
          <w:p w:rsidR="00000000" w:rsidDel="00000000" w:rsidP="00000000" w:rsidRDefault="00000000" w:rsidRPr="00000000" w14:paraId="000000E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IAEG-SDG Headers and Subheaders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E5">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0.a. Goal</w:t>
            </w:r>
          </w:p>
        </w:tc>
        <w:tc>
          <w:tcPr>
            <w:shd w:fill="e7e6e6" w:val="clear"/>
            <w:tcMar>
              <w:top w:w="0.0" w:type="dxa"/>
              <w:left w:w="45.0" w:type="dxa"/>
              <w:bottom w:w="0.0" w:type="dxa"/>
              <w:right w:w="45.0" w:type="dxa"/>
            </w:tcMar>
          </w:tcPr>
          <w:p w:rsidR="00000000" w:rsidDel="00000000" w:rsidP="00000000" w:rsidRDefault="00000000" w:rsidRPr="00000000" w14:paraId="000000E6">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Goal </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E7">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0.b. Target</w:t>
            </w:r>
          </w:p>
        </w:tc>
        <w:tc>
          <w:tcPr>
            <w:shd w:fill="e7e6e6" w:val="clear"/>
            <w:tcMar>
              <w:top w:w="0.0" w:type="dxa"/>
              <w:left w:w="45.0" w:type="dxa"/>
              <w:bottom w:w="0.0" w:type="dxa"/>
              <w:right w:w="45.0" w:type="dxa"/>
            </w:tcMar>
          </w:tcPr>
          <w:p w:rsidR="00000000" w:rsidDel="00000000" w:rsidP="00000000" w:rsidRDefault="00000000" w:rsidRPr="00000000" w14:paraId="000000E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Target </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E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0.c. Indicator</w:t>
            </w:r>
          </w:p>
        </w:tc>
        <w:tc>
          <w:tcPr>
            <w:shd w:fill="e7e6e6" w:val="clear"/>
            <w:tcMar>
              <w:top w:w="0.0" w:type="dxa"/>
              <w:left w:w="45.0" w:type="dxa"/>
              <w:bottom w:w="0.0" w:type="dxa"/>
              <w:right w:w="45.0" w:type="dxa"/>
            </w:tcMar>
          </w:tcPr>
          <w:p w:rsidR="00000000" w:rsidDel="00000000" w:rsidP="00000000" w:rsidRDefault="00000000" w:rsidRPr="00000000" w14:paraId="000000E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Indicator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E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0.d. Series</w:t>
            </w:r>
          </w:p>
        </w:tc>
        <w:tc>
          <w:tcPr>
            <w:shd w:fill="e7e6e6" w:val="clear"/>
            <w:tcMar>
              <w:top w:w="0.0" w:type="dxa"/>
              <w:left w:w="45.0" w:type="dxa"/>
              <w:bottom w:w="0.0" w:type="dxa"/>
              <w:right w:w="45.0" w:type="dxa"/>
            </w:tcMar>
          </w:tcPr>
          <w:p w:rsidR="00000000" w:rsidDel="00000000" w:rsidP="00000000" w:rsidRDefault="00000000" w:rsidRPr="00000000" w14:paraId="000000EC">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ED">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0.e. Metadata update</w:t>
            </w:r>
          </w:p>
        </w:tc>
        <w:tc>
          <w:tcPr>
            <w:shd w:fill="e7e6e6" w:val="clear"/>
            <w:tcMar>
              <w:top w:w="0.0" w:type="dxa"/>
              <w:left w:w="45.0" w:type="dxa"/>
              <w:bottom w:w="0.0" w:type="dxa"/>
              <w:right w:w="45.0" w:type="dxa"/>
            </w:tcMar>
          </w:tcPr>
          <w:p w:rsidR="00000000" w:rsidDel="00000000" w:rsidP="00000000" w:rsidRDefault="00000000" w:rsidRPr="00000000" w14:paraId="000000E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Last updated: [DATE]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EF">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0.f. Related indicators</w:t>
            </w:r>
          </w:p>
        </w:tc>
        <w:tc>
          <w:tcPr>
            <w:shd w:fill="e7e6e6" w:val="clear"/>
            <w:tcMar>
              <w:top w:w="0.0" w:type="dxa"/>
              <w:left w:w="45.0" w:type="dxa"/>
              <w:bottom w:w="0.0" w:type="dxa"/>
              <w:right w:w="45.0" w:type="dxa"/>
            </w:tcMar>
          </w:tcPr>
          <w:p w:rsidR="00000000" w:rsidDel="00000000" w:rsidP="00000000" w:rsidRDefault="00000000" w:rsidRPr="00000000" w14:paraId="000000F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Related indicators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0.g. International organisations(s) responsible for global monitoring</w:t>
            </w:r>
          </w:p>
        </w:tc>
        <w:tc>
          <w:tcPr>
            <w:shd w:fill="e7e6e6" w:val="clear"/>
            <w:tcMar>
              <w:top w:w="0.0" w:type="dxa"/>
              <w:left w:w="45.0" w:type="dxa"/>
              <w:bottom w:w="0.0" w:type="dxa"/>
              <w:right w:w="45.0" w:type="dxa"/>
            </w:tcMar>
          </w:tcPr>
          <w:p w:rsidR="00000000" w:rsidDel="00000000" w:rsidP="00000000" w:rsidRDefault="00000000" w:rsidRPr="00000000" w14:paraId="000000F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Institutional information</w:t>
              <w:br w:type="textWrapping"/>
              <w:t xml:space="preserve">Organization(s)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1.a. Organisation</w:t>
            </w:r>
          </w:p>
        </w:tc>
        <w:tc>
          <w:tcPr>
            <w:shd w:fill="e7e6e6" w:val="clear"/>
            <w:tcMar>
              <w:top w:w="0.0" w:type="dxa"/>
              <w:left w:w="45.0" w:type="dxa"/>
              <w:bottom w:w="0.0" w:type="dxa"/>
              <w:right w:w="45.0" w:type="dxa"/>
            </w:tcMar>
          </w:tcPr>
          <w:p w:rsidR="00000000" w:rsidDel="00000000" w:rsidP="00000000" w:rsidRDefault="00000000" w:rsidRPr="00000000" w14:paraId="000000F4">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5">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1.b. Contact person(s)</w:t>
            </w:r>
          </w:p>
        </w:tc>
        <w:tc>
          <w:tcPr>
            <w:shd w:fill="e7e6e6" w:val="clear"/>
            <w:tcMar>
              <w:top w:w="0.0" w:type="dxa"/>
              <w:left w:w="45.0" w:type="dxa"/>
              <w:bottom w:w="0.0" w:type="dxa"/>
              <w:right w:w="45.0" w:type="dxa"/>
            </w:tcMar>
          </w:tcPr>
          <w:p w:rsidR="00000000" w:rsidDel="00000000" w:rsidP="00000000" w:rsidRDefault="00000000" w:rsidRPr="00000000" w14:paraId="000000F6">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7">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1.c. Contact organisation unit</w:t>
            </w:r>
          </w:p>
        </w:tc>
        <w:tc>
          <w:tcPr>
            <w:shd w:fill="e7e6e6" w:val="clear"/>
            <w:tcMar>
              <w:top w:w="0.0" w:type="dxa"/>
              <w:left w:w="45.0" w:type="dxa"/>
              <w:bottom w:w="0.0" w:type="dxa"/>
              <w:right w:w="45.0" w:type="dxa"/>
            </w:tcMar>
          </w:tcPr>
          <w:p w:rsidR="00000000" w:rsidDel="00000000" w:rsidP="00000000" w:rsidRDefault="00000000" w:rsidRPr="00000000" w14:paraId="000000F8">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1.d. Contact person function</w:t>
            </w:r>
          </w:p>
        </w:tc>
        <w:tc>
          <w:tcPr>
            <w:shd w:fill="e7e6e6" w:val="clear"/>
            <w:tcMar>
              <w:top w:w="0.0" w:type="dxa"/>
              <w:left w:w="45.0" w:type="dxa"/>
              <w:bottom w:w="0.0" w:type="dxa"/>
              <w:right w:w="45.0" w:type="dxa"/>
            </w:tcMar>
          </w:tcPr>
          <w:p w:rsidR="00000000" w:rsidDel="00000000" w:rsidP="00000000" w:rsidRDefault="00000000" w:rsidRPr="00000000" w14:paraId="000000FA">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1.e. Contact phone</w:t>
            </w:r>
          </w:p>
        </w:tc>
        <w:tc>
          <w:tcPr>
            <w:shd w:fill="e7e6e6" w:val="clear"/>
            <w:tcMar>
              <w:top w:w="0.0" w:type="dxa"/>
              <w:left w:w="45.0" w:type="dxa"/>
              <w:bottom w:w="0.0" w:type="dxa"/>
              <w:right w:w="45.0" w:type="dxa"/>
            </w:tcMar>
          </w:tcPr>
          <w:p w:rsidR="00000000" w:rsidDel="00000000" w:rsidP="00000000" w:rsidRDefault="00000000" w:rsidRPr="00000000" w14:paraId="000000FC">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D">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1.f. Contact mail</w:t>
            </w:r>
          </w:p>
        </w:tc>
        <w:tc>
          <w:tcPr>
            <w:shd w:fill="e7e6e6" w:val="clear"/>
            <w:tcMar>
              <w:top w:w="0.0" w:type="dxa"/>
              <w:left w:w="45.0" w:type="dxa"/>
              <w:bottom w:w="0.0" w:type="dxa"/>
              <w:right w:w="45.0" w:type="dxa"/>
            </w:tcMar>
          </w:tcPr>
          <w:p w:rsidR="00000000" w:rsidDel="00000000" w:rsidP="00000000" w:rsidRDefault="00000000" w:rsidRPr="00000000" w14:paraId="000000FE">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F">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1.g. Contact emails</w:t>
            </w:r>
          </w:p>
        </w:tc>
        <w:tc>
          <w:tcPr>
            <w:shd w:fill="e7e6e6" w:val="clear"/>
            <w:tcMar>
              <w:top w:w="0.0" w:type="dxa"/>
              <w:left w:w="45.0" w:type="dxa"/>
              <w:bottom w:w="0.0" w:type="dxa"/>
              <w:right w:w="45.0" w:type="dxa"/>
            </w:tcMar>
          </w:tcPr>
          <w:p w:rsidR="00000000" w:rsidDel="00000000" w:rsidP="00000000" w:rsidRDefault="00000000" w:rsidRPr="00000000" w14:paraId="00000100">
            <w:pPr>
              <w:spacing w:after="0" w:line="240" w:lineRule="auto"/>
              <w:rPr>
                <w:rFonts w:ascii="Calibri" w:cs="Calibri" w:eastAsia="Calibri" w:hAnsi="Calibri"/>
              </w:rPr>
            </w:pPr>
            <w:r w:rsidDel="00000000" w:rsidR="00000000" w:rsidRPr="00000000">
              <w:rPr>
                <w:rtl w:val="0"/>
              </w:rPr>
            </w:r>
          </w:p>
        </w:tc>
      </w:tr>
      <w:tr>
        <w:trPr>
          <w:cantSplit w:val="0"/>
          <w:trHeight w:val="302"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2.a. Definition and concepts</w:t>
            </w:r>
          </w:p>
        </w:tc>
        <w:tc>
          <w:tcPr>
            <w:shd w:fill="e7e6e6" w:val="clear"/>
            <w:tcMar>
              <w:top w:w="0.0" w:type="dxa"/>
              <w:left w:w="45.0" w:type="dxa"/>
              <w:bottom w:w="0.0" w:type="dxa"/>
              <w:right w:w="45.0" w:type="dxa"/>
            </w:tcMar>
          </w:tcPr>
          <w:p w:rsidR="00000000" w:rsidDel="00000000" w:rsidP="00000000" w:rsidRDefault="00000000" w:rsidRPr="00000000" w14:paraId="0000010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Concepts and definitions</w:t>
              <w:br w:type="textWrapping"/>
              <w:t xml:space="preserve">Definition</w:t>
              <w:br w:type="textWrapping"/>
              <w:t xml:space="preserve">Concepts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2.b. Unit of measure</w:t>
            </w:r>
          </w:p>
        </w:tc>
        <w:tc>
          <w:tcPr>
            <w:shd w:fill="e7e6e6" w:val="clear"/>
            <w:tcMar>
              <w:top w:w="0.0" w:type="dxa"/>
              <w:left w:w="45.0" w:type="dxa"/>
              <w:bottom w:w="0.0" w:type="dxa"/>
              <w:right w:w="45.0" w:type="dxa"/>
            </w:tcMar>
          </w:tcPr>
          <w:p w:rsidR="00000000" w:rsidDel="00000000" w:rsidP="00000000" w:rsidRDefault="00000000" w:rsidRPr="00000000" w14:paraId="00000104">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5">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2.c. Classifications</w:t>
            </w:r>
          </w:p>
        </w:tc>
        <w:tc>
          <w:tcPr>
            <w:shd w:fill="e7e6e6" w:val="clear"/>
            <w:tcMar>
              <w:top w:w="0.0" w:type="dxa"/>
              <w:left w:w="45.0" w:type="dxa"/>
              <w:bottom w:w="0.0" w:type="dxa"/>
              <w:right w:w="45.0" w:type="dxa"/>
            </w:tcMar>
          </w:tcPr>
          <w:p w:rsidR="00000000" w:rsidDel="00000000" w:rsidP="00000000" w:rsidRDefault="00000000" w:rsidRPr="00000000" w14:paraId="00000106">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7">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3.a. Data sources</w:t>
            </w:r>
          </w:p>
        </w:tc>
        <w:tc>
          <w:tcPr>
            <w:shd w:fill="e7e6e6" w:val="clear"/>
            <w:tcMar>
              <w:top w:w="0.0" w:type="dxa"/>
              <w:left w:w="45.0" w:type="dxa"/>
              <w:bottom w:w="0.0" w:type="dxa"/>
              <w:right w:w="45.0" w:type="dxa"/>
            </w:tcMar>
          </w:tcPr>
          <w:p w:rsidR="00000000" w:rsidDel="00000000" w:rsidP="00000000" w:rsidRDefault="00000000" w:rsidRPr="00000000" w14:paraId="0000010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sources</w:t>
              <w:br w:type="textWrapping"/>
              <w:t xml:space="preserve">Description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3.b. Data collection method</w:t>
            </w:r>
          </w:p>
        </w:tc>
        <w:tc>
          <w:tcPr>
            <w:shd w:fill="e7e6e6" w:val="clear"/>
            <w:tcMar>
              <w:top w:w="0.0" w:type="dxa"/>
              <w:left w:w="45.0" w:type="dxa"/>
              <w:bottom w:w="0.0" w:type="dxa"/>
              <w:right w:w="45.0" w:type="dxa"/>
            </w:tcMar>
          </w:tcPr>
          <w:p w:rsidR="00000000" w:rsidDel="00000000" w:rsidP="00000000" w:rsidRDefault="00000000" w:rsidRPr="00000000" w14:paraId="0000010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Collection process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3.c. Data collection calendar</w:t>
            </w:r>
          </w:p>
        </w:tc>
        <w:tc>
          <w:tcPr>
            <w:shd w:fill="e7e6e6" w:val="clear"/>
            <w:tcMar>
              <w:top w:w="0.0" w:type="dxa"/>
              <w:left w:w="45.0" w:type="dxa"/>
              <w:bottom w:w="0.0" w:type="dxa"/>
              <w:right w:w="45.0" w:type="dxa"/>
            </w:tcMar>
          </w:tcPr>
          <w:p w:rsidR="00000000" w:rsidDel="00000000" w:rsidP="00000000" w:rsidRDefault="00000000" w:rsidRPr="00000000" w14:paraId="0000010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Calendar</w:t>
              <w:br w:type="textWrapping"/>
              <w:t xml:space="preserve">Data collection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D">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3.d. Data release calendar</w:t>
            </w:r>
          </w:p>
        </w:tc>
        <w:tc>
          <w:tcPr>
            <w:shd w:fill="e7e6e6" w:val="clear"/>
            <w:tcMar>
              <w:top w:w="0.0" w:type="dxa"/>
              <w:left w:w="45.0" w:type="dxa"/>
              <w:bottom w:w="0.0" w:type="dxa"/>
              <w:right w:w="45.0" w:type="dxa"/>
            </w:tcMar>
          </w:tcPr>
          <w:p w:rsidR="00000000" w:rsidDel="00000000" w:rsidP="00000000" w:rsidRDefault="00000000" w:rsidRPr="00000000" w14:paraId="0000010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release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F">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3.e. Data providers</w:t>
            </w:r>
          </w:p>
        </w:tc>
        <w:tc>
          <w:tcPr>
            <w:shd w:fill="e7e6e6" w:val="clear"/>
            <w:tcMar>
              <w:top w:w="0.0" w:type="dxa"/>
              <w:left w:w="45.0" w:type="dxa"/>
              <w:bottom w:w="0.0" w:type="dxa"/>
              <w:right w:w="45.0" w:type="dxa"/>
            </w:tcMar>
          </w:tcPr>
          <w:p w:rsidR="00000000" w:rsidDel="00000000" w:rsidP="00000000" w:rsidRDefault="00000000" w:rsidRPr="00000000" w14:paraId="0000011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providers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3.f. Data compilers</w:t>
            </w:r>
          </w:p>
        </w:tc>
        <w:tc>
          <w:tcPr>
            <w:shd w:fill="e7e6e6" w:val="clear"/>
            <w:tcMar>
              <w:top w:w="0.0" w:type="dxa"/>
              <w:left w:w="45.0" w:type="dxa"/>
              <w:bottom w:w="0.0" w:type="dxa"/>
              <w:right w:w="45.0" w:type="dxa"/>
            </w:tcMar>
          </w:tcPr>
          <w:p w:rsidR="00000000" w:rsidDel="00000000" w:rsidP="00000000" w:rsidRDefault="00000000" w:rsidRPr="00000000" w14:paraId="0000011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compilers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3.g. Institutional mandate</w:t>
            </w:r>
          </w:p>
        </w:tc>
        <w:tc>
          <w:tcPr>
            <w:shd w:fill="e7e6e6" w:val="clear"/>
            <w:tcMar>
              <w:top w:w="0.0" w:type="dxa"/>
              <w:left w:w="45.0" w:type="dxa"/>
              <w:bottom w:w="0.0" w:type="dxa"/>
              <w:right w:w="45.0" w:type="dxa"/>
            </w:tcMar>
          </w:tcPr>
          <w:p w:rsidR="00000000" w:rsidDel="00000000" w:rsidP="00000000" w:rsidRDefault="00000000" w:rsidRPr="00000000" w14:paraId="00000114">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5">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4.a. Rationale</w:t>
            </w:r>
          </w:p>
        </w:tc>
        <w:tc>
          <w:tcPr>
            <w:shd w:fill="e7e6e6" w:val="clear"/>
            <w:tcMar>
              <w:top w:w="0.0" w:type="dxa"/>
              <w:left w:w="45.0" w:type="dxa"/>
              <w:bottom w:w="0.0" w:type="dxa"/>
              <w:right w:w="45.0" w:type="dxa"/>
            </w:tcMar>
          </w:tcPr>
          <w:p w:rsidR="00000000" w:rsidDel="00000000" w:rsidP="00000000" w:rsidRDefault="00000000" w:rsidRPr="00000000" w14:paraId="00000116">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Rationale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7">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4.b. Comment and limitations</w:t>
            </w:r>
          </w:p>
        </w:tc>
        <w:tc>
          <w:tcPr>
            <w:shd w:fill="e7e6e6" w:val="clear"/>
            <w:tcMar>
              <w:top w:w="0.0" w:type="dxa"/>
              <w:left w:w="45.0" w:type="dxa"/>
              <w:bottom w:w="0.0" w:type="dxa"/>
              <w:right w:w="45.0" w:type="dxa"/>
            </w:tcMar>
          </w:tcPr>
          <w:p w:rsidR="00000000" w:rsidDel="00000000" w:rsidP="00000000" w:rsidRDefault="00000000" w:rsidRPr="00000000" w14:paraId="0000011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Comments and limitations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4.c. Method of computation</w:t>
            </w:r>
          </w:p>
        </w:tc>
        <w:tc>
          <w:tcPr>
            <w:shd w:fill="e7e6e6" w:val="clear"/>
            <w:tcMar>
              <w:top w:w="0.0" w:type="dxa"/>
              <w:left w:w="45.0" w:type="dxa"/>
              <w:bottom w:w="0.0" w:type="dxa"/>
              <w:right w:w="45.0" w:type="dxa"/>
            </w:tcMar>
          </w:tcPr>
          <w:p w:rsidR="00000000" w:rsidDel="00000000" w:rsidP="00000000" w:rsidRDefault="00000000" w:rsidRPr="00000000" w14:paraId="0000011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Methodology</w:t>
              <w:br w:type="textWrapping"/>
              <w:t xml:space="preserve">Computation method</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4.d. Validation</w:t>
            </w:r>
          </w:p>
        </w:tc>
        <w:tc>
          <w:tcPr>
            <w:shd w:fill="e7e6e6" w:val="clear"/>
            <w:tcMar>
              <w:top w:w="0.0" w:type="dxa"/>
              <w:left w:w="45.0" w:type="dxa"/>
              <w:bottom w:w="0.0" w:type="dxa"/>
              <w:right w:w="45.0" w:type="dxa"/>
            </w:tcMar>
          </w:tcPr>
          <w:p w:rsidR="00000000" w:rsidDel="00000000" w:rsidP="00000000" w:rsidRDefault="00000000" w:rsidRPr="00000000" w14:paraId="0000011C">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D">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4.e. Adjustments</w:t>
            </w:r>
          </w:p>
        </w:tc>
        <w:tc>
          <w:tcPr>
            <w:shd w:fill="e7e6e6" w:val="clear"/>
            <w:tcMar>
              <w:top w:w="0.0" w:type="dxa"/>
              <w:left w:w="45.0" w:type="dxa"/>
              <w:bottom w:w="0.0" w:type="dxa"/>
              <w:right w:w="45.0" w:type="dxa"/>
            </w:tcMar>
          </w:tcPr>
          <w:p w:rsidR="00000000" w:rsidDel="00000000" w:rsidP="00000000" w:rsidRDefault="00000000" w:rsidRPr="00000000" w14:paraId="0000011E">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F">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4.f. Treatment of missing values (i) at country level and (ii) at regional level.</w:t>
            </w:r>
          </w:p>
        </w:tc>
        <w:tc>
          <w:tcPr>
            <w:shd w:fill="e7e6e6" w:val="clear"/>
            <w:tcMar>
              <w:top w:w="0.0" w:type="dxa"/>
              <w:left w:w="45.0" w:type="dxa"/>
              <w:bottom w:w="0.0" w:type="dxa"/>
              <w:right w:w="45.0" w:type="dxa"/>
            </w:tcMar>
          </w:tcPr>
          <w:p w:rsidR="00000000" w:rsidDel="00000000" w:rsidP="00000000" w:rsidRDefault="00000000" w:rsidRPr="00000000" w14:paraId="0000012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Treatment of missing values</w:t>
              <w:br w:type="textWrapping"/>
              <w:t xml:space="preserve">* At country level: </w:t>
              <w:br w:type="textWrapping"/>
              <w:t xml:space="preserve">* At regional or global levels: </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4.g. Regional aggregations</w:t>
            </w:r>
          </w:p>
        </w:tc>
        <w:tc>
          <w:tcPr>
            <w:shd w:fill="e7e6e6" w:val="clear"/>
            <w:tcMar>
              <w:top w:w="0.0" w:type="dxa"/>
              <w:left w:w="45.0" w:type="dxa"/>
              <w:bottom w:w="0.0" w:type="dxa"/>
              <w:right w:w="45.0" w:type="dxa"/>
            </w:tcMar>
          </w:tcPr>
          <w:p w:rsidR="00000000" w:rsidDel="00000000" w:rsidP="00000000" w:rsidRDefault="00000000" w:rsidRPr="00000000" w14:paraId="0000012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Regional aggregates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4.h. Methods and guidance available to countries for the compilation of the data at the national level</w:t>
            </w:r>
          </w:p>
        </w:tc>
        <w:tc>
          <w:tcPr>
            <w:shd w:fill="e7e6e6" w:val="clear"/>
            <w:tcMar>
              <w:top w:w="0.0" w:type="dxa"/>
              <w:left w:w="45.0" w:type="dxa"/>
              <w:bottom w:w="0.0" w:type="dxa"/>
              <w:right w:w="45.0" w:type="dxa"/>
            </w:tcMar>
          </w:tcPr>
          <w:p w:rsidR="00000000" w:rsidDel="00000000" w:rsidP="00000000" w:rsidRDefault="00000000" w:rsidRPr="00000000" w14:paraId="00000124">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Methods and guidance available to countries for the compilation of the data at the national level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5">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4.i Quality management</w:t>
            </w:r>
          </w:p>
        </w:tc>
        <w:tc>
          <w:tcPr>
            <w:shd w:fill="e7e6e6" w:val="clear"/>
            <w:tcMar>
              <w:top w:w="0.0" w:type="dxa"/>
              <w:left w:w="45.0" w:type="dxa"/>
              <w:bottom w:w="0.0" w:type="dxa"/>
              <w:right w:w="45.0" w:type="dxa"/>
            </w:tcMar>
          </w:tcPr>
          <w:p w:rsidR="00000000" w:rsidDel="00000000" w:rsidP="00000000" w:rsidRDefault="00000000" w:rsidRPr="00000000" w14:paraId="00000126">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7">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4.j Quality assurance</w:t>
            </w:r>
          </w:p>
        </w:tc>
        <w:tc>
          <w:tcPr>
            <w:shd w:fill="e7e6e6" w:val="clear"/>
            <w:tcMar>
              <w:top w:w="0.0" w:type="dxa"/>
              <w:left w:w="45.0" w:type="dxa"/>
              <w:bottom w:w="0.0" w:type="dxa"/>
              <w:right w:w="45.0" w:type="dxa"/>
            </w:tcMar>
          </w:tcPr>
          <w:p w:rsidR="00000000" w:rsidDel="00000000" w:rsidP="00000000" w:rsidRDefault="00000000" w:rsidRPr="00000000" w14:paraId="0000012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Quality assurance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4.k Quality assessment</w:t>
            </w:r>
          </w:p>
        </w:tc>
        <w:tc>
          <w:tcPr>
            <w:shd w:fill="e7e6e6" w:val="clear"/>
            <w:tcMar>
              <w:top w:w="0.0" w:type="dxa"/>
              <w:left w:w="45.0" w:type="dxa"/>
              <w:bottom w:w="0.0" w:type="dxa"/>
              <w:right w:w="45.0" w:type="dxa"/>
            </w:tcMar>
          </w:tcPr>
          <w:p w:rsidR="00000000" w:rsidDel="00000000" w:rsidP="00000000" w:rsidRDefault="00000000" w:rsidRPr="00000000" w14:paraId="0000012A">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5. Data availability and disaggregation</w:t>
            </w:r>
          </w:p>
        </w:tc>
        <w:tc>
          <w:tcPr>
            <w:shd w:fill="e7e6e6" w:val="clear"/>
            <w:tcMar>
              <w:top w:w="0.0" w:type="dxa"/>
              <w:left w:w="45.0" w:type="dxa"/>
              <w:bottom w:w="0.0" w:type="dxa"/>
              <w:right w:w="45.0" w:type="dxa"/>
            </w:tcMar>
          </w:tcPr>
          <w:p w:rsidR="00000000" w:rsidDel="00000000" w:rsidP="00000000" w:rsidRDefault="00000000" w:rsidRPr="00000000" w14:paraId="0000012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availability</w:t>
              <w:br w:type="textWrapping"/>
              <w:t xml:space="preserve">Disaggregation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D">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6. Comparability / Deviation from international standards</w:t>
            </w:r>
          </w:p>
        </w:tc>
        <w:tc>
          <w:tcPr>
            <w:shd w:fill="e7e6e6" w:val="clear"/>
            <w:tcMar>
              <w:top w:w="0.0" w:type="dxa"/>
              <w:left w:w="45.0" w:type="dxa"/>
              <w:bottom w:w="0.0" w:type="dxa"/>
              <w:right w:w="45.0" w:type="dxa"/>
            </w:tcMar>
          </w:tcPr>
          <w:p w:rsidR="00000000" w:rsidDel="00000000" w:rsidP="00000000" w:rsidRDefault="00000000" w:rsidRPr="00000000" w14:paraId="0000012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Sources of discrepancies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F">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7. References and Documentation</w:t>
            </w:r>
          </w:p>
        </w:tc>
        <w:tc>
          <w:tcPr>
            <w:shd w:fill="e7e6e6" w:val="clear"/>
            <w:tcMar>
              <w:top w:w="0.0" w:type="dxa"/>
              <w:left w:w="45.0" w:type="dxa"/>
              <w:bottom w:w="0.0" w:type="dxa"/>
              <w:right w:w="45.0" w:type="dxa"/>
            </w:tcMar>
          </w:tcPr>
          <w:p w:rsidR="00000000" w:rsidDel="00000000" w:rsidP="00000000" w:rsidRDefault="00000000" w:rsidRPr="00000000" w14:paraId="0000013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References</w:t>
              <w:br w:type="textWrapping"/>
              <w:t xml:space="preserve">URL</w:t>
              <w:br w:type="textWrapping"/>
              <w:t xml:space="preserve">References</w:t>
            </w:r>
          </w:p>
        </w:tc>
      </w:tr>
    </w:tbl>
    <w:p w:rsidR="00000000" w:rsidDel="00000000" w:rsidP="00000000" w:rsidRDefault="00000000" w:rsidRPr="00000000" w14:paraId="00000131">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p w:rsidR="00000000" w:rsidDel="00000000" w:rsidP="00000000" w:rsidRDefault="00000000" w:rsidRPr="00000000" w14:paraId="00000132">
      <w:pPr>
        <w:keepNext w:val="0"/>
        <w:keepLines w:val="0"/>
        <w:pageBreakBefore w:val="0"/>
        <w:widowControl w:val="1"/>
        <w:pBdr>
          <w:top w:space="0" w:sz="0" w:val="nil"/>
          <w:left w:space="0" w:sz="0" w:val="nil"/>
          <w:bottom w:space="0" w:sz="0" w:val="nil"/>
          <w:right w:space="0" w:sz="0" w:val="nil"/>
          <w:between w:space="0" w:sz="0" w:val="nil"/>
        </w:pBdr>
        <w:shd w:fill="f5f5f5" w:val="clear"/>
        <w:spacing w:after="0" w:before="0" w:line="276" w:lineRule="auto"/>
        <w:ind w:left="0" w:right="0" w:firstLine="0"/>
        <w:jc w:val="left"/>
        <w:rPr>
          <w:rFonts w:ascii="Calibri" w:cs="Calibri" w:eastAsia="Calibri" w:hAnsi="Calibri"/>
          <w:b w:val="0"/>
          <w:i w:val="0"/>
          <w:smallCaps w:val="0"/>
          <w:strike w:val="0"/>
          <w:color w:val="1c75bc"/>
          <w:sz w:val="28"/>
          <w:szCs w:val="28"/>
          <w:u w:val="none"/>
          <w:shd w:fill="auto" w:val="clear"/>
          <w:vertAlign w:val="baseline"/>
        </w:rPr>
      </w:pPr>
      <w:bookmarkStart w:colFirst="0" w:colLast="0" w:name="_heading=h.mj5z9kohg2wj" w:id="15"/>
      <w:bookmarkEnd w:id="15"/>
      <w:r w:rsidDel="00000000" w:rsidR="00000000" w:rsidRPr="00000000">
        <w:rPr>
          <w:rFonts w:ascii="Calibri" w:cs="Calibri" w:eastAsia="Calibri" w:hAnsi="Calibri"/>
          <w:b w:val="0"/>
          <w:i w:val="0"/>
          <w:smallCaps w:val="0"/>
          <w:strike w:val="0"/>
          <w:color w:val="1c75bc"/>
          <w:sz w:val="28"/>
          <w:szCs w:val="28"/>
          <w:u w:val="none"/>
          <w:shd w:fill="auto" w:val="clear"/>
          <w:vertAlign w:val="baseline"/>
          <w:rtl w:val="0"/>
        </w:rPr>
        <w:t xml:space="preserve">C. Mapping of IAEG-SDG File Format to SDMX Detailed Concepts</w:t>
      </w:r>
    </w:p>
    <w:p w:rsidR="00000000" w:rsidDel="00000000" w:rsidP="00000000" w:rsidRDefault="00000000" w:rsidRPr="00000000" w14:paraId="00000133">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rsidR="00000000" w:rsidDel="00000000" w:rsidP="00000000" w:rsidRDefault="00000000" w:rsidRPr="00000000" w14:paraId="00000134">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tbl>
      <w:tblPr>
        <w:tblStyle w:val="Table10"/>
        <w:tblpPr w:leftFromText="180" w:rightFromText="180" w:topFromText="0" w:bottomFromText="0" w:vertAnchor="text" w:horzAnchor="text" w:tblpX="0" w:tblpY="1"/>
        <w:tblW w:w="8550.0" w:type="dxa"/>
        <w:jc w:val="left"/>
        <w:tblBorders>
          <w:top w:color="000000" w:space="0" w:sz="4" w:val="single"/>
          <w:left w:color="000000" w:space="0" w:sz="4" w:val="single"/>
          <w:bottom w:color="000000" w:space="0" w:sz="4" w:val="single"/>
          <w:right w:color="000000" w:space="0" w:sz="4" w:val="single"/>
          <w:insideH w:color="000000" w:space="0" w:sz="4" w:val="single"/>
          <w:insideV w:color="000000" w:space="0" w:sz="4" w:val="single"/>
        </w:tblBorders>
        <w:tblLayout w:type="fixed"/>
        <w:tblLook w:val="0400"/>
      </w:tblPr>
      <w:tblGrid>
        <w:gridCol w:w="4140"/>
        <w:gridCol w:w="4410"/>
        <w:tblGridChange w:id="0">
          <w:tblGrid>
            <w:gridCol w:w="4140"/>
            <w:gridCol w:w="4410"/>
          </w:tblGrid>
        </w:tblGridChange>
      </w:tblGrid>
      <w:tr>
        <w:trPr>
          <w:cantSplit w:val="0"/>
          <w:trHeight w:val="300" w:hRule="atLeast"/>
          <w:tblHeader w:val="0"/>
        </w:trPr>
        <w:tc>
          <w:tcPr>
            <w:shd w:fill="bdd7ee" w:val="clear"/>
            <w:tcMar>
              <w:top w:w="0.0" w:type="dxa"/>
              <w:left w:w="45.0" w:type="dxa"/>
              <w:bottom w:w="0.0" w:type="dxa"/>
              <w:right w:w="45.0" w:type="dxa"/>
            </w:tcMar>
          </w:tcPr>
          <w:p w:rsidR="00000000" w:rsidDel="00000000" w:rsidP="00000000" w:rsidRDefault="00000000" w:rsidRPr="00000000" w14:paraId="0000013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IAEG-SDG Headers and Subheaders</w:t>
            </w:r>
          </w:p>
        </w:tc>
        <w:tc>
          <w:tcPr>
            <w:shd w:fill="bdd7ee" w:val="clear"/>
          </w:tcPr>
          <w:p w:rsidR="00000000" w:rsidDel="00000000" w:rsidP="00000000" w:rsidRDefault="00000000" w:rsidRPr="00000000" w14:paraId="0000013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Detailed Metadata Concept Name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Last updated: [DATE]</w:t>
            </w:r>
          </w:p>
        </w:tc>
        <w:tc>
          <w:tcPr>
            <w:shd w:fill="e7e6e6" w:val="clear"/>
          </w:tcPr>
          <w:p w:rsidR="00000000" w:rsidDel="00000000" w:rsidP="00000000" w:rsidRDefault="00000000" w:rsidRPr="00000000" w14:paraId="0000013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0.e. Metadata update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Goal </w:t>
            </w:r>
          </w:p>
        </w:tc>
        <w:tc>
          <w:tcPr>
            <w:shd w:fill="e7e6e6" w:val="clear"/>
          </w:tcPr>
          <w:p w:rsidR="00000000" w:rsidDel="00000000" w:rsidP="00000000" w:rsidRDefault="00000000" w:rsidRPr="00000000" w14:paraId="0000013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0.a. Goal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Target </w:t>
            </w:r>
          </w:p>
        </w:tc>
        <w:tc>
          <w:tcPr>
            <w:shd w:fill="e7e6e6" w:val="clear"/>
          </w:tcPr>
          <w:p w:rsidR="00000000" w:rsidDel="00000000" w:rsidP="00000000" w:rsidRDefault="00000000" w:rsidRPr="00000000" w14:paraId="0000013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0.b. Target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D">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Indicator</w:t>
            </w:r>
          </w:p>
        </w:tc>
        <w:tc>
          <w:tcPr>
            <w:shd w:fill="e7e6e6" w:val="clear"/>
          </w:tcPr>
          <w:p w:rsidR="00000000" w:rsidDel="00000000" w:rsidP="00000000" w:rsidRDefault="00000000" w:rsidRPr="00000000" w14:paraId="0000013E">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0.c. Indicator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F">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4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0.d. Series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Institutional information</w:t>
              <w:br w:type="textWrapping"/>
              <w:t xml:space="preserve">Organization(s)</w:t>
            </w:r>
          </w:p>
        </w:tc>
        <w:tc>
          <w:tcPr>
            <w:shd w:fill="e7e6e6" w:val="clear"/>
          </w:tcPr>
          <w:p w:rsidR="00000000" w:rsidDel="00000000" w:rsidP="00000000" w:rsidRDefault="00000000" w:rsidRPr="00000000" w14:paraId="0000014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0.g. International organisations(s) responsible for global monitoring</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3">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4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1.a. Organisation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5">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4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1.b. Contact person(s)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7">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4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1.c. Contact organisation unit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9">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4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1.d. Contact person function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B">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4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1.e. Contact phone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D">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4E">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1.f. Contact mail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F">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1.g. Contact emails</w:t>
            </w:r>
          </w:p>
        </w:tc>
      </w:tr>
      <w:tr>
        <w:trPr>
          <w:cantSplit w:val="0"/>
          <w:trHeight w:val="302"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Concepts and definitions</w:t>
              <w:br w:type="textWrapping"/>
              <w:t xml:space="preserve">Definition</w:t>
              <w:br w:type="textWrapping"/>
              <w:t xml:space="preserve">Concepts</w:t>
            </w:r>
          </w:p>
        </w:tc>
        <w:tc>
          <w:tcPr>
            <w:shd w:fill="e7e6e6" w:val="clear"/>
          </w:tcPr>
          <w:p w:rsidR="00000000" w:rsidDel="00000000" w:rsidP="00000000" w:rsidRDefault="00000000" w:rsidRPr="00000000" w14:paraId="0000015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2.a. Definition and concepts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3">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2.b. Unit of measure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5">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2.c. Classifications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Rationale</w:t>
            </w:r>
          </w:p>
        </w:tc>
        <w:tc>
          <w:tcPr>
            <w:shd w:fill="e7e6e6" w:val="clear"/>
          </w:tcPr>
          <w:p w:rsidR="00000000" w:rsidDel="00000000" w:rsidP="00000000" w:rsidRDefault="00000000" w:rsidRPr="00000000" w14:paraId="0000015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4.a. Rationale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Comments and limitations</w:t>
            </w:r>
          </w:p>
        </w:tc>
        <w:tc>
          <w:tcPr>
            <w:shd w:fill="e7e6e6" w:val="clear"/>
          </w:tcPr>
          <w:p w:rsidR="00000000" w:rsidDel="00000000" w:rsidP="00000000" w:rsidRDefault="00000000" w:rsidRPr="00000000" w14:paraId="0000015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4.b. Comment and limitations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Methodology</w:t>
              <w:br w:type="textWrapping"/>
              <w:t xml:space="preserve">Computation method</w:t>
            </w:r>
          </w:p>
        </w:tc>
        <w:tc>
          <w:tcPr>
            <w:shd w:fill="e7e6e6" w:val="clear"/>
          </w:tcPr>
          <w:p w:rsidR="00000000" w:rsidDel="00000000" w:rsidP="00000000" w:rsidRDefault="00000000" w:rsidRPr="00000000" w14:paraId="0000015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4.c. Method of computation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D">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E">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4.d. Validation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F">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6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4.e. Adjustments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Treatment of missing values</w:t>
              <w:br w:type="textWrapping"/>
              <w:t xml:space="preserve">* At country level: </w:t>
              <w:br w:type="textWrapping"/>
              <w:t xml:space="preserve">* At regional or global levels: </w:t>
            </w:r>
          </w:p>
        </w:tc>
        <w:tc>
          <w:tcPr>
            <w:shd w:fill="e7e6e6" w:val="clear"/>
          </w:tcPr>
          <w:p w:rsidR="00000000" w:rsidDel="00000000" w:rsidP="00000000" w:rsidRDefault="00000000" w:rsidRPr="00000000" w14:paraId="0000016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4.f. Treatment of missing values (i) at country level and (ii) at regional level.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Regional aggregates</w:t>
            </w:r>
          </w:p>
        </w:tc>
        <w:tc>
          <w:tcPr>
            <w:shd w:fill="e7e6e6" w:val="clear"/>
          </w:tcPr>
          <w:p w:rsidR="00000000" w:rsidDel="00000000" w:rsidP="00000000" w:rsidRDefault="00000000" w:rsidRPr="00000000" w14:paraId="0000016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4.g. Regional aggregations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Sources of discrepancies</w:t>
            </w:r>
          </w:p>
        </w:tc>
        <w:tc>
          <w:tcPr>
            <w:shd w:fill="e7e6e6" w:val="clear"/>
          </w:tcPr>
          <w:p w:rsidR="00000000" w:rsidDel="00000000" w:rsidP="00000000" w:rsidRDefault="00000000" w:rsidRPr="00000000" w14:paraId="0000016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6. Comparability / Deviation from international standards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Methods and guidance available to countries for the compilation of the data at the national level</w:t>
            </w:r>
          </w:p>
        </w:tc>
        <w:tc>
          <w:tcPr>
            <w:shd w:fill="e7e6e6" w:val="clear"/>
          </w:tcPr>
          <w:p w:rsidR="00000000" w:rsidDel="00000000" w:rsidP="00000000" w:rsidRDefault="00000000" w:rsidRPr="00000000" w14:paraId="0000016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4.h. Methods and guidance available to countries for the compilation of the data at the national level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9">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6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4.i. Quality management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Quality assurance</w:t>
            </w:r>
          </w:p>
        </w:tc>
        <w:tc>
          <w:tcPr>
            <w:shd w:fill="e7e6e6" w:val="clear"/>
          </w:tcPr>
          <w:p w:rsidR="00000000" w:rsidDel="00000000" w:rsidP="00000000" w:rsidRDefault="00000000" w:rsidRPr="00000000" w14:paraId="0000016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4.j. Quality assurance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D">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6E">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4.k. Quality assessment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sources</w:t>
              <w:br w:type="textWrapping"/>
              <w:t xml:space="preserve">Description</w:t>
            </w:r>
          </w:p>
        </w:tc>
        <w:tc>
          <w:tcPr>
            <w:shd w:fill="e7e6e6" w:val="clear"/>
          </w:tcPr>
          <w:p w:rsidR="00000000" w:rsidDel="00000000" w:rsidP="00000000" w:rsidRDefault="00000000" w:rsidRPr="00000000" w14:paraId="0000017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3.a. Data sources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Collection process</w:t>
            </w:r>
          </w:p>
        </w:tc>
        <w:tc>
          <w:tcPr>
            <w:shd w:fill="e7e6e6" w:val="clear"/>
          </w:tcPr>
          <w:p w:rsidR="00000000" w:rsidDel="00000000" w:rsidP="00000000" w:rsidRDefault="00000000" w:rsidRPr="00000000" w14:paraId="0000017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3.b. Data collection method</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availability</w:t>
              <w:br w:type="textWrapping"/>
              <w:t xml:space="preserve">Disaggregation</w:t>
            </w:r>
          </w:p>
        </w:tc>
        <w:tc>
          <w:tcPr>
            <w:shd w:fill="e7e6e6" w:val="clear"/>
          </w:tcPr>
          <w:p w:rsidR="00000000" w:rsidDel="00000000" w:rsidP="00000000" w:rsidRDefault="00000000" w:rsidRPr="00000000" w14:paraId="0000017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5. Data availability and disaggregation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Calendar</w:t>
              <w:br w:type="textWrapping"/>
              <w:t xml:space="preserve">Data collection</w:t>
            </w:r>
          </w:p>
        </w:tc>
        <w:tc>
          <w:tcPr>
            <w:shd w:fill="e7e6e6" w:val="clear"/>
          </w:tcPr>
          <w:p w:rsidR="00000000" w:rsidDel="00000000" w:rsidP="00000000" w:rsidRDefault="00000000" w:rsidRPr="00000000" w14:paraId="0000017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3.c. Data collection calendar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release</w:t>
            </w:r>
          </w:p>
        </w:tc>
        <w:tc>
          <w:tcPr>
            <w:shd w:fill="e7e6e6" w:val="clear"/>
          </w:tcPr>
          <w:p w:rsidR="00000000" w:rsidDel="00000000" w:rsidP="00000000" w:rsidRDefault="00000000" w:rsidRPr="00000000" w14:paraId="0000017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3.d. Data release calendar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providers</w:t>
            </w:r>
          </w:p>
        </w:tc>
        <w:tc>
          <w:tcPr>
            <w:shd w:fill="e7e6e6" w:val="clear"/>
          </w:tcPr>
          <w:p w:rsidR="00000000" w:rsidDel="00000000" w:rsidP="00000000" w:rsidRDefault="00000000" w:rsidRPr="00000000" w14:paraId="0000017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3.e. Data providers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compilers</w:t>
            </w:r>
          </w:p>
        </w:tc>
        <w:tc>
          <w:tcPr>
            <w:shd w:fill="e7e6e6" w:val="clear"/>
          </w:tcPr>
          <w:p w:rsidR="00000000" w:rsidDel="00000000" w:rsidP="00000000" w:rsidRDefault="00000000" w:rsidRPr="00000000" w14:paraId="0000017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3.f. Data compilers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D">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7E">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3.g. Institutional mandate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References</w:t>
              <w:br w:type="textWrapping"/>
              <w:t xml:space="preserve">URL</w:t>
              <w:br w:type="textWrapping"/>
              <w:t xml:space="preserve">References</w:t>
            </w:r>
          </w:p>
        </w:tc>
        <w:tc>
          <w:tcPr>
            <w:shd w:fill="e7e6e6" w:val="clear"/>
          </w:tcPr>
          <w:p w:rsidR="00000000" w:rsidDel="00000000" w:rsidP="00000000" w:rsidRDefault="00000000" w:rsidRPr="00000000" w14:paraId="0000018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7. References and Documentation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Related indicators</w:t>
            </w:r>
          </w:p>
        </w:tc>
        <w:tc>
          <w:tcPr>
            <w:shd w:fill="e7e6e6" w:val="clear"/>
          </w:tcPr>
          <w:p w:rsidR="00000000" w:rsidDel="00000000" w:rsidP="00000000" w:rsidRDefault="00000000" w:rsidRPr="00000000" w14:paraId="0000018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0.f. Related indicators</w:t>
            </w:r>
          </w:p>
        </w:tc>
      </w:tr>
    </w:tbl>
    <w:p w:rsidR="00000000" w:rsidDel="00000000" w:rsidP="00000000" w:rsidRDefault="00000000" w:rsidRPr="00000000" w14:paraId="00000183">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sectPr>
      <w:footerReference r:id="rId13" w:type="default"/>
      <w:footerReference r:id="rId14" w:type="first"/>
      <w:pgSz w:h="15840" w:w="12240" w:orient="portrait"/>
      <w:pgMar w:bottom="1440" w:top="1440" w:left="1440" w:right="1440" w:header="720" w:footer="720"/>
      <w:pgNumType w:start="1"/>
      <w:titlePg w:val="1"/>
    </w:sectPr>
  </w:body>
</w:document>
</file>

<file path=word/fontTable.xml><?xml version="1.0" encoding="utf-8"?>
<w:font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font w:name="Calibri"/>
  <w:font w:name="Times New Roman"/>
</w:fonts>
</file>

<file path=word/footer1.xml><?xml version="1.0" encoding="utf-8"?>
<w:ft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p w:rsidR="00000000" w:rsidDel="00000000" w:rsidP="00000000" w:rsidRDefault="00000000" w:rsidRPr="00000000" w14:paraId="00000185">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righ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w:fldChar w:fldCharType="begin"/>
      <w:instrText xml:space="preserve">PAGE</w:instrText>
      <w:fldChar w:fldCharType="separate"/>
      <w:fldChar w:fldCharType="end"/>
    </w:r>
    <w:r w:rsidDel="00000000" w:rsidR="00000000" w:rsidRPr="00000000">
      <w:rPr>
        <w:rtl w:val="0"/>
      </w:rPr>
    </w:r>
  </w:p>
  <w:p w:rsidR="00000000" w:rsidDel="00000000" w:rsidP="00000000" w:rsidRDefault="00000000" w:rsidRPr="00000000" w14:paraId="00000186">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ftr>
</file>

<file path=word/footer2.xml><?xml version="1.0" encoding="utf-8"?>
<w:ft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p w:rsidR="00000000" w:rsidDel="00000000" w:rsidP="00000000" w:rsidRDefault="00000000" w:rsidRPr="00000000" w14:paraId="00000187">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righ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w:fldChar w:fldCharType="begin"/>
      <w:instrText xml:space="preserve">PAGE</w:instrText>
      <w:fldChar w:fldCharType="separate"/>
      <w:fldChar w:fldCharType="end"/>
    </w:r>
    <w:r w:rsidDel="00000000" w:rsidR="00000000" w:rsidRPr="00000000">
      <w:rPr>
        <w:rtl w:val="0"/>
      </w:rPr>
    </w:r>
  </w:p>
  <w:p w:rsidR="00000000" w:rsidDel="00000000" w:rsidP="00000000" w:rsidRDefault="00000000" w:rsidRPr="00000000" w14:paraId="00000188">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ftr>
</file>

<file path=word/footnotes.xml><?xml version="1.0" encoding="utf-8"?>
<w:footnote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footnote w:id="0">
    <w:p w:rsidR="00000000" w:rsidDel="00000000" w:rsidP="00000000" w:rsidRDefault="00000000" w:rsidRPr="00000000" w14:paraId="00000184">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0"/>
          <w:szCs w:val="20"/>
          <w:u w:val="none"/>
          <w:shd w:fill="auto" w:val="clear"/>
          <w:vertAlign w:val="baseline"/>
        </w:rPr>
      </w:pPr>
      <w:r w:rsidDel="00000000" w:rsidR="00000000" w:rsidRPr="00000000">
        <w:rPr>
          <w:rStyle w:val="FootnoteReference"/>
          <w:vertAlign w:val="superscript"/>
        </w:rPr>
        <w:footnoteRef/>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defaultTabStop w:val="720"/>
  <w:compat>
    <w:compatSetting w:val="15" w:name="compatibilityMode" w:uri="http://schemas.microsoft.com/office/word"/>
  </w:compat>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docDefaults>
    <w:rPrDefault>
      <w:rPr>
        <w:rFonts w:ascii="Calibri" w:cs="Calibri" w:eastAsia="Calibri" w:hAnsi="Calibri"/>
        <w:sz w:val="22"/>
        <w:szCs w:val="22"/>
        <w:lang w:val="en"/>
      </w:rPr>
    </w:rPrDefault>
    <w:pPrDefault>
      <w:pPr>
        <w:spacing w:after="160" w:line="259" w:lineRule="auto"/>
      </w:pPr>
    </w:pPrDefault>
  </w:docDefaults>
  <w:style w:type="paragraph" w:styleId="Normal" w:default="1">
    <w:name w:val="normal"/>
  </w:style>
  <w:style w:type="table" w:styleId="TableNormal" w:default="1">
    <w:name w:val="TableNormal"/>
  </w:style>
  <w:style w:type="paragraph" w:styleId="Heading1">
    <w:name w:val="heading 1"/>
    <w:basedOn w:val="Normal"/>
    <w:next w:val="Normal"/>
    <w:pPr>
      <w:keepNext w:val="1"/>
      <w:keepLines w:val="1"/>
      <w:spacing w:after="0" w:before="240" w:lineRule="auto"/>
    </w:pPr>
    <w:rPr>
      <w:rFonts w:ascii="Calibri" w:cs="Calibri" w:eastAsia="Calibri" w:hAnsi="Calibri"/>
      <w:color w:val="2e75b5"/>
      <w:sz w:val="32"/>
      <w:szCs w:val="32"/>
    </w:rPr>
  </w:style>
  <w:style w:type="paragraph" w:styleId="Heading2">
    <w:name w:val="heading 2"/>
    <w:basedOn w:val="Normal"/>
    <w:next w:val="Normal"/>
    <w:pPr>
      <w:keepNext w:val="1"/>
      <w:keepLines w:val="1"/>
      <w:spacing w:after="0" w:before="40" w:lineRule="auto"/>
    </w:pPr>
    <w:rPr>
      <w:rFonts w:ascii="Calibri" w:cs="Calibri" w:eastAsia="Calibri" w:hAnsi="Calibri"/>
      <w:color w:val="2e75b5"/>
      <w:sz w:val="26"/>
      <w:szCs w:val="26"/>
    </w:rPr>
  </w:style>
  <w:style w:type="paragraph" w:styleId="Heading3">
    <w:name w:val="heading 3"/>
    <w:basedOn w:val="Normal"/>
    <w:next w:val="Normal"/>
    <w:pPr>
      <w:keepNext w:val="1"/>
      <w:keepLines w:val="1"/>
      <w:pageBreakBefore w:val="0"/>
      <w:spacing w:after="80" w:before="280" w:lineRule="auto"/>
    </w:pPr>
    <w:rPr>
      <w:b w:val="1"/>
      <w:sz w:val="28"/>
      <w:szCs w:val="28"/>
    </w:rPr>
  </w:style>
  <w:style w:type="paragraph" w:styleId="Heading4">
    <w:name w:val="heading 4"/>
    <w:basedOn w:val="Normal"/>
    <w:next w:val="Normal"/>
    <w:pPr>
      <w:keepNext w:val="1"/>
      <w:keepLines w:val="1"/>
      <w:pageBreakBefore w:val="0"/>
      <w:spacing w:after="40" w:before="240" w:lineRule="auto"/>
    </w:pPr>
    <w:rPr>
      <w:b w:val="1"/>
      <w:sz w:val="24"/>
      <w:szCs w:val="24"/>
    </w:rPr>
  </w:style>
  <w:style w:type="paragraph" w:styleId="Heading5">
    <w:name w:val="heading 5"/>
    <w:basedOn w:val="Normal"/>
    <w:next w:val="Normal"/>
    <w:pPr>
      <w:keepNext w:val="1"/>
      <w:keepLines w:val="1"/>
      <w:pageBreakBefore w:val="0"/>
      <w:spacing w:after="40" w:before="220" w:lineRule="auto"/>
    </w:pPr>
    <w:rPr>
      <w:b w:val="1"/>
      <w:sz w:val="22"/>
      <w:szCs w:val="22"/>
    </w:rPr>
  </w:style>
  <w:style w:type="paragraph" w:styleId="Heading6">
    <w:name w:val="heading 6"/>
    <w:basedOn w:val="Normal"/>
    <w:next w:val="Normal"/>
    <w:pPr>
      <w:keepNext w:val="1"/>
      <w:keepLines w:val="1"/>
      <w:pageBreakBefore w:val="0"/>
      <w:spacing w:after="40" w:before="200" w:lineRule="auto"/>
    </w:pPr>
    <w:rPr>
      <w:b w:val="1"/>
      <w:sz w:val="20"/>
      <w:szCs w:val="20"/>
    </w:rPr>
  </w:style>
  <w:style w:type="paragraph" w:styleId="Title">
    <w:name w:val="Title"/>
    <w:basedOn w:val="Normal"/>
    <w:next w:val="Normal"/>
    <w:pPr>
      <w:spacing w:after="0" w:line="240" w:lineRule="auto"/>
    </w:pPr>
    <w:rPr>
      <w:rFonts w:ascii="Calibri" w:cs="Calibri" w:eastAsia="Calibri" w:hAnsi="Calibri"/>
      <w:sz w:val="56"/>
      <w:szCs w:val="56"/>
    </w:rPr>
  </w:style>
  <w:style w:type="character" w:styleId="DefaultParagraphFont" w:default="1">
    <w:name w:val="Default Paragraph Font"/>
    <w:uiPriority w:val="1"/>
    <w:semiHidden w:val="1"/>
    <w:unhideWhenUsed w:val="1"/>
  </w:style>
  <w:style w:type="table" w:styleId="TableNormal" w:default="1">
    <w:name w:val="Normal Table"/>
    <w:uiPriority w:val="99"/>
    <w:semiHidden w:val="1"/>
    <w:unhideWhenUsed w:val="1"/>
    <w:tblPr>
      <w:tblInd w:w="0.0" w:type="dxa"/>
      <w:tblCellMar>
        <w:top w:w="0.0" w:type="dxa"/>
        <w:left w:w="108.0" w:type="dxa"/>
        <w:bottom w:w="0.0" w:type="dxa"/>
        <w:right w:w="108.0" w:type="dxa"/>
      </w:tblCellMar>
    </w:tblPr>
  </w:style>
  <w:style w:type="numbering" w:styleId="NoList" w:default="1">
    <w:name w:val="No List"/>
    <w:uiPriority w:val="99"/>
    <w:semiHidden w:val="1"/>
    <w:unhideWhenUsed w:val="1"/>
  </w:style>
  <w:style w:type="character" w:styleId="Heading1Char" w:customStyle="1">
    <w:name w:val="Heading 1 Char"/>
    <w:basedOn w:val="DefaultParagraphFont"/>
    <w:link w:val="Heading1"/>
    <w:uiPriority w:val="9"/>
    <w:rsid w:val="00E07CA1"/>
    <w:rPr>
      <w:rFonts w:asciiTheme="majorHAnsi" w:cstheme="majorBidi" w:eastAsiaTheme="majorEastAsia" w:hAnsiTheme="majorHAnsi"/>
      <w:color w:val="2e74b5" w:themeColor="accent1" w:themeShade="0000BF"/>
      <w:sz w:val="32"/>
      <w:szCs w:val="32"/>
    </w:rPr>
  </w:style>
  <w:style w:type="paragraph" w:styleId="TOCHeading">
    <w:name w:val="TOC Heading"/>
    <w:basedOn w:val="Heading1"/>
    <w:next w:val="Normal"/>
    <w:uiPriority w:val="39"/>
    <w:unhideWhenUsed w:val="1"/>
    <w:qFormat w:val="1"/>
    <w:rsid w:val="00E07CA1"/>
    <w:pPr>
      <w:outlineLvl w:val="9"/>
    </w:pPr>
  </w:style>
  <w:style w:type="paragraph" w:styleId="TOC1">
    <w:name w:val="toc 1"/>
    <w:basedOn w:val="Normal"/>
    <w:next w:val="Normal"/>
    <w:autoRedefine w:val="1"/>
    <w:uiPriority w:val="39"/>
    <w:unhideWhenUsed w:val="1"/>
    <w:rsid w:val="00E07CA1"/>
    <w:pPr>
      <w:spacing w:after="100"/>
    </w:pPr>
  </w:style>
  <w:style w:type="character" w:styleId="Hyperlink">
    <w:name w:val="Hyperlink"/>
    <w:basedOn w:val="DefaultParagraphFont"/>
    <w:uiPriority w:val="99"/>
    <w:unhideWhenUsed w:val="1"/>
    <w:rsid w:val="00E07CA1"/>
    <w:rPr>
      <w:color w:val="0563c1" w:themeColor="hyperlink"/>
      <w:u w:val="single"/>
    </w:rPr>
  </w:style>
  <w:style w:type="character" w:styleId="TitleChar" w:customStyle="1">
    <w:name w:val="Title Char"/>
    <w:basedOn w:val="DefaultParagraphFont"/>
    <w:link w:val="Title"/>
    <w:uiPriority w:val="10"/>
    <w:rsid w:val="000C6D3A"/>
    <w:rPr>
      <w:rFonts w:asciiTheme="majorHAnsi" w:cstheme="majorBidi" w:eastAsiaTheme="majorEastAsia" w:hAnsiTheme="majorHAnsi"/>
      <w:spacing w:val="-10"/>
      <w:kern w:val="28"/>
      <w:sz w:val="56"/>
      <w:szCs w:val="56"/>
    </w:rPr>
  </w:style>
  <w:style w:type="character" w:styleId="SubtitleChar" w:customStyle="1">
    <w:name w:val="Subtitle Char"/>
    <w:basedOn w:val="DefaultParagraphFont"/>
    <w:link w:val="Subtitle"/>
    <w:uiPriority w:val="11"/>
    <w:rsid w:val="000C6D3A"/>
    <w:rPr>
      <w:rFonts w:eastAsiaTheme="minorEastAsia"/>
      <w:color w:val="5a5a5a" w:themeColor="text1" w:themeTint="0000A5"/>
      <w:spacing w:val="15"/>
    </w:rPr>
  </w:style>
  <w:style w:type="paragraph" w:styleId="MGTHeader" w:customStyle="1">
    <w:name w:val="M.G+T.Header"/>
    <w:basedOn w:val="Normal"/>
    <w:link w:val="MGTHeaderChar"/>
    <w:qFormat w:val="1"/>
    <w:rsid w:val="00463306"/>
    <w:pPr>
      <w:shd w:color="auto" w:fill="f5f5f5" w:val="clear"/>
      <w:spacing w:after="0" w:line="276" w:lineRule="auto"/>
      <w:outlineLvl w:val="4"/>
    </w:pPr>
    <w:rPr>
      <w:rFonts w:cs="Times New Roman" w:eastAsia="Times New Roman"/>
      <w:color w:val="333333"/>
      <w:sz w:val="21"/>
      <w:szCs w:val="21"/>
      <w:lang w:eastAsia="en-GB" w:val="en-GB"/>
    </w:rPr>
  </w:style>
  <w:style w:type="character" w:styleId="MGTHeaderChar" w:customStyle="1">
    <w:name w:val="M.G+T.Header Char"/>
    <w:basedOn w:val="DefaultParagraphFont"/>
    <w:link w:val="MGTHeader"/>
    <w:rsid w:val="00463306"/>
    <w:rPr>
      <w:rFonts w:cs="Times New Roman" w:eastAsia="Times New Roman"/>
      <w:color w:val="333333"/>
      <w:sz w:val="21"/>
      <w:szCs w:val="21"/>
      <w:shd w:color="auto" w:fill="f5f5f5" w:val="clear"/>
      <w:lang w:eastAsia="en-GB" w:val="en-GB"/>
    </w:rPr>
  </w:style>
  <w:style w:type="paragraph" w:styleId="MIndHeader" w:customStyle="1">
    <w:name w:val="M.Ind.Header"/>
    <w:basedOn w:val="Normal"/>
    <w:link w:val="MIndHeaderChar"/>
    <w:qFormat w:val="1"/>
    <w:rsid w:val="00463306"/>
    <w:pPr>
      <w:shd w:color="auto" w:fill="f5f5f5" w:val="clear"/>
      <w:spacing w:after="0" w:line="276" w:lineRule="auto"/>
      <w:outlineLvl w:val="1"/>
    </w:pPr>
    <w:rPr>
      <w:rFonts w:cs="Times New Roman" w:eastAsia="Times New Roman"/>
      <w:color w:val="1c75bc"/>
      <w:lang w:eastAsia="en-GB" w:val="en-GB"/>
    </w:rPr>
  </w:style>
  <w:style w:type="character" w:styleId="MIndHeaderChar" w:customStyle="1">
    <w:name w:val="M.Ind.Header Char"/>
    <w:basedOn w:val="DefaultParagraphFont"/>
    <w:link w:val="MIndHeader"/>
    <w:rsid w:val="00463306"/>
    <w:rPr>
      <w:rFonts w:cs="Times New Roman" w:eastAsia="Times New Roman"/>
      <w:color w:val="1c75bc"/>
      <w:shd w:color="auto" w:fill="f5f5f5" w:val="clear"/>
      <w:lang w:eastAsia="en-GB" w:val="en-GB"/>
    </w:rPr>
  </w:style>
  <w:style w:type="paragraph" w:styleId="Header">
    <w:name w:val="header"/>
    <w:basedOn w:val="Normal"/>
    <w:link w:val="HeaderChar"/>
    <w:uiPriority w:val="99"/>
    <w:unhideWhenUsed w:val="1"/>
    <w:rsid w:val="00F93763"/>
    <w:pPr>
      <w:tabs>
        <w:tab w:val="center" w:pos="4513"/>
        <w:tab w:val="right" w:pos="9026"/>
      </w:tabs>
      <w:spacing w:after="0" w:line="240" w:lineRule="auto"/>
    </w:pPr>
    <w:rPr>
      <w:rFonts w:eastAsiaTheme="minorEastAsia"/>
      <w:lang w:eastAsia="zh-CN" w:val="en-GB"/>
    </w:rPr>
  </w:style>
  <w:style w:type="character" w:styleId="HeaderChar" w:customStyle="1">
    <w:name w:val="Header Char"/>
    <w:basedOn w:val="DefaultParagraphFont"/>
    <w:link w:val="Header"/>
    <w:uiPriority w:val="99"/>
    <w:rsid w:val="00F93763"/>
    <w:rPr>
      <w:rFonts w:eastAsiaTheme="minorEastAsia"/>
      <w:lang w:eastAsia="zh-CN" w:val="en-GB"/>
    </w:rPr>
  </w:style>
  <w:style w:type="paragraph" w:styleId="MText" w:customStyle="1">
    <w:name w:val="M.Text"/>
    <w:basedOn w:val="Normal"/>
    <w:link w:val="MTextChar"/>
    <w:qFormat w:val="1"/>
    <w:rsid w:val="00F93763"/>
    <w:pPr>
      <w:shd w:color="auto" w:fill="ffffff" w:val="clear"/>
      <w:spacing w:after="0" w:line="276" w:lineRule="auto"/>
    </w:pPr>
    <w:rPr>
      <w:rFonts w:cs="Times New Roman" w:eastAsia="Times New Roman"/>
      <w:color w:val="4a4a4a"/>
      <w:sz w:val="21"/>
      <w:szCs w:val="21"/>
      <w:lang w:eastAsia="en-GB" w:val="en-GB"/>
    </w:rPr>
  </w:style>
  <w:style w:type="character" w:styleId="MTextChar" w:customStyle="1">
    <w:name w:val="M.Text Char"/>
    <w:basedOn w:val="DefaultParagraphFont"/>
    <w:link w:val="MText"/>
    <w:rsid w:val="00F93763"/>
    <w:rPr>
      <w:rFonts w:cs="Times New Roman" w:eastAsia="Times New Roman"/>
      <w:color w:val="4a4a4a"/>
      <w:sz w:val="21"/>
      <w:szCs w:val="21"/>
      <w:shd w:color="auto" w:fill="ffffff" w:val="clear"/>
      <w:lang w:eastAsia="en-GB" w:val="en-GB"/>
    </w:rPr>
  </w:style>
  <w:style w:type="table" w:styleId="GridTable1Light1" w:customStyle="1">
    <w:name w:val="Grid Table 1 Light1"/>
    <w:basedOn w:val="TableNormal"/>
    <w:uiPriority w:val="46"/>
    <w:rsid w:val="00F93763"/>
    <w:pPr>
      <w:spacing w:after="0" w:line="240" w:lineRule="auto"/>
    </w:pPr>
    <w:rPr>
      <w:rFonts w:eastAsiaTheme="minorEastAsia"/>
      <w:lang w:eastAsia="zh-CN" w:val="en-GB"/>
    </w:rPr>
    <w:tblPr>
      <w:tblStyleRowBandSize w:val="1"/>
      <w:tblStyleColBandSize w:val="1"/>
      <w:tblBorders>
        <w:top w:color="999999" w:space="0" w:sz="4" w:themeColor="text1" w:themeTint="000066" w:val="single"/>
        <w:left w:color="999999" w:space="0" w:sz="4" w:themeColor="text1" w:themeTint="000066" w:val="single"/>
        <w:bottom w:color="999999" w:space="0" w:sz="4" w:themeColor="text1" w:themeTint="000066" w:val="single"/>
        <w:right w:color="999999" w:space="0" w:sz="4" w:themeColor="text1" w:themeTint="000066" w:val="single"/>
        <w:insideH w:color="999999" w:space="0" w:sz="4" w:themeColor="text1" w:themeTint="000066" w:val="single"/>
        <w:insideV w:color="999999" w:space="0" w:sz="4" w:themeColor="text1" w:themeTint="000066" w:val="single"/>
      </w:tblBorders>
    </w:tblPr>
    <w:tblStylePr w:type="firstRow">
      <w:rPr>
        <w:b w:val="1"/>
        <w:bCs w:val="1"/>
      </w:rPr>
      <w:tblPr/>
      <w:tcPr>
        <w:tcBorders>
          <w:bottom w:color="666666" w:space="0" w:sz="12" w:themeColor="text1" w:themeTint="000099" w:val="single"/>
        </w:tcBorders>
      </w:tcPr>
    </w:tblStylePr>
    <w:tblStylePr w:type="lastRow">
      <w:rPr>
        <w:b w:val="1"/>
        <w:bCs w:val="1"/>
      </w:rPr>
      <w:tblPr/>
      <w:tcPr>
        <w:tcBorders>
          <w:top w:color="666666" w:space="0" w:sz="2" w:themeColor="text1" w:themeTint="000099" w:val="double"/>
        </w:tcBorders>
      </w:tcPr>
    </w:tblStylePr>
    <w:tblStylePr w:type="firstCol">
      <w:rPr>
        <w:b w:val="1"/>
        <w:bCs w:val="1"/>
      </w:rPr>
    </w:tblStylePr>
    <w:tblStylePr w:type="lastCol">
      <w:rPr>
        <w:b w:val="1"/>
        <w:bCs w:val="1"/>
      </w:rPr>
    </w:tblStylePr>
  </w:style>
  <w:style w:type="paragraph" w:styleId="MHeader" w:customStyle="1">
    <w:name w:val="M.Header"/>
    <w:basedOn w:val="Normal"/>
    <w:link w:val="MHeaderChar"/>
    <w:qFormat w:val="1"/>
    <w:rsid w:val="001127E6"/>
    <w:pPr>
      <w:pBdr>
        <w:bottom w:color="dddddd" w:space="4" w:sz="12" w:val="single"/>
      </w:pBdr>
      <w:shd w:color="auto" w:fill="ffffff" w:val="clear"/>
      <w:spacing w:after="0" w:line="276" w:lineRule="auto"/>
      <w:outlineLvl w:val="2"/>
    </w:pPr>
    <w:rPr>
      <w:rFonts w:cs="Times New Roman" w:eastAsia="Times New Roman"/>
      <w:color w:val="1c75bc"/>
      <w:sz w:val="36"/>
      <w:szCs w:val="36"/>
      <w:lang w:eastAsia="en-GB" w:val="en-GB"/>
    </w:rPr>
  </w:style>
  <w:style w:type="character" w:styleId="MHeaderChar" w:customStyle="1">
    <w:name w:val="M.Header Char"/>
    <w:basedOn w:val="DefaultParagraphFont"/>
    <w:link w:val="MHeader"/>
    <w:rsid w:val="001127E6"/>
    <w:rPr>
      <w:rFonts w:cs="Times New Roman" w:eastAsia="Times New Roman"/>
      <w:color w:val="1c75bc"/>
      <w:sz w:val="36"/>
      <w:szCs w:val="36"/>
      <w:shd w:color="auto" w:fill="ffffff" w:val="clear"/>
      <w:lang w:eastAsia="en-GB" w:val="en-GB"/>
    </w:rPr>
  </w:style>
  <w:style w:type="paragraph" w:styleId="MSubHeader" w:customStyle="1">
    <w:name w:val="M.Sub.Header"/>
    <w:basedOn w:val="Normal"/>
    <w:link w:val="MSubHeaderChar"/>
    <w:qFormat w:val="1"/>
    <w:rsid w:val="001127E6"/>
    <w:pPr>
      <w:shd w:color="auto" w:fill="ffffff" w:val="clear"/>
      <w:spacing w:after="0" w:line="276" w:lineRule="auto"/>
    </w:pPr>
    <w:rPr>
      <w:rFonts w:cs="Times New Roman" w:eastAsia="Times New Roman"/>
      <w:b w:val="1"/>
      <w:bCs w:val="1"/>
      <w:color w:val="4a4a4a"/>
      <w:sz w:val="21"/>
      <w:szCs w:val="21"/>
      <w:lang w:eastAsia="en-GB" w:val="en-GB"/>
    </w:rPr>
  </w:style>
  <w:style w:type="character" w:styleId="MSubHeaderChar" w:customStyle="1">
    <w:name w:val="M.Sub.Header Char"/>
    <w:basedOn w:val="DefaultParagraphFont"/>
    <w:link w:val="MSubHeader"/>
    <w:rsid w:val="001127E6"/>
    <w:rPr>
      <w:rFonts w:cs="Times New Roman" w:eastAsia="Times New Roman"/>
      <w:b w:val="1"/>
      <w:bCs w:val="1"/>
      <w:color w:val="4a4a4a"/>
      <w:sz w:val="21"/>
      <w:szCs w:val="21"/>
      <w:shd w:color="auto" w:fill="ffffff" w:val="clear"/>
      <w:lang w:eastAsia="en-GB" w:val="en-GB"/>
    </w:rPr>
  </w:style>
  <w:style w:type="paragraph" w:styleId="FootnoteText">
    <w:name w:val="footnote text"/>
    <w:basedOn w:val="Normal"/>
    <w:link w:val="FootnoteTextChar"/>
    <w:uiPriority w:val="99"/>
    <w:semiHidden w:val="1"/>
    <w:unhideWhenUsed w:val="1"/>
    <w:rsid w:val="006B0512"/>
    <w:pPr>
      <w:spacing w:after="0" w:line="240" w:lineRule="auto"/>
    </w:pPr>
    <w:rPr>
      <w:rFonts w:eastAsiaTheme="minorEastAsia"/>
      <w:sz w:val="20"/>
      <w:szCs w:val="20"/>
      <w:lang w:eastAsia="zh-CN" w:val="en-GB"/>
    </w:rPr>
  </w:style>
  <w:style w:type="character" w:styleId="FootnoteTextChar" w:customStyle="1">
    <w:name w:val="Footnote Text Char"/>
    <w:basedOn w:val="DefaultParagraphFont"/>
    <w:link w:val="FootnoteText"/>
    <w:uiPriority w:val="99"/>
    <w:semiHidden w:val="1"/>
    <w:rsid w:val="006B0512"/>
    <w:rPr>
      <w:rFonts w:eastAsiaTheme="minorEastAsia"/>
      <w:sz w:val="20"/>
      <w:szCs w:val="20"/>
      <w:lang w:eastAsia="zh-CN" w:val="en-GB"/>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val="1"/>
    <w:qFormat w:val="1"/>
    <w:rsid w:val="006B0512"/>
    <w:rPr>
      <w:vertAlign w:val="superscript"/>
    </w:rPr>
  </w:style>
  <w:style w:type="paragraph" w:styleId="BVIfnrChar1CharCharCharCharChar" w:customStyle="1">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Pr>
  </w:style>
  <w:style w:type="paragraph" w:styleId="ListParagraph">
    <w:name w:val="List Paragraph"/>
    <w:basedOn w:val="Normal"/>
    <w:uiPriority w:val="34"/>
    <w:qFormat w:val="1"/>
    <w:rsid w:val="00EA6E73"/>
    <w:pPr>
      <w:spacing w:after="200" w:line="276" w:lineRule="auto"/>
      <w:ind w:left="720"/>
      <w:contextualSpacing w:val="1"/>
    </w:pPr>
    <w:rPr>
      <w:rFonts w:eastAsiaTheme="minorEastAsia"/>
      <w:lang w:eastAsia="zh-CN" w:val="en-GB"/>
    </w:rPr>
  </w:style>
  <w:style w:type="paragraph" w:styleId="TOC2">
    <w:name w:val="toc 2"/>
    <w:basedOn w:val="Normal"/>
    <w:next w:val="Normal"/>
    <w:autoRedefine w:val="1"/>
    <w:uiPriority w:val="39"/>
    <w:unhideWhenUsed w:val="1"/>
    <w:rsid w:val="000434EA"/>
    <w:pPr>
      <w:spacing w:after="100"/>
      <w:ind w:left="220"/>
    </w:pPr>
  </w:style>
  <w:style w:type="paragraph" w:styleId="TOC3">
    <w:name w:val="toc 3"/>
    <w:basedOn w:val="Normal"/>
    <w:next w:val="Normal"/>
    <w:autoRedefine w:val="1"/>
    <w:uiPriority w:val="39"/>
    <w:unhideWhenUsed w:val="1"/>
    <w:rsid w:val="000434EA"/>
    <w:pPr>
      <w:spacing w:after="100"/>
      <w:ind w:left="440"/>
    </w:pPr>
  </w:style>
  <w:style w:type="paragraph" w:styleId="BalloonText">
    <w:name w:val="Balloon Text"/>
    <w:basedOn w:val="Normal"/>
    <w:link w:val="BalloonTextChar"/>
    <w:uiPriority w:val="99"/>
    <w:semiHidden w:val="1"/>
    <w:unhideWhenUsed w:val="1"/>
    <w:rsid w:val="000434EA"/>
    <w:pPr>
      <w:spacing w:after="0" w:line="240" w:lineRule="auto"/>
    </w:pPr>
    <w:rPr>
      <w:rFonts w:ascii="Segoe UI" w:cs="Segoe UI" w:hAnsi="Segoe UI"/>
      <w:sz w:val="18"/>
      <w:szCs w:val="18"/>
    </w:rPr>
  </w:style>
  <w:style w:type="character" w:styleId="BalloonTextChar" w:customStyle="1">
    <w:name w:val="Balloon Text Char"/>
    <w:basedOn w:val="DefaultParagraphFont"/>
    <w:link w:val="BalloonText"/>
    <w:uiPriority w:val="99"/>
    <w:semiHidden w:val="1"/>
    <w:rsid w:val="000434EA"/>
    <w:rPr>
      <w:rFonts w:ascii="Segoe UI" w:cs="Segoe UI" w:hAnsi="Segoe UI"/>
      <w:sz w:val="18"/>
      <w:szCs w:val="18"/>
    </w:rPr>
  </w:style>
  <w:style w:type="paragraph" w:styleId="Footer">
    <w:name w:val="footer"/>
    <w:basedOn w:val="Normal"/>
    <w:link w:val="FooterChar"/>
    <w:uiPriority w:val="99"/>
    <w:unhideWhenUsed w:val="1"/>
    <w:rsid w:val="00073907"/>
    <w:pPr>
      <w:tabs>
        <w:tab w:val="center" w:pos="4680"/>
        <w:tab w:val="right" w:pos="9360"/>
      </w:tabs>
      <w:spacing w:after="0" w:line="240" w:lineRule="auto"/>
    </w:pPr>
  </w:style>
  <w:style w:type="character" w:styleId="FooterChar" w:customStyle="1">
    <w:name w:val="Footer Char"/>
    <w:basedOn w:val="DefaultParagraphFont"/>
    <w:link w:val="Footer"/>
    <w:uiPriority w:val="99"/>
    <w:rsid w:val="00073907"/>
  </w:style>
  <w:style w:type="character" w:styleId="UnresolvedMention1" w:customStyle="1">
    <w:name w:val="Unresolved Mention1"/>
    <w:basedOn w:val="DefaultParagraphFont"/>
    <w:uiPriority w:val="99"/>
    <w:semiHidden w:val="1"/>
    <w:unhideWhenUsed w:val="1"/>
    <w:rsid w:val="00C605D4"/>
    <w:rPr>
      <w:color w:val="605e5c"/>
      <w:shd w:color="auto" w:fill="e1dfdd" w:val="clear"/>
    </w:rPr>
  </w:style>
  <w:style w:type="character" w:styleId="CommentReference">
    <w:name w:val="annotation reference"/>
    <w:basedOn w:val="DefaultParagraphFont"/>
    <w:uiPriority w:val="99"/>
    <w:semiHidden w:val="1"/>
    <w:unhideWhenUsed w:val="1"/>
    <w:rsid w:val="007A2617"/>
    <w:rPr>
      <w:sz w:val="16"/>
      <w:szCs w:val="16"/>
    </w:rPr>
  </w:style>
  <w:style w:type="paragraph" w:styleId="CommentText">
    <w:name w:val="annotation text"/>
    <w:basedOn w:val="Normal"/>
    <w:link w:val="CommentTextChar"/>
    <w:uiPriority w:val="99"/>
    <w:semiHidden w:val="1"/>
    <w:unhideWhenUsed w:val="1"/>
    <w:rsid w:val="007A2617"/>
    <w:pPr>
      <w:spacing w:line="240" w:lineRule="auto"/>
    </w:pPr>
    <w:rPr>
      <w:sz w:val="20"/>
      <w:szCs w:val="20"/>
    </w:rPr>
  </w:style>
  <w:style w:type="character" w:styleId="CommentTextChar" w:customStyle="1">
    <w:name w:val="Comment Text Char"/>
    <w:basedOn w:val="DefaultParagraphFont"/>
    <w:link w:val="CommentText"/>
    <w:uiPriority w:val="99"/>
    <w:semiHidden w:val="1"/>
    <w:rsid w:val="007A2617"/>
    <w:rPr>
      <w:sz w:val="20"/>
      <w:szCs w:val="20"/>
    </w:rPr>
  </w:style>
  <w:style w:type="paragraph" w:styleId="CommentSubject">
    <w:name w:val="annotation subject"/>
    <w:basedOn w:val="CommentText"/>
    <w:next w:val="CommentText"/>
    <w:link w:val="CommentSubjectChar"/>
    <w:uiPriority w:val="99"/>
    <w:semiHidden w:val="1"/>
    <w:unhideWhenUsed w:val="1"/>
    <w:rsid w:val="007A2617"/>
    <w:rPr>
      <w:b w:val="1"/>
      <w:bCs w:val="1"/>
    </w:rPr>
  </w:style>
  <w:style w:type="character" w:styleId="CommentSubjectChar" w:customStyle="1">
    <w:name w:val="Comment Subject Char"/>
    <w:basedOn w:val="CommentTextChar"/>
    <w:link w:val="CommentSubject"/>
    <w:uiPriority w:val="99"/>
    <w:semiHidden w:val="1"/>
    <w:rsid w:val="007A2617"/>
    <w:rPr>
      <w:b w:val="1"/>
      <w:bCs w:val="1"/>
      <w:sz w:val="20"/>
      <w:szCs w:val="20"/>
    </w:rPr>
  </w:style>
  <w:style w:type="character" w:styleId="FollowedHyperlink">
    <w:name w:val="FollowedHyperlink"/>
    <w:basedOn w:val="DefaultParagraphFont"/>
    <w:uiPriority w:val="99"/>
    <w:semiHidden w:val="1"/>
    <w:unhideWhenUsed w:val="1"/>
    <w:rsid w:val="00581D14"/>
    <w:rPr>
      <w:color w:val="954f72" w:themeColor="followedHyperlink"/>
      <w:u w:val="single"/>
    </w:rPr>
  </w:style>
  <w:style w:type="character" w:styleId="PlaceholderText">
    <w:name w:val="Placeholder Text"/>
    <w:basedOn w:val="DefaultParagraphFont"/>
    <w:uiPriority w:val="99"/>
    <w:semiHidden w:val="1"/>
    <w:rsid w:val="00633477"/>
    <w:rPr>
      <w:color w:val="808080"/>
    </w:rPr>
  </w:style>
  <w:style w:type="paragraph" w:styleId="EndnoteText">
    <w:name w:val="endnote text"/>
    <w:basedOn w:val="Normal"/>
    <w:link w:val="EndnoteTextChar"/>
    <w:uiPriority w:val="99"/>
    <w:unhideWhenUsed w:val="1"/>
    <w:rsid w:val="00AE7A74"/>
    <w:pPr>
      <w:spacing w:after="0" w:line="240" w:lineRule="auto"/>
    </w:pPr>
    <w:rPr>
      <w:sz w:val="20"/>
      <w:szCs w:val="20"/>
    </w:rPr>
  </w:style>
  <w:style w:type="character" w:styleId="EndnoteTextChar" w:customStyle="1">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val="1"/>
    <w:unhideWhenUsed w:val="1"/>
    <w:rsid w:val="00AE7A74"/>
    <w:rPr>
      <w:vertAlign w:val="superscript"/>
    </w:rPr>
  </w:style>
  <w:style w:type="character" w:styleId="Heading2Char" w:customStyle="1">
    <w:name w:val="Heading 2 Char"/>
    <w:basedOn w:val="DefaultParagraphFont"/>
    <w:link w:val="Heading2"/>
    <w:uiPriority w:val="9"/>
    <w:rsid w:val="005377B9"/>
    <w:rPr>
      <w:rFonts w:asciiTheme="majorHAnsi" w:cstheme="majorBidi" w:eastAsiaTheme="majorEastAsia" w:hAnsiTheme="majorHAnsi"/>
      <w:color w:val="2e74b5" w:themeColor="accent1" w:themeShade="0000BF"/>
      <w:sz w:val="26"/>
      <w:szCs w:val="26"/>
    </w:rPr>
  </w:style>
  <w:style w:type="paragraph" w:styleId="Default" w:customStyle="1">
    <w:name w:val="Default"/>
    <w:rsid w:val="005377B9"/>
    <w:pPr>
      <w:autoSpaceDE w:val="0"/>
      <w:autoSpaceDN w:val="0"/>
      <w:adjustRightInd w:val="0"/>
      <w:spacing w:after="0" w:line="240" w:lineRule="auto"/>
    </w:pPr>
    <w:rPr>
      <w:rFonts w:ascii="Calibri" w:cs="Calibri" w:hAnsi="Calibri" w:eastAsiaTheme="minorEastAsia"/>
      <w:color w:val="000000"/>
      <w:sz w:val="24"/>
      <w:szCs w:val="24"/>
      <w:lang w:eastAsia="zh-CN"/>
    </w:rPr>
  </w:style>
  <w:style w:type="character" w:styleId="UnresolvedMention">
    <w:name w:val="Unresolved Mention"/>
    <w:basedOn w:val="DefaultParagraphFont"/>
    <w:uiPriority w:val="99"/>
    <w:semiHidden w:val="1"/>
    <w:unhideWhenUsed w:val="1"/>
    <w:rsid w:val="009165F2"/>
    <w:rPr>
      <w:color w:val="605e5c"/>
      <w:shd w:color="auto" w:fill="e1dfdd" w:val="clear"/>
    </w:rPr>
  </w:style>
  <w:style w:type="paragraph" w:styleId="Subtitle">
    <w:name w:val="Subtitle"/>
    <w:basedOn w:val="Normal"/>
    <w:next w:val="Normal"/>
    <w:pPr/>
    <w:rPr>
      <w:color w:val="5a5a5a"/>
    </w:rPr>
  </w:style>
  <w:style w:type="table" w:styleId="Table1">
    <w:basedOn w:val="TableNormal"/>
    <w:tblPr>
      <w:tblStyleRowBandSize w:val="1"/>
      <w:tblStyleColBandSize w:val="1"/>
      <w:tblCellMar>
        <w:top w:w="0.0" w:type="dxa"/>
        <w:left w:w="115.0" w:type="dxa"/>
        <w:bottom w:w="0.0" w:type="dxa"/>
        <w:right w:w="115.0" w:type="dxa"/>
      </w:tblCellMar>
    </w:tblPr>
  </w:style>
  <w:style w:type="table" w:styleId="Table2">
    <w:basedOn w:val="TableNormal"/>
    <w:tblPr>
      <w:tblStyleRowBandSize w:val="1"/>
      <w:tblStyleColBandSize w:val="1"/>
      <w:tblCellMar>
        <w:top w:w="0.0" w:type="dxa"/>
        <w:left w:w="115.0" w:type="dxa"/>
        <w:bottom w:w="0.0" w:type="dxa"/>
        <w:right w:w="115.0" w:type="dxa"/>
      </w:tblCellMar>
    </w:tblPr>
  </w:style>
  <w:style w:type="table" w:styleId="Table3">
    <w:basedOn w:val="TableNormal"/>
    <w:tblPr>
      <w:tblStyleRowBandSize w:val="1"/>
      <w:tblStyleColBandSize w:val="1"/>
      <w:tblCellMar>
        <w:top w:w="0.0" w:type="dxa"/>
        <w:left w:w="115.0" w:type="dxa"/>
        <w:bottom w:w="0.0" w:type="dxa"/>
        <w:right w:w="115.0" w:type="dxa"/>
      </w:tblCellMar>
    </w:tblPr>
  </w:style>
  <w:style w:type="table" w:styleId="Table4">
    <w:basedOn w:val="TableNormal"/>
    <w:tblPr>
      <w:tblStyleRowBandSize w:val="1"/>
      <w:tblStyleColBandSize w:val="1"/>
      <w:tblCellMar>
        <w:top w:w="0.0" w:type="dxa"/>
        <w:left w:w="115.0" w:type="dxa"/>
        <w:bottom w:w="0.0" w:type="dxa"/>
        <w:right w:w="115.0" w:type="dxa"/>
      </w:tblCellMar>
    </w:tblPr>
  </w:style>
  <w:style w:type="table" w:styleId="Table5">
    <w:basedOn w:val="TableNormal"/>
    <w:tblPr>
      <w:tblStyleRowBandSize w:val="1"/>
      <w:tblStyleColBandSize w:val="1"/>
      <w:tblCellMar>
        <w:top w:w="0.0" w:type="dxa"/>
        <w:left w:w="115.0" w:type="dxa"/>
        <w:bottom w:w="0.0" w:type="dxa"/>
        <w:right w:w="115.0" w:type="dxa"/>
      </w:tblCellMar>
    </w:tblPr>
  </w:style>
  <w:style w:type="table" w:styleId="Table6">
    <w:basedOn w:val="TableNormal"/>
    <w:tblPr>
      <w:tblStyleRowBandSize w:val="1"/>
      <w:tblStyleColBandSize w:val="1"/>
      <w:tblCellMar>
        <w:top w:w="0.0" w:type="dxa"/>
        <w:left w:w="115.0" w:type="dxa"/>
        <w:bottom w:w="0.0" w:type="dxa"/>
        <w:right w:w="115.0" w:type="dxa"/>
      </w:tblCellMar>
    </w:tblPr>
  </w:style>
  <w:style w:type="table" w:styleId="Table7">
    <w:basedOn w:val="TableNormal"/>
    <w:tblPr>
      <w:tblStyleRowBandSize w:val="1"/>
      <w:tblStyleColBandSize w:val="1"/>
      <w:tblCellMar>
        <w:top w:w="0.0" w:type="dxa"/>
        <w:left w:w="115.0" w:type="dxa"/>
        <w:bottom w:w="0.0" w:type="dxa"/>
        <w:right w:w="115.0" w:type="dxa"/>
      </w:tblCellMar>
    </w:tblPr>
  </w:style>
  <w:style w:type="table" w:styleId="Table8">
    <w:basedOn w:val="TableNormal"/>
    <w:tblPr>
      <w:tblStyleRowBandSize w:val="1"/>
      <w:tblStyleColBandSize w:val="1"/>
      <w:tblCellMar>
        <w:top w:w="0.0" w:type="dxa"/>
        <w:left w:w="115.0" w:type="dxa"/>
        <w:bottom w:w="0.0" w:type="dxa"/>
        <w:right w:w="115.0" w:type="dxa"/>
      </w:tblCellMar>
    </w:tblPr>
  </w:style>
  <w:style w:type="table" w:styleId="Table9">
    <w:basedOn w:val="TableNormal"/>
    <w:tblPr>
      <w:tblStyleRowBandSize w:val="1"/>
      <w:tblStyleColBandSize w:val="1"/>
      <w:tblCellMar>
        <w:top w:w="0.0" w:type="dxa"/>
        <w:left w:w="0.0" w:type="dxa"/>
        <w:bottom w:w="0.0" w:type="dxa"/>
        <w:right w:w="0.0" w:type="dxa"/>
      </w:tblCellMar>
    </w:tblPr>
  </w:style>
  <w:style w:type="table" w:styleId="Table10">
    <w:basedOn w:val="TableNormal"/>
    <w:tblPr>
      <w:tblStyleRowBandSize w:val="1"/>
      <w:tblStyleColBandSize w:val="1"/>
      <w:tblCellMar>
        <w:top w:w="0.0" w:type="dxa"/>
        <w:left w:w="0.0" w:type="dxa"/>
        <w:bottom w:w="0.0" w:type="dxa"/>
        <w:right w:w="0.0" w:type="dxa"/>
      </w:tblCellMar>
    </w:tblPr>
  </w:style>
</w:styles>
</file>

<file path=word/_rels/document.xml.rels><?xml version="1.0" encoding="UTF-8" standalone="yes"?><Relationships xmlns="http://schemas.openxmlformats.org/package/2006/relationships"><Relationship Id="rId11" Type="http://schemas.openxmlformats.org/officeDocument/2006/relationships/customXml" Target="../customXML/item1.xml"/><Relationship Id="rId10" Type="http://schemas.openxmlformats.org/officeDocument/2006/relationships/styles" Target="styles.xml"/><Relationship Id="rId13" Type="http://schemas.openxmlformats.org/officeDocument/2006/relationships/footer" Target="footer1.xml"/><Relationship Id="rId12" Type="http://schemas.openxmlformats.org/officeDocument/2006/relationships/hyperlink" Target="https://www.iso.org/iso-639-language-codes.html" TargetMode="External"/><Relationship Id="rId1" Type="http://schemas.openxmlformats.org/officeDocument/2006/relationships/image" Target="media/image2.wmf"/><Relationship Id="rId2" Type="http://schemas.openxmlformats.org/officeDocument/2006/relationships/image" Target="media/image4.wmf"/><Relationship Id="rId3" Type="http://schemas.openxmlformats.org/officeDocument/2006/relationships/image" Target="media/image3.wmf"/><Relationship Id="rId4" Type="http://schemas.openxmlformats.org/officeDocument/2006/relationships/image" Target="media/image1.wmf"/><Relationship Id="rId9" Type="http://schemas.openxmlformats.org/officeDocument/2006/relationships/numbering" Target="numbering.xml"/><Relationship Id="rId14" Type="http://schemas.openxmlformats.org/officeDocument/2006/relationships/footer" Target="footer2.xml"/><Relationship Id="rId5" Type="http://schemas.openxmlformats.org/officeDocument/2006/relationships/theme" Target="theme/theme1.xml"/><Relationship Id="rId6" Type="http://schemas.openxmlformats.org/officeDocument/2006/relationships/settings" Target="settings.xml"/><Relationship Id="rId7" Type="http://schemas.openxmlformats.org/officeDocument/2006/relationships/fontTable" Target="fontTable.xml"/><Relationship Id="rId8"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5"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0uGwY/waKdzXIv1LTOvnjUwR9cA==">CgMxLjAyDmgucndmNmQxd2Q2d2Z4Mg5oLmZwODBjN2VqN2RkejIOaC5va3RucWx0NWY0amUyDmgucW9qeXI2ZGV5ZzI5Mg5oLnZwZHo4eDEwYzlsbjIOaC45M2lmMmhlcXA0MHkyDmguc3NjcHBlNmNldjcxMg1oLmVrMXd3N2k3aDZuMg1oLnZjemNsOXRoNXBsMg9pZC5sc2wybG1hdjcwODcyDmlkLnNpcHFweGF3aDlzMg5oLnE0cm02dmMzM2R5ZzIOaC4zNzJ5bXlwaGdlZjEyD2lkLnZsYnU0eXV2ODRpbTIOaC42a2lndWlrN2o4MTUyDmgubWo1ejlrb2hnMndqOAByITF2Yzhac09ra0ltb0JWMHZPX1hoYkEzam8ycHVhdHFURg==</go:docsCustomData>
</go:gDocsCustomXmlDataStorage>
</file>

<file path=customXML/itemProps1.xml><?xml version="1.0" encoding="utf-8"?>
<ds:datastoreItem xmlns:ds="http://schemas.openxmlformats.org/officeDocument/2006/customXml" ds:itemID="{11111111-1234-1234-1234-123412341234}">
  <ds:schemaRefs>
    <ds:schemaRef ds:uri="http://schemas.openxmlformats.org/officeDocument/2006/relationships"/>
    <ds:schemaRef ds:uri="http://customooxmlschemas.google.com/"/>
  </ds:schemaRefs>
</ds:datastoreItem>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2024-05-07T12:06:00Z</dcterms:created>
  <dc:creator>Fanning, Stephen B (JMD)</dc:creator>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